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35C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72"/>
          <w:szCs w:val="72"/>
          <w:highlight w:val="none"/>
          <w:lang w:val="en-US" w:eastAsia="zh-CN"/>
        </w:rPr>
      </w:pPr>
    </w:p>
    <w:p w14:paraId="4304DB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72"/>
          <w:szCs w:val="72"/>
          <w:highlight w:val="none"/>
          <w:lang w:val="en-US" w:eastAsia="zh-CN"/>
        </w:rPr>
      </w:pPr>
    </w:p>
    <w:p w14:paraId="2CCB64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72"/>
          <w:szCs w:val="72"/>
          <w:highlight w:val="none"/>
          <w:lang w:val="en-US" w:eastAsia="zh-CN"/>
        </w:rPr>
        <w:t>建设项目环境影响报告表</w:t>
      </w:r>
    </w:p>
    <w:p w14:paraId="51C2AB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highlight w:val="none"/>
          <w:lang w:val="en-US" w:eastAsia="zh-CN"/>
        </w:rPr>
      </w:pPr>
      <w:r>
        <w:rPr>
          <w:rFonts w:hint="default" w:ascii="Times New Roman" w:hAnsi="Times New Roman" w:eastAsia="方正楷体_GB2312" w:cs="Times New Roman"/>
          <w:sz w:val="48"/>
          <w:szCs w:val="48"/>
          <w:highlight w:val="none"/>
          <w:lang w:val="en-US" w:eastAsia="zh-CN"/>
        </w:rPr>
        <w:t>（</w:t>
      </w:r>
      <w:r>
        <w:rPr>
          <w:rFonts w:hint="eastAsia" w:ascii="Times New Roman" w:hAnsi="Times New Roman" w:eastAsia="方正楷体_GB2312" w:cs="Times New Roman"/>
          <w:sz w:val="48"/>
          <w:szCs w:val="48"/>
          <w:highlight w:val="none"/>
          <w:lang w:val="en-US" w:eastAsia="zh-CN"/>
        </w:rPr>
        <w:t>污染</w:t>
      </w:r>
      <w:r>
        <w:rPr>
          <w:rFonts w:hint="default" w:ascii="Times New Roman" w:hAnsi="Times New Roman" w:eastAsia="方正楷体_GB2312" w:cs="Times New Roman"/>
          <w:sz w:val="48"/>
          <w:szCs w:val="48"/>
          <w:highlight w:val="none"/>
          <w:lang w:val="en-US" w:eastAsia="zh-CN"/>
        </w:rPr>
        <w:t>影响类）</w:t>
      </w:r>
    </w:p>
    <w:p w14:paraId="10278A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7819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138D47E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6FE5DA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4BC6BC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5DDE4E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5C9732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0BFAF17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026BEB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tbl>
      <w:tblPr>
        <w:tblStyle w:val="19"/>
        <w:tblW w:w="388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8"/>
        <w:gridCol w:w="4701"/>
      </w:tblGrid>
      <w:tr w14:paraId="429D7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09" w:type="dxa"/>
            <w:vAlign w:val="center"/>
          </w:tcPr>
          <w:p w14:paraId="3A1A5AB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distribute"/>
              <w:textAlignment w:val="auto"/>
              <w:rPr>
                <w:rFonts w:hint="default" w:ascii="Times New Roman" w:hAnsi="Times New Roman" w:eastAsia="仿宋" w:cs="Times New Roman"/>
                <w:sz w:val="28"/>
                <w:szCs w:val="28"/>
                <w:highlight w:val="none"/>
                <w:vertAlign w:val="baseline"/>
                <w:lang w:val="en-US" w:eastAsia="zh-CN"/>
              </w:rPr>
            </w:pPr>
            <w:r>
              <w:rPr>
                <w:rFonts w:hint="default" w:ascii="Times New Roman" w:hAnsi="Times New Roman" w:eastAsia="仿宋" w:cs="Times New Roman"/>
                <w:sz w:val="28"/>
                <w:szCs w:val="28"/>
                <w:highlight w:val="none"/>
                <w:vertAlign w:val="baseline"/>
                <w:lang w:val="en-US" w:eastAsia="zh-CN"/>
              </w:rPr>
              <w:t>项目名称：</w:t>
            </w:r>
          </w:p>
        </w:tc>
        <w:tc>
          <w:tcPr>
            <w:tcW w:w="4702" w:type="dxa"/>
            <w:vAlign w:val="center"/>
          </w:tcPr>
          <w:p w14:paraId="05FB1B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distribute"/>
              <w:textAlignment w:val="auto"/>
              <w:rPr>
                <w:rFonts w:hint="default" w:ascii="Times New Roman" w:hAnsi="Times New Roman" w:eastAsia="仿宋" w:cs="Times New Roman"/>
                <w:sz w:val="28"/>
                <w:szCs w:val="28"/>
                <w:highlight w:val="none"/>
                <w:vertAlign w:val="baseline"/>
                <w:lang w:val="en-US" w:eastAsia="zh-CN"/>
              </w:rPr>
            </w:pPr>
            <w:r>
              <w:rPr>
                <w:rFonts w:hint="default" w:ascii="Times New Roman" w:hAnsi="Times New Roman" w:eastAsia="仿宋" w:cs="Times New Roman"/>
                <w:sz w:val="28"/>
                <w:szCs w:val="28"/>
                <w:highlight w:val="none"/>
                <w:u w:val="single"/>
                <w:vertAlign w:val="baseline"/>
                <w:lang w:val="en-US" w:eastAsia="zh-CN"/>
              </w:rPr>
              <w:t>科远智恒检测试验室项目</w:t>
            </w:r>
          </w:p>
        </w:tc>
      </w:tr>
      <w:tr w14:paraId="54BA8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09" w:type="dxa"/>
            <w:vAlign w:val="center"/>
          </w:tcPr>
          <w:p w14:paraId="5EE7081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distribute"/>
              <w:textAlignment w:val="auto"/>
              <w:rPr>
                <w:rFonts w:hint="default" w:ascii="Times New Roman" w:hAnsi="Times New Roman" w:eastAsia="仿宋" w:cs="Times New Roman"/>
                <w:sz w:val="28"/>
                <w:szCs w:val="28"/>
                <w:highlight w:val="none"/>
                <w:vertAlign w:val="baseline"/>
              </w:rPr>
            </w:pPr>
            <w:r>
              <w:rPr>
                <w:rFonts w:hint="default" w:ascii="Times New Roman" w:hAnsi="Times New Roman" w:eastAsia="仿宋" w:cs="Times New Roman"/>
                <w:sz w:val="28"/>
                <w:szCs w:val="28"/>
                <w:highlight w:val="none"/>
                <w:vertAlign w:val="baseline"/>
              </w:rPr>
              <w:t>建设单位(盖章)：</w:t>
            </w:r>
          </w:p>
        </w:tc>
        <w:tc>
          <w:tcPr>
            <w:tcW w:w="4702" w:type="dxa"/>
            <w:vAlign w:val="center"/>
          </w:tcPr>
          <w:p w14:paraId="1C65F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distribute"/>
              <w:textAlignment w:val="auto"/>
              <w:rPr>
                <w:rFonts w:hint="default" w:ascii="Times New Roman" w:hAnsi="Times New Roman" w:eastAsia="仿宋" w:cs="Times New Roman"/>
                <w:sz w:val="28"/>
                <w:szCs w:val="28"/>
                <w:highlight w:val="none"/>
                <w:vertAlign w:val="baseline"/>
                <w:lang w:val="en-US" w:eastAsia="zh-CN"/>
              </w:rPr>
            </w:pPr>
            <w:r>
              <w:rPr>
                <w:rFonts w:hint="eastAsia" w:ascii="Times New Roman" w:hAnsi="Times New Roman" w:eastAsia="仿宋" w:cs="Times New Roman"/>
                <w:sz w:val="28"/>
                <w:szCs w:val="28"/>
                <w:highlight w:val="none"/>
                <w:u w:val="single"/>
                <w:vertAlign w:val="baseline"/>
                <w:lang w:val="en-US" w:eastAsia="zh-CN"/>
              </w:rPr>
              <w:t>北京科远智恒鉴定检测技术有限公司</w:t>
            </w:r>
          </w:p>
        </w:tc>
      </w:tr>
      <w:tr w14:paraId="0E3EF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09" w:type="dxa"/>
            <w:vAlign w:val="center"/>
          </w:tcPr>
          <w:p w14:paraId="7CCF3E9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distribute"/>
              <w:textAlignment w:val="auto"/>
              <w:rPr>
                <w:rFonts w:hint="default" w:ascii="Times New Roman" w:hAnsi="Times New Roman" w:eastAsia="仿宋" w:cs="Times New Roman"/>
                <w:sz w:val="28"/>
                <w:szCs w:val="28"/>
                <w:highlight w:val="none"/>
                <w:vertAlign w:val="baseline"/>
              </w:rPr>
            </w:pPr>
            <w:r>
              <w:rPr>
                <w:rFonts w:hint="default" w:ascii="Times New Roman" w:hAnsi="Times New Roman" w:eastAsia="仿宋" w:cs="Times New Roman"/>
                <w:sz w:val="28"/>
                <w:szCs w:val="28"/>
                <w:highlight w:val="none"/>
                <w:vertAlign w:val="baseline"/>
              </w:rPr>
              <w:t>编制日期：</w:t>
            </w:r>
          </w:p>
        </w:tc>
        <w:tc>
          <w:tcPr>
            <w:tcW w:w="4702" w:type="dxa"/>
            <w:vAlign w:val="center"/>
          </w:tcPr>
          <w:p w14:paraId="7F699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distribute"/>
              <w:textAlignment w:val="auto"/>
              <w:rPr>
                <w:rFonts w:hint="default" w:ascii="Times New Roman" w:hAnsi="Times New Roman" w:eastAsia="仿宋" w:cs="Times New Roman"/>
                <w:sz w:val="28"/>
                <w:szCs w:val="28"/>
                <w:highlight w:val="none"/>
                <w:vertAlign w:val="baseline"/>
                <w:lang w:val="en-US" w:eastAsia="zh-CN"/>
              </w:rPr>
            </w:pPr>
            <w:r>
              <w:rPr>
                <w:rFonts w:hint="default" w:ascii="Times New Roman" w:hAnsi="Times New Roman" w:eastAsia="仿宋" w:cs="Times New Roman"/>
                <w:sz w:val="28"/>
                <w:szCs w:val="28"/>
                <w:highlight w:val="none"/>
                <w:u w:val="single"/>
                <w:vertAlign w:val="baseline"/>
                <w:lang w:val="en-US" w:eastAsia="zh-CN"/>
              </w:rPr>
              <w:t>二〇二五年十二月</w:t>
            </w:r>
          </w:p>
        </w:tc>
      </w:tr>
    </w:tbl>
    <w:p w14:paraId="4B0501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highlight w:val="none"/>
          <w:lang w:val="en-US" w:eastAsia="zh-CN"/>
        </w:rPr>
      </w:pPr>
    </w:p>
    <w:p w14:paraId="4A1FBD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4B952D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highlight w:val="none"/>
          <w:lang w:val="en-US" w:eastAsia="zh-CN"/>
        </w:rPr>
      </w:pPr>
    </w:p>
    <w:p w14:paraId="17CA83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default" w:ascii="Times New Roman" w:hAnsi="Times New Roman" w:eastAsia="方正楷体_GB2312" w:cs="Times New Roman"/>
          <w:sz w:val="36"/>
          <w:szCs w:val="36"/>
          <w:highlight w:val="none"/>
          <w:lang w:val="en-US" w:eastAsia="zh-CN"/>
        </w:rPr>
        <w:t>中华人民共和国生态环境部制</w:t>
      </w:r>
    </w:p>
    <w:p w14:paraId="6A98D962">
      <w:pPr>
        <w:bidi w:val="0"/>
      </w:pPr>
    </w:p>
    <w:p w14:paraId="5FA509CA">
      <w:pPr>
        <w:spacing w:after="1092" w:afterLines="350"/>
        <w:ind w:firstLine="0" w:firstLineChars="0"/>
        <w:jc w:val="center"/>
      </w:pPr>
    </w:p>
    <w:p w14:paraId="50457C52">
      <w:pPr>
        <w:spacing w:after="1092" w:afterLines="350"/>
        <w:ind w:firstLine="0" w:firstLineChars="0"/>
        <w:jc w:val="cente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14:paraId="04FC3655">
      <w:pPr>
        <w:spacing w:after="1092" w:afterLines="350"/>
        <w:ind w:firstLine="0" w:firstLineChars="0"/>
        <w:jc w:val="center"/>
        <w:rPr>
          <w:rFonts w:hint="eastAsia" w:eastAsia="宋体"/>
          <w:color w:val="000000" w:themeColor="text1"/>
          <w:lang w:eastAsia="zh-CN"/>
          <w14:textFill>
            <w14:solidFill>
              <w14:schemeClr w14:val="tx1"/>
            </w14:solidFill>
          </w14:textFill>
        </w:rPr>
      </w:pPr>
    </w:p>
    <w:p w14:paraId="3944B3A8">
      <w:pPr>
        <w:spacing w:after="1092" w:afterLines="350"/>
        <w:ind w:firstLine="0" w:firstLineChars="0"/>
        <w:jc w:val="center"/>
        <w:rPr>
          <w:rFonts w:hint="eastAsia" w:eastAsia="宋体"/>
          <w:color w:val="000000" w:themeColor="text1"/>
          <w:lang w:eastAsia="zh-CN"/>
          <w14:textFill>
            <w14:solidFill>
              <w14:schemeClr w14:val="tx1"/>
            </w14:solidFill>
          </w14:textFill>
        </w:rPr>
      </w:pPr>
    </w:p>
    <w:p w14:paraId="33D1B7D5">
      <w:pPr>
        <w:spacing w:after="1092" w:afterLines="350"/>
        <w:ind w:firstLine="0" w:firstLineChars="0"/>
        <w:jc w:val="center"/>
        <w:rPr>
          <w:rFonts w:hint="eastAsia" w:eastAsia="宋体"/>
          <w:color w:val="000000" w:themeColor="text1"/>
          <w:lang w:eastAsia="zh-CN"/>
          <w14:textFill>
            <w14:solidFill>
              <w14:schemeClr w14:val="tx1"/>
            </w14:solidFill>
          </w14:textFill>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14:paraId="2A815690">
      <w:pPr>
        <w:pStyle w:val="2"/>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一、建设项目基本情况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2520"/>
        <w:gridCol w:w="1620"/>
        <w:gridCol w:w="3206"/>
      </w:tblGrid>
      <w:tr w14:paraId="650C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7154A3D6">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w:t>
            </w:r>
          </w:p>
          <w:p w14:paraId="5C1DE364">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7346" w:type="dxa"/>
            <w:gridSpan w:val="3"/>
            <w:vAlign w:val="center"/>
          </w:tcPr>
          <w:p w14:paraId="7E4E172D">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科远智恒检测实验室</w:t>
            </w:r>
            <w:r>
              <w:rPr>
                <w:rFonts w:hint="eastAsia"/>
                <w:color w:val="000000" w:themeColor="text1"/>
                <w14:textFill>
                  <w14:solidFill>
                    <w14:schemeClr w14:val="tx1"/>
                  </w14:solidFill>
                </w14:textFill>
              </w:rPr>
              <w:t>项目</w:t>
            </w:r>
          </w:p>
        </w:tc>
      </w:tr>
      <w:tr w14:paraId="4465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3A7B4228">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项目代码</w:t>
            </w:r>
          </w:p>
        </w:tc>
        <w:tc>
          <w:tcPr>
            <w:tcW w:w="7346" w:type="dxa"/>
            <w:gridSpan w:val="3"/>
            <w:vAlign w:val="center"/>
          </w:tcPr>
          <w:p w14:paraId="4FEA187D">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473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1D504164">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w:t>
            </w:r>
          </w:p>
          <w:p w14:paraId="51033D75">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联系人</w:t>
            </w:r>
          </w:p>
        </w:tc>
        <w:tc>
          <w:tcPr>
            <w:tcW w:w="2520" w:type="dxa"/>
            <w:vAlign w:val="center"/>
          </w:tcPr>
          <w:p w14:paraId="6FA879BA">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于海霞</w:t>
            </w:r>
          </w:p>
        </w:tc>
        <w:tc>
          <w:tcPr>
            <w:tcW w:w="1620" w:type="dxa"/>
            <w:vAlign w:val="center"/>
          </w:tcPr>
          <w:p w14:paraId="134E9B08">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联系方式</w:t>
            </w:r>
          </w:p>
        </w:tc>
        <w:tc>
          <w:tcPr>
            <w:tcW w:w="3206" w:type="dxa"/>
            <w:vAlign w:val="center"/>
          </w:tcPr>
          <w:p w14:paraId="05A2C81D">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18001093303</w:t>
            </w:r>
          </w:p>
        </w:tc>
      </w:tr>
      <w:tr w14:paraId="172A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785147A0">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7346" w:type="dxa"/>
            <w:gridSpan w:val="3"/>
            <w:vAlign w:val="center"/>
          </w:tcPr>
          <w:p w14:paraId="0DBA0A66">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北京市大兴区鼎利路10号院14号楼1-3层</w:t>
            </w:r>
          </w:p>
        </w:tc>
      </w:tr>
      <w:tr w14:paraId="02B4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5D1DA068">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7346" w:type="dxa"/>
            <w:gridSpan w:val="3"/>
            <w:vAlign w:val="center"/>
          </w:tcPr>
          <w:p w14:paraId="6D7F89AD">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东经</w:t>
            </w:r>
            <w:r>
              <w:rPr>
                <w:rFonts w:hint="eastAsia"/>
                <w:color w:val="000000" w:themeColor="text1"/>
                <w:u w:val="single"/>
                <w14:textFill>
                  <w14:solidFill>
                    <w14:schemeClr w14:val="tx1"/>
                  </w14:solidFill>
                </w14:textFill>
              </w:rPr>
              <w:t xml:space="preserve"> 116 </w:t>
            </w:r>
            <w:r>
              <w:rPr>
                <w:rFonts w:hint="eastAsia"/>
                <w:color w:val="000000" w:themeColor="text1"/>
                <w14:textFill>
                  <w14:solidFill>
                    <w14:schemeClr w14:val="tx1"/>
                  </w14:solidFill>
                </w14:textFill>
              </w:rPr>
              <w:t>度</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25</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分</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24.275</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秒，北纬</w:t>
            </w:r>
            <w:r>
              <w:rPr>
                <w:rFonts w:hint="eastAsia"/>
                <w:color w:val="000000" w:themeColor="text1"/>
                <w:u w:val="single"/>
                <w14:textFill>
                  <w14:solidFill>
                    <w14:schemeClr w14:val="tx1"/>
                  </w14:solidFill>
                </w14:textFill>
              </w:rPr>
              <w:t xml:space="preserve"> 39 </w:t>
            </w:r>
            <w:r>
              <w:rPr>
                <w:rFonts w:hint="eastAsia"/>
                <w:color w:val="000000" w:themeColor="text1"/>
                <w14:textFill>
                  <w14:solidFill>
                    <w14:schemeClr w14:val="tx1"/>
                  </w14:solidFill>
                </w14:textFill>
              </w:rPr>
              <w:t>度</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44</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分</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8.315</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秒</w:t>
            </w:r>
          </w:p>
        </w:tc>
      </w:tr>
      <w:tr w14:paraId="69FB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16345B98">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国民经济</w:t>
            </w:r>
          </w:p>
          <w:p w14:paraId="2C7BAEF7">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行业类别</w:t>
            </w:r>
          </w:p>
        </w:tc>
        <w:tc>
          <w:tcPr>
            <w:tcW w:w="2520" w:type="dxa"/>
            <w:vAlign w:val="center"/>
          </w:tcPr>
          <w:p w14:paraId="2BF033DC">
            <w:pPr>
              <w:widowControl/>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M7452</w:t>
            </w:r>
          </w:p>
          <w:p w14:paraId="7C41FFE2">
            <w:pPr>
              <w:widowControl/>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检测服务</w:t>
            </w:r>
          </w:p>
        </w:tc>
        <w:tc>
          <w:tcPr>
            <w:tcW w:w="1620" w:type="dxa"/>
            <w:vAlign w:val="center"/>
          </w:tcPr>
          <w:p w14:paraId="287D747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w:t>
            </w:r>
          </w:p>
          <w:p w14:paraId="48C200B4">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行业类别</w:t>
            </w:r>
          </w:p>
        </w:tc>
        <w:tc>
          <w:tcPr>
            <w:tcW w:w="3206" w:type="dxa"/>
            <w:vAlign w:val="center"/>
          </w:tcPr>
          <w:p w14:paraId="3E1C6BC7">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四十五、研究和试验发展：98专业</w:t>
            </w:r>
            <w:r>
              <w:rPr>
                <w:rFonts w:hint="eastAsia"/>
                <w:color w:val="000000" w:themeColor="text1"/>
                <w:lang w:eastAsia="zh-CN"/>
                <w14:textFill>
                  <w14:solidFill>
                    <w14:schemeClr w14:val="tx1"/>
                  </w14:solidFill>
                </w14:textFill>
              </w:rPr>
              <w:t>试验室</w:t>
            </w:r>
            <w:r>
              <w:rPr>
                <w:rFonts w:hint="eastAsia"/>
                <w:color w:val="000000" w:themeColor="text1"/>
                <w14:textFill>
                  <w14:solidFill>
                    <w14:schemeClr w14:val="tx1"/>
                  </w14:solidFill>
                </w14:textFill>
              </w:rPr>
              <w:t>、研发（试验）基地--其他（不产生实验废气、废水、危险废物的除外）</w:t>
            </w:r>
          </w:p>
        </w:tc>
      </w:tr>
      <w:tr w14:paraId="1B54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57A05243">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w:t>
            </w:r>
          </w:p>
        </w:tc>
        <w:tc>
          <w:tcPr>
            <w:tcW w:w="2520" w:type="dxa"/>
            <w:vAlign w:val="center"/>
          </w:tcPr>
          <w:p w14:paraId="5DB84F07">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新建（迁建）</w:t>
            </w:r>
          </w:p>
          <w:p w14:paraId="2185753B">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改建</w:t>
            </w:r>
          </w:p>
          <w:p w14:paraId="3164EA6E">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扩建</w:t>
            </w:r>
          </w:p>
          <w:p w14:paraId="023D9F2E">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技术改造</w:t>
            </w:r>
          </w:p>
        </w:tc>
        <w:tc>
          <w:tcPr>
            <w:tcW w:w="1620" w:type="dxa"/>
            <w:vAlign w:val="center"/>
          </w:tcPr>
          <w:p w14:paraId="61557F8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w:t>
            </w:r>
          </w:p>
          <w:p w14:paraId="253EA9FE">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申报情形</w:t>
            </w:r>
          </w:p>
        </w:tc>
        <w:tc>
          <w:tcPr>
            <w:tcW w:w="3206" w:type="dxa"/>
            <w:vAlign w:val="center"/>
          </w:tcPr>
          <w:p w14:paraId="79F49B6B">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首次申报项目</w:t>
            </w:r>
          </w:p>
          <w:p w14:paraId="2DA62569">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不予批准后再次申报项目</w:t>
            </w:r>
          </w:p>
          <w:p w14:paraId="2E8C031C">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超五年重新审核项目</w:t>
            </w:r>
          </w:p>
          <w:p w14:paraId="7DE36C76">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重大变动重新报批项目</w:t>
            </w:r>
          </w:p>
        </w:tc>
      </w:tr>
      <w:tr w14:paraId="1E3C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52F0F5D2">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项目审批（核准/备案）部门（选填）</w:t>
            </w:r>
          </w:p>
        </w:tc>
        <w:tc>
          <w:tcPr>
            <w:tcW w:w="2520" w:type="dxa"/>
            <w:vAlign w:val="center"/>
          </w:tcPr>
          <w:p w14:paraId="5E8D745A">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20" w:type="dxa"/>
            <w:vAlign w:val="center"/>
          </w:tcPr>
          <w:p w14:paraId="0B957F8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项目审批（核准/备案）文号（选填）</w:t>
            </w:r>
          </w:p>
        </w:tc>
        <w:tc>
          <w:tcPr>
            <w:tcW w:w="3206" w:type="dxa"/>
            <w:vAlign w:val="center"/>
          </w:tcPr>
          <w:p w14:paraId="5576C5E0">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361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4883E59E">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总投资</w:t>
            </w:r>
          </w:p>
          <w:p w14:paraId="233044ED">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2520" w:type="dxa"/>
            <w:vAlign w:val="center"/>
          </w:tcPr>
          <w:p w14:paraId="10611D33">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400</w:t>
            </w:r>
          </w:p>
        </w:tc>
        <w:tc>
          <w:tcPr>
            <w:tcW w:w="1620" w:type="dxa"/>
            <w:vAlign w:val="center"/>
          </w:tcPr>
          <w:p w14:paraId="3349ABBA">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w:t>
            </w:r>
          </w:p>
          <w:p w14:paraId="552F54F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06" w:type="dxa"/>
            <w:vAlign w:val="center"/>
          </w:tcPr>
          <w:p w14:paraId="12BA0D36">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r>
      <w:tr w14:paraId="0566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654589F2">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w:t>
            </w:r>
          </w:p>
          <w:p w14:paraId="52DFD164">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占比（%）</w:t>
            </w:r>
          </w:p>
        </w:tc>
        <w:tc>
          <w:tcPr>
            <w:tcW w:w="2520" w:type="dxa"/>
            <w:vAlign w:val="center"/>
          </w:tcPr>
          <w:p w14:paraId="785D6260">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c>
          <w:tcPr>
            <w:tcW w:w="1620" w:type="dxa"/>
            <w:vAlign w:val="center"/>
          </w:tcPr>
          <w:p w14:paraId="27B39954">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施工工期</w:t>
            </w:r>
          </w:p>
        </w:tc>
        <w:tc>
          <w:tcPr>
            <w:tcW w:w="3206" w:type="dxa"/>
            <w:vAlign w:val="center"/>
          </w:tcPr>
          <w:p w14:paraId="0E469353">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个月</w:t>
            </w:r>
          </w:p>
        </w:tc>
      </w:tr>
      <w:tr w14:paraId="2DD5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3B0F9E95">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是否开工</w:t>
            </w:r>
          </w:p>
          <w:p w14:paraId="2EDAF1E2">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w:t>
            </w:r>
          </w:p>
        </w:tc>
        <w:tc>
          <w:tcPr>
            <w:tcW w:w="2520" w:type="dxa"/>
            <w:vAlign w:val="center"/>
          </w:tcPr>
          <w:p w14:paraId="77CF1D7B">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否：</w:t>
            </w:r>
          </w:p>
          <w:p w14:paraId="7CE91862">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是：</w:t>
            </w:r>
          </w:p>
        </w:tc>
        <w:tc>
          <w:tcPr>
            <w:tcW w:w="1620" w:type="dxa"/>
            <w:vAlign w:val="center"/>
          </w:tcPr>
          <w:p w14:paraId="7173987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用地（用海）面积（m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3206" w:type="dxa"/>
            <w:vAlign w:val="center"/>
          </w:tcPr>
          <w:p w14:paraId="6C208C24">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2911.80</w:t>
            </w:r>
          </w:p>
        </w:tc>
      </w:tr>
      <w:tr w14:paraId="04EA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19272CDA">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专项评价</w:t>
            </w:r>
          </w:p>
          <w:p w14:paraId="34531F86">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设置情况</w:t>
            </w:r>
          </w:p>
        </w:tc>
        <w:tc>
          <w:tcPr>
            <w:tcW w:w="7346" w:type="dxa"/>
            <w:gridSpan w:val="3"/>
            <w:vAlign w:val="center"/>
          </w:tcPr>
          <w:p w14:paraId="2A38404B">
            <w:pPr>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14:paraId="3541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3A45C75F">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规划情况</w:t>
            </w:r>
          </w:p>
        </w:tc>
        <w:tc>
          <w:tcPr>
            <w:tcW w:w="7346" w:type="dxa"/>
            <w:gridSpan w:val="3"/>
            <w:vAlign w:val="center"/>
          </w:tcPr>
          <w:p w14:paraId="215F5F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《北京中日创新合作示范区控制性详细规划（街区层面）（2020-2035年》（北京市城市规划设计研究院，2022年12月）</w:t>
            </w:r>
          </w:p>
        </w:tc>
      </w:tr>
      <w:tr w14:paraId="0055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69844356">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规划环境影响评价情况</w:t>
            </w:r>
          </w:p>
        </w:tc>
        <w:tc>
          <w:tcPr>
            <w:tcW w:w="7346" w:type="dxa"/>
            <w:gridSpan w:val="3"/>
            <w:vAlign w:val="center"/>
          </w:tcPr>
          <w:p w14:paraId="34CF429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《北京中日创新合作示范区控制性详细规划（街区层面）（2020-2035年）环境影响报告书》；</w:t>
            </w:r>
          </w:p>
          <w:p w14:paraId="7834D9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召集审查机关：北京市生态环境局</w:t>
            </w:r>
          </w:p>
          <w:p w14:paraId="0AEE51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审查文件及文号：《北京中日创新合作示范区控制性详细规划（街区层面）（2020-2035年）环境影响报告书审查意见的复函》（京环函[202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3号）</w:t>
            </w:r>
          </w:p>
        </w:tc>
      </w:tr>
      <w:tr w14:paraId="6ABD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1ED06C12">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规划及规划环境影响评价符合性分析</w:t>
            </w:r>
          </w:p>
        </w:tc>
        <w:tc>
          <w:tcPr>
            <w:tcW w:w="7346" w:type="dxa"/>
            <w:gridSpan w:val="3"/>
            <w:vAlign w:val="center"/>
          </w:tcPr>
          <w:p w14:paraId="26D1A3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1、与《北京中日创新合作示范区控制性详细规划（街区层面）（2020-2035年》符合性分析</w:t>
            </w:r>
          </w:p>
          <w:p w14:paraId="0CAA5EF3">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北京中日创新合作示范区控制性详细规划（街区层面）（2020-2035年）》，北京中日创新合作示范区目标定位为国际科技协同创新与产业合作发展示范区。产业方向为建设高端产业发展集群，大力发展医药健康产业培育发展先进智造产业、创新发展数字经济产业，并高质量发展专业服务业。</w:t>
            </w:r>
          </w:p>
          <w:p w14:paraId="07A8B0F5">
            <w:pPr>
              <w:ind w:firstLine="48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本项目为检测服务项目，属于专业服务业，符合示范区发展专业服务业方向。因此，本项目符合《北京中日创新合作示范区控制性详细规划（街区层面）（2020-2035年）》中的相关要求。</w:t>
            </w:r>
          </w:p>
          <w:p w14:paraId="2AD311A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2、与《北京中日创新合作示范区控制性详细规划（街区层面）（2020-2035年）环境影响报告书》</w:t>
            </w:r>
            <w:r>
              <w:rPr>
                <w:rFonts w:hint="eastAsia"/>
                <w:color w:val="000000" w:themeColor="text1"/>
                <w:lang w:val="en-US" w:eastAsia="zh-CN"/>
                <w14:textFill>
                  <w14:solidFill>
                    <w14:schemeClr w14:val="tx1"/>
                  </w14:solidFill>
                </w14:textFill>
              </w:rPr>
              <w:t>及审查意见</w:t>
            </w:r>
            <w:r>
              <w:rPr>
                <w:rFonts w:hint="eastAsia"/>
                <w:color w:val="000000" w:themeColor="text1"/>
                <w14:textFill>
                  <w14:solidFill>
                    <w14:schemeClr w14:val="tx1"/>
                  </w14:solidFill>
                </w14:textFill>
              </w:rPr>
              <w:t>符合性分析</w:t>
            </w:r>
          </w:p>
          <w:p w14:paraId="120B087E">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根据《北京中日创新合作示范区控制性详细规划（街区层面）（2020年-2035年）环境影响报告书》及审查意见复函中（三）产业方向：</w:t>
            </w:r>
          </w:p>
          <w:p w14:paraId="73AF2039">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日示范区关注海外核心竞争优势与投资意愿，立足北京大兴产业发展基础与产业升级需求，围绕高精尖产业发展总体要求，构建“医药健康+先进智造+数字经济”三大产业集群；同时高质量发展专业服务业，重点发展技术转移、检验检测认证、知识产权、科技咨询服务，有效降低中外企业协同创新和产业链上下游合作的交易成本。</w:t>
            </w:r>
          </w:p>
          <w:p w14:paraId="0805F0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检测服务项目，属于北京中日创新合作示范区产业方向中重点发展的检验检测认证、科技咨询服务。因此，本项目符合《北京中日创新合作示范区控制性详细规划（街区层面）（2020-2035年）环境影响报告书》及审查意见中的相关要求。</w:t>
            </w:r>
          </w:p>
        </w:tc>
      </w:tr>
      <w:tr w14:paraId="472C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2" w:type="dxa"/>
            <w:vAlign w:val="center"/>
          </w:tcPr>
          <w:p w14:paraId="0D0EEFE8">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其他符合性分析</w:t>
            </w:r>
          </w:p>
        </w:tc>
        <w:tc>
          <w:tcPr>
            <w:tcW w:w="7346" w:type="dxa"/>
            <w:gridSpan w:val="3"/>
            <w:vAlign w:val="center"/>
          </w:tcPr>
          <w:p w14:paraId="78412D8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1、“三线一单”符合性分析</w:t>
            </w:r>
          </w:p>
          <w:p w14:paraId="6CC41E6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根据中共北京市委生态文明建设委员会办公室《关于印</w:t>
            </w:r>
            <w:r>
              <w:rPr>
                <w:rFonts w:cs="Times New Roman"/>
                <w:color w:val="000000" w:themeColor="text1"/>
                <w14:textFill>
                  <w14:solidFill>
                    <w14:schemeClr w14:val="tx1"/>
                  </w14:solidFill>
                </w14:textFill>
              </w:rPr>
              <w:t>发＜关于北京市生态环境分区管控（</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三线一单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）的实施意见＞的通知</w:t>
            </w:r>
            <w:r>
              <w:rPr>
                <w:rFonts w:hint="eastAsia"/>
                <w:color w:val="000000" w:themeColor="text1"/>
                <w14:textFill>
                  <w14:solidFill>
                    <w14:schemeClr w14:val="tx1"/>
                  </w14:solidFill>
                </w14:textFill>
              </w:rPr>
              <w:t>》（京生态文明办[2020]23号），按照“保护优先、分类施策、动态调整、落地应用”的原则，对全市范围内进行“三线一单”（生态保护红线、环境质量底线、资源利用上线和生态环境准入清单）生态环境分区管控工作。生态环境管控分为优先保护单元、重点管控单元和一般管控单元三类区域。</w:t>
            </w:r>
          </w:p>
          <w:p w14:paraId="528C5C6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（1）生态保护红线符合性分析</w:t>
            </w:r>
          </w:p>
          <w:p w14:paraId="4F0352DD">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根据《北京市人民政府关于发布北京生态保护红线的通知》（京政发[2018]18号），北京市生态保护红线主要分布在西部、北部山区，包括以下区域：</w:t>
            </w:r>
          </w:p>
          <w:p w14:paraId="7FED9CC4">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①水源涵养、水土保持和生物多样性维护的生态功能重要区、水土流失生态敏感区；</w:t>
            </w:r>
          </w:p>
          <w:p w14:paraId="36FE57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市级以上禁止开发区域和有必要严格保护的其他各类保护地，包括：自然保护区（核心区和缓冲区）、风景名胜区（一级区）、市级饮用水源地（一级保护区）、森林公园（核心景区）、国家级重点生态公益林（水源涵养重点地区）、重要湿地（永定河、潮白河、北运河、大清河、蓟运河等五条重要河流）、其他生物多样性重点区域。</w:t>
            </w:r>
          </w:p>
          <w:p w14:paraId="07990B9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本项目位于北京市大兴区鼎利路10号院14号楼1-3层，所在周边多为工业企业，无重点生态功能区、生态敏感区、生态脆弱区、生物多样性保护优先区，本项目的建设不会突破生态保护红线。</w:t>
            </w:r>
          </w:p>
          <w:p w14:paraId="1CE07D67">
            <w:pPr>
              <w:pStyle w:val="24"/>
              <w:rPr>
                <w:rFonts w:hint="eastAsia" w:eastAsia="宋体"/>
                <w:color w:val="000000" w:themeColor="text1"/>
                <w:lang w:eastAsia="zh-CN"/>
                <w14:textFill>
                  <w14:solidFill>
                    <w14:schemeClr w14:val="tx1"/>
                  </w14:solidFill>
                </w14:textFill>
              </w:rPr>
            </w:pPr>
            <w:r>
              <w:rPr>
                <w:position w:val="-106"/>
              </w:rPr>
              <w:drawing>
                <wp:inline distT="0" distB="0" distL="0" distR="0">
                  <wp:extent cx="3262630" cy="3375660"/>
                  <wp:effectExtent l="0" t="0" r="13970" b="762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3263264" cy="3376294"/>
                          </a:xfrm>
                          <a:prstGeom prst="rect">
                            <a:avLst/>
                          </a:prstGeom>
                        </pic:spPr>
                      </pic:pic>
                    </a:graphicData>
                  </a:graphic>
                </wp:inline>
              </w:drawing>
            </w:r>
          </w:p>
          <w:p w14:paraId="75791B37">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本项目北京市生态保护红线位置关系示意图</w:t>
            </w:r>
          </w:p>
          <w:p w14:paraId="485CD6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（2）环境质量底线符合性分析</w:t>
            </w:r>
          </w:p>
          <w:p w14:paraId="3F48C7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根据北京市生态环境局202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年5月发布的《202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年北京市生态环境状况公报》可知，O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不符合相关标准限值，为不达标区。项目废气经有效处理后达标排放，大气污染物排放量较小，不会突破大气环境质量底线。</w:t>
            </w:r>
          </w:p>
          <w:p w14:paraId="557F45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项目生活污水经化粪池预处理后纳入市政污水管网，最终经北京轻纺服装产业基地应急污水处理站处理后外排，因此不会突破水环境质量底线。</w:t>
            </w:r>
          </w:p>
          <w:p w14:paraId="064508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项目产生的噪声采取有效的污染防治措施，能够达标排放，不会突破声环境质量底线。</w:t>
            </w:r>
          </w:p>
          <w:p w14:paraId="24E9E5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项目产生的生活垃圾委托环卫部门定期清运，一般工业固体废物统一收集后交回收单位回收处理，建有规范的危险废物暂存间，做好防渗防溢流措施，危险废物委托有资质的单位回收处置，不会污染土壤环境。</w:t>
            </w:r>
          </w:p>
          <w:p w14:paraId="379656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（3）资源利用上线符合性分析</w:t>
            </w:r>
          </w:p>
          <w:p w14:paraId="4C0A39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项目主要从事</w:t>
            </w:r>
            <w:r>
              <w:rPr>
                <w:rFonts w:hint="eastAsia"/>
                <w:color w:val="000000" w:themeColor="text1"/>
                <w:lang w:val="en-US" w:eastAsia="zh-CN"/>
                <w14:textFill>
                  <w14:solidFill>
                    <w14:schemeClr w14:val="tx1"/>
                  </w14:solidFill>
                </w14:textFill>
              </w:rPr>
              <w:t>检测服务</w:t>
            </w:r>
            <w:r>
              <w:rPr>
                <w:rFonts w:hint="eastAsia"/>
                <w:color w:val="000000" w:themeColor="text1"/>
                <w14:textFill>
                  <w14:solidFill>
                    <w14:schemeClr w14:val="tx1"/>
                  </w14:solidFill>
                </w14:textFill>
              </w:rPr>
              <w:t>，用水用电均依托市政供给，项目不属于高能耗行业，不会超出区域资源利用上线。</w:t>
            </w:r>
          </w:p>
          <w:p w14:paraId="08A0D3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（4）生态准入清单符合性分析</w:t>
            </w:r>
          </w:p>
          <w:p w14:paraId="4F1AE6F8">
            <w:pPr>
              <w:ind w:firstLine="48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位于北京市大兴区鼎利路10号院14号楼1-3层，根据《北京市生态环境准入清单（2021年版）》以及《北京市生态环境局关于生态环境分区管控动态更新成果的通告》（通告[2024]33号）相关要求，项目所在地属于“一般管控单元-</w:t>
            </w:r>
            <w:r>
              <w:rPr>
                <w:rFonts w:hint="eastAsia"/>
                <w:color w:val="000000" w:themeColor="text1"/>
                <w:lang w:val="en-US" w:eastAsia="zh-CN"/>
                <w14:textFill>
                  <w14:solidFill>
                    <w14:schemeClr w14:val="tx1"/>
                  </w14:solidFill>
                </w14:textFill>
              </w:rPr>
              <w:t>西红门</w:t>
            </w:r>
            <w:r>
              <w:rPr>
                <w:rFonts w:hint="eastAsia"/>
                <w:color w:val="000000" w:themeColor="text1"/>
                <w14:textFill>
                  <w14:solidFill>
                    <w14:schemeClr w14:val="tx1"/>
                  </w14:solidFill>
                </w14:textFill>
              </w:rPr>
              <w:t>镇”，环境管控单元编码ZH11011520013。</w:t>
            </w:r>
            <w:r>
              <w:rPr>
                <w:rFonts w:hint="eastAsia"/>
                <w:color w:val="000000" w:themeColor="text1"/>
                <w:lang w:val="en-US" w:eastAsia="zh-CN"/>
                <w14:textFill>
                  <w14:solidFill>
                    <w14:schemeClr w14:val="tx1"/>
                  </w14:solidFill>
                </w14:textFill>
              </w:rPr>
              <w:t>具体位置见下图。</w:t>
            </w:r>
          </w:p>
          <w:p w14:paraId="091C5268">
            <w:pPr>
              <w:ind w:firstLine="480"/>
              <w:rPr>
                <w:rFonts w:hint="eastAsia"/>
                <w:color w:val="000000" w:themeColor="text1"/>
                <w:lang w:val="en-US" w:eastAsia="zh-CN"/>
                <w14:textFill>
                  <w14:solidFill>
                    <w14:schemeClr w14:val="tx1"/>
                  </w14:solidFill>
                </w14:textFill>
              </w:rPr>
            </w:pPr>
          </w:p>
          <w:p w14:paraId="7B57E97B">
            <w:pPr>
              <w:ind w:firstLine="480"/>
              <w:rPr>
                <w:rFonts w:hint="eastAsia"/>
                <w:color w:val="000000" w:themeColor="text1"/>
                <w:lang w:val="en-US" w:eastAsia="zh-CN"/>
                <w14:textFill>
                  <w14:solidFill>
                    <w14:schemeClr w14:val="tx1"/>
                  </w14:solidFill>
                </w14:textFill>
              </w:rPr>
            </w:pPr>
          </w:p>
          <w:p w14:paraId="7596B9CB">
            <w:pPr>
              <w:ind w:firstLine="480"/>
              <w:rPr>
                <w:rFonts w:hint="eastAsia"/>
                <w:color w:val="000000" w:themeColor="text1"/>
                <w:lang w:val="en-US" w:eastAsia="zh-CN"/>
                <w14:textFill>
                  <w14:solidFill>
                    <w14:schemeClr w14:val="tx1"/>
                  </w14:solidFill>
                </w14:textFill>
              </w:rPr>
            </w:pPr>
          </w:p>
          <w:p w14:paraId="356A0DDA">
            <w:pPr>
              <w:ind w:firstLine="480"/>
              <w:rPr>
                <w:rFonts w:hint="eastAsia"/>
                <w:color w:val="000000" w:themeColor="text1"/>
                <w:lang w:val="en-US" w:eastAsia="zh-CN"/>
                <w14:textFill>
                  <w14:solidFill>
                    <w14:schemeClr w14:val="tx1"/>
                  </w14:solidFill>
                </w14:textFill>
              </w:rPr>
            </w:pPr>
          </w:p>
          <w:p w14:paraId="6FEA5CCF">
            <w:pPr>
              <w:ind w:firstLine="480"/>
              <w:rPr>
                <w:rFonts w:hint="eastAsia"/>
                <w:color w:val="000000" w:themeColor="text1"/>
                <w:lang w:val="en-US" w:eastAsia="zh-CN"/>
                <w14:textFill>
                  <w14:solidFill>
                    <w14:schemeClr w14:val="tx1"/>
                  </w14:solidFill>
                </w14:textFill>
              </w:rPr>
            </w:pPr>
          </w:p>
          <w:p w14:paraId="3BA96035">
            <w:pPr>
              <w:ind w:firstLine="480"/>
              <w:rPr>
                <w:rFonts w:hint="eastAsia"/>
                <w:color w:val="000000" w:themeColor="text1"/>
                <w:lang w:val="en-US" w:eastAsia="zh-CN"/>
                <w14:textFill>
                  <w14:solidFill>
                    <w14:schemeClr w14:val="tx1"/>
                  </w14:solidFill>
                </w14:textFill>
              </w:rPr>
            </w:pPr>
          </w:p>
          <w:p w14:paraId="363355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3232150</wp:posOffset>
                      </wp:positionH>
                      <wp:positionV relativeFrom="paragraph">
                        <wp:posOffset>3707765</wp:posOffset>
                      </wp:positionV>
                      <wp:extent cx="780415" cy="304800"/>
                      <wp:effectExtent l="6350" t="295275" r="20955" b="9525"/>
                      <wp:wrapNone/>
                      <wp:docPr id="17" name="圆角矩形标注 17"/>
                      <wp:cNvGraphicFramePr/>
                      <a:graphic xmlns:a="http://schemas.openxmlformats.org/drawingml/2006/main">
                        <a:graphicData uri="http://schemas.microsoft.com/office/word/2010/wordprocessingShape">
                          <wps:wsp>
                            <wps:cNvSpPr/>
                            <wps:spPr>
                              <a:xfrm>
                                <a:off x="0" y="0"/>
                                <a:ext cx="780415" cy="304800"/>
                              </a:xfrm>
                              <a:prstGeom prst="wedgeRoundRectCallout">
                                <a:avLst>
                                  <a:gd name="adj1" fmla="val 18185"/>
                                  <a:gd name="adj2" fmla="val -14062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571C6DE">
                                  <w:pPr>
                                    <w:adjustRightInd w:val="0"/>
                                    <w:snapToGrid w:val="0"/>
                                    <w:spacing w:line="240" w:lineRule="auto"/>
                                    <w:ind w:firstLine="0" w:firstLineChars="0"/>
                                    <w:jc w:val="center"/>
                                    <w:rPr>
                                      <w:b/>
                                      <w:bCs/>
                                      <w:color w:val="FF0000"/>
                                      <w:sz w:val="21"/>
                                      <w:szCs w:val="21"/>
                                    </w:rPr>
                                  </w:pPr>
                                  <w:r>
                                    <w:rPr>
                                      <w:rFonts w:hint="eastAsia"/>
                                      <w:b/>
                                      <w:bCs/>
                                      <w:color w:val="FF0000"/>
                                      <w:sz w:val="21"/>
                                      <w:szCs w:val="21"/>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4.5pt;margin-top:291.95pt;height:24pt;width:61.45pt;z-index:251707392;v-text-anchor:middle;mso-width-relative:page;mso-height-relative:page;" filled="f" stroked="t" coordsize="21600,21600" o:gfxdata="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QnbWEdgAAAALAQAADwAA&#10;AAAAAAABACAAAAAiAAAAZHJzL2Rvd25yZXYueG1sUEsBAhQAFAAAAAgAh07iQO36tjfBAgAAawUA&#10;AA4AAAAAAAAAAQAgAAAAJwEAAGRycy9lMm9Eb2MueG1sUEsFBgAAAAAGAAYAWQEAAFoGAAAAAA==&#10;" adj="14728,-19575,14400">
                      <v:fill on="f" focussize="0,0"/>
                      <v:stroke weight="1pt" color="#FF0000 [2404]" miterlimit="8" joinstyle="miter"/>
                      <v:imagedata o:title=""/>
                      <o:lock v:ext="edit" aspectratio="f"/>
                      <v:textbox>
                        <w:txbxContent>
                          <w:p w14:paraId="0571C6DE">
                            <w:pPr>
                              <w:adjustRightInd w:val="0"/>
                              <w:snapToGrid w:val="0"/>
                              <w:spacing w:line="240" w:lineRule="auto"/>
                              <w:ind w:firstLine="0" w:firstLineChars="0"/>
                              <w:jc w:val="center"/>
                              <w:rPr>
                                <w:b/>
                                <w:bCs/>
                                <w:color w:val="FF0000"/>
                                <w:sz w:val="21"/>
                                <w:szCs w:val="21"/>
                              </w:rPr>
                            </w:pPr>
                            <w:r>
                              <w:rPr>
                                <w:rFonts w:hint="eastAsia"/>
                                <w:b/>
                                <w:bCs/>
                                <w:color w:val="FF0000"/>
                                <w:sz w:val="21"/>
                                <w:szCs w:val="21"/>
                              </w:rPr>
                              <w:t>项目位置</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3731895</wp:posOffset>
                      </wp:positionH>
                      <wp:positionV relativeFrom="paragraph">
                        <wp:posOffset>3355340</wp:posOffset>
                      </wp:positionV>
                      <wp:extent cx="75565" cy="75565"/>
                      <wp:effectExtent l="6350" t="6350" r="9525" b="9525"/>
                      <wp:wrapNone/>
                      <wp:docPr id="23" name="椭圆 23"/>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3.85pt;margin-top:264.2pt;height:5.95pt;width:5.95pt;z-index:251706368;v-text-anchor:middle;mso-width-relative:page;mso-height-relative:page;" fillcolor="#4874CB [3204]" filled="t" stroked="t" coordsize="21600,21600" o:gfxdata="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ZeCutsAAAALAQAADwAA&#10;AAAAAAABACAAAAAiAAAAZHJzL2Rvd25yZXYueG1sUEsBAhQAFAAAAAgAh07iQNm3m52FAgAAGAUA&#10;AA4AAAAAAAAAAQAgAAAAKgEAAGRycy9lMm9Eb2MueG1sUEsFBgAAAAAGAAYAWQEAACEGAAAAAA==&#10;">
                      <v:fill on="t" focussize="0,0"/>
                      <v:stroke weight="1pt" color="#2E54A1 [2404]" miterlimit="8" joinstyle="miter"/>
                      <v:imagedata o:title=""/>
                      <o:lock v:ext="edit" aspectratio="f"/>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4319905" cy="6104255"/>
                  <wp:effectExtent l="0" t="0" r="8255" b="6985"/>
                  <wp:docPr id="1" name="图片 1" descr="ZH110115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H11011520012"/>
                          <pic:cNvPicPr>
                            <a:picLocks noChangeAspect="1"/>
                          </pic:cNvPicPr>
                        </pic:nvPicPr>
                        <pic:blipFill>
                          <a:blip r:embed="rId8"/>
                          <a:stretch>
                            <a:fillRect/>
                          </a:stretch>
                        </pic:blipFill>
                        <pic:spPr>
                          <a:xfrm>
                            <a:off x="0" y="0"/>
                            <a:ext cx="4319905" cy="6104255"/>
                          </a:xfrm>
                          <a:prstGeom prst="rect">
                            <a:avLst/>
                          </a:prstGeom>
                        </pic:spPr>
                      </pic:pic>
                    </a:graphicData>
                  </a:graphic>
                </wp:inline>
              </w:drawing>
            </w:r>
          </w:p>
          <w:p w14:paraId="43E9E475">
            <w:pPr>
              <w:pStyle w:val="24"/>
              <w:bidi w:val="0"/>
              <w:rPr>
                <w:rFonts w:hint="default" w:eastAsia="宋体"/>
                <w:color w:val="000000" w:themeColor="text1"/>
                <w:lang w:val="en-US" w:eastAsia="zh-CN"/>
                <w14:textFill>
                  <w14:solidFill>
                    <w14:schemeClr w14:val="tx1"/>
                  </w14:solidFill>
                </w14:textFill>
              </w:rPr>
            </w:pPr>
            <w:r>
              <w:rPr>
                <w:rFonts w:hint="eastAsia"/>
                <w:lang w:val="en-US" w:eastAsia="zh-CN"/>
              </w:rPr>
              <w:t>图1-2 项目与生态管控单元位置示意图</w:t>
            </w:r>
          </w:p>
          <w:p w14:paraId="004C0C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本项目执行全市总体清单（一般管控类生态环境总体准入清单）、平原新城生态环境准入清单及一般管控单元生态环境准入清单，具体分析详见下表。</w:t>
            </w:r>
          </w:p>
          <w:p w14:paraId="76627EE9">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全市总体清单（一般管控类生态环境总体准入清单）符合性一览表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939"/>
              <w:gridCol w:w="2851"/>
              <w:gridCol w:w="701"/>
            </w:tblGrid>
            <w:tr w14:paraId="32E67E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07DD250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管控类别</w:t>
                  </w:r>
                </w:p>
              </w:tc>
              <w:tc>
                <w:tcPr>
                  <w:tcW w:w="2939" w:type="dxa"/>
                  <w:tcBorders>
                    <w:tl2br w:val="nil"/>
                    <w:tr2bl w:val="nil"/>
                  </w:tcBorders>
                  <w:vAlign w:val="center"/>
                </w:tcPr>
                <w:p w14:paraId="56E82956">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重点管控要求</w:t>
                  </w:r>
                </w:p>
              </w:tc>
              <w:tc>
                <w:tcPr>
                  <w:tcW w:w="2851" w:type="dxa"/>
                  <w:tcBorders>
                    <w:tl2br w:val="nil"/>
                    <w:tr2bl w:val="nil"/>
                  </w:tcBorders>
                  <w:vAlign w:val="center"/>
                </w:tcPr>
                <w:p w14:paraId="17E576F7">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本项目情况</w:t>
                  </w:r>
                </w:p>
              </w:tc>
              <w:tc>
                <w:tcPr>
                  <w:tcW w:w="701" w:type="dxa"/>
                  <w:tcBorders>
                    <w:tl2br w:val="nil"/>
                    <w:tr2bl w:val="nil"/>
                  </w:tcBorders>
                  <w:vAlign w:val="center"/>
                </w:tcPr>
                <w:p w14:paraId="1459B3CD">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符合情况</w:t>
                  </w:r>
                </w:p>
              </w:tc>
            </w:tr>
            <w:tr w14:paraId="21825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85CC41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空间布局约束</w:t>
                  </w:r>
                </w:p>
              </w:tc>
              <w:tc>
                <w:tcPr>
                  <w:tcW w:w="2939" w:type="dxa"/>
                  <w:tcBorders>
                    <w:tl2br w:val="nil"/>
                    <w:tr2bl w:val="nil"/>
                  </w:tcBorders>
                  <w:vAlign w:val="center"/>
                </w:tcPr>
                <w:p w14:paraId="637DA60C">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严格执行《北京市新增产业的禁止和限制目录（2022年版）》、北京市《建设项目规划使用性质正面和负面清单》《外商投资准入特别管理措施(负面清单)（2021年版）》《自由贸易试验区外商投资准入特别管理措施（负面清单）（2021年版）》《北京市“十四五”时期高精尖产业发展规划》《北京市“十四五”时期生态环境保护规划》。</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2.严格执行《北京市工业污染行业生产工艺调整退出及设备淘汰目录（2022年版）》。</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3.严格执行《北京城市总体规划(2016年-2035年)》《北京市国土空间近期规划(2021年—2025年)》及分区规划中的空间布局约束管控要求。</w:t>
                  </w:r>
                </w:p>
              </w:tc>
              <w:tc>
                <w:tcPr>
                  <w:tcW w:w="2851" w:type="dxa"/>
                  <w:tcBorders>
                    <w:tl2br w:val="nil"/>
                    <w:tr2bl w:val="nil"/>
                  </w:tcBorders>
                  <w:vAlign w:val="center"/>
                </w:tcPr>
                <w:p w14:paraId="302472E3">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本项目不在《北京市新增产业的禁止和限制目录》（2022年版）禁止和限制范围内；本项目不属于北京市《建设项目规划使用性质正面和负面清单》中负面清单范围内。本项目不涉及《外商投资准入特别管理措施(负面清单)》《自由贸易试验区外商投资准入特别管理措施（负面清单）》</w:t>
                  </w:r>
                  <w:r>
                    <w:rPr>
                      <w:rFonts w:hint="eastAsia"/>
                      <w:color w:val="000000" w:themeColor="text1"/>
                      <w:sz w:val="21"/>
                      <w:szCs w:val="21"/>
                      <w14:textFill>
                        <w14:solidFill>
                          <w14:schemeClr w14:val="tx1"/>
                        </w14:solidFill>
                      </w14:textFill>
                    </w:rPr>
                    <w:t>，本项目符合《北京市“十四五”时期生态环境保护规划》要求</w:t>
                  </w:r>
                  <w:r>
                    <w:rPr>
                      <w:color w:val="000000" w:themeColor="text1"/>
                      <w:sz w:val="21"/>
                      <w:szCs w:val="21"/>
                      <w14:textFill>
                        <w14:solidFill>
                          <w14:schemeClr w14:val="tx1"/>
                        </w14:solidFill>
                      </w14:textFill>
                    </w:rPr>
                    <w:t>。</w:t>
                  </w:r>
                </w:p>
                <w:p w14:paraId="3552386E">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2.本项目</w:t>
                  </w:r>
                  <w:r>
                    <w:rPr>
                      <w:rFonts w:hint="eastAsia"/>
                      <w:color w:val="000000" w:themeColor="text1"/>
                      <w:sz w:val="21"/>
                      <w:szCs w:val="21"/>
                      <w:lang w:val="en-US" w:eastAsia="zh-CN"/>
                      <w14:textFill>
                        <w14:solidFill>
                          <w14:schemeClr w14:val="tx1"/>
                        </w14:solidFill>
                      </w14:textFill>
                    </w:rPr>
                    <w:t>属于实验室项目，不适用</w:t>
                  </w:r>
                  <w:r>
                    <w:rPr>
                      <w:color w:val="000000" w:themeColor="text1"/>
                      <w:sz w:val="21"/>
                      <w:szCs w:val="21"/>
                      <w14:textFill>
                        <w14:solidFill>
                          <w14:schemeClr w14:val="tx1"/>
                        </w14:solidFill>
                      </w14:textFill>
                    </w:rPr>
                    <w:t>《北京市工业污染行业生产工艺调整退出及设备淘汰目录</w:t>
                  </w:r>
                  <w:r>
                    <w:rPr>
                      <w:rFonts w:hint="eastAsia"/>
                      <w:color w:val="000000" w:themeColor="text1"/>
                      <w:sz w:val="21"/>
                      <w:szCs w:val="21"/>
                      <w14:textFill>
                        <w14:solidFill>
                          <w14:schemeClr w14:val="tx1"/>
                        </w14:solidFill>
                      </w14:textFill>
                    </w:rPr>
                    <w:t>（2022年版）</w:t>
                  </w:r>
                  <w:r>
                    <w:rPr>
                      <w:color w:val="000000" w:themeColor="text1"/>
                      <w:sz w:val="21"/>
                      <w:szCs w:val="21"/>
                      <w14:textFill>
                        <w14:solidFill>
                          <w14:schemeClr w14:val="tx1"/>
                        </w14:solidFill>
                      </w14:textFill>
                    </w:rPr>
                    <w:t>》。</w:t>
                  </w:r>
                </w:p>
                <w:p w14:paraId="7A054F62">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3.本项目符合《北京城市总体规划(2016年-2035年)》及分区规划中的空间布局约束管控要求。</w:t>
                  </w:r>
                </w:p>
              </w:tc>
              <w:tc>
                <w:tcPr>
                  <w:tcW w:w="701" w:type="dxa"/>
                  <w:tcBorders>
                    <w:tl2br w:val="nil"/>
                    <w:tr2bl w:val="nil"/>
                  </w:tcBorders>
                  <w:vAlign w:val="center"/>
                </w:tcPr>
                <w:p w14:paraId="6CC94E8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B8823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ABDB6E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污染物排放管控</w:t>
                  </w:r>
                </w:p>
              </w:tc>
              <w:tc>
                <w:tcPr>
                  <w:tcW w:w="2939" w:type="dxa"/>
                  <w:tcBorders>
                    <w:tl2br w:val="nil"/>
                    <w:tr2bl w:val="nil"/>
                  </w:tcBorders>
                  <w:vAlign w:val="center"/>
                </w:tcPr>
                <w:p w14:paraId="7233C372">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严格落实《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机动车和非道路移动机械排放污染防治条例》《北京市土壤污染防治条例》《建设项目主要污染物排放总量指标审核及管理暂行办法》《原北京市环境保护局关于建设项目主要污染物排放总量指标审核及管理的补充通知》《绿色施工管理规程》等法律法规文件要求以及国家、地方环境质量标准和污染物排放标准。</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2.严格执行《北京市烟花爆竹安全管理规定》，五环路以内（含五环路）及各区人民政府划定的禁放区域禁止燃放烟花爆竹。</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3.严格执行《中共中央国务院关于深入打好污染防治攻坚战的意见》《中共北京市委北京市人民政府关于深入打好北京市污染防治攻坚战的实施意见》。</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4.严格执行《北京市“十四五”时期生态环境保护规划》《北京市“十四五”时期土壤污染防治规划》。</w:t>
                  </w:r>
                </w:p>
              </w:tc>
              <w:tc>
                <w:tcPr>
                  <w:tcW w:w="2851" w:type="dxa"/>
                  <w:tcBorders>
                    <w:tl2br w:val="nil"/>
                    <w:tr2bl w:val="nil"/>
                  </w:tcBorders>
                  <w:vAlign w:val="center"/>
                </w:tcPr>
                <w:p w14:paraId="70700407">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本项目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机动车和非道路移动机械排放污染防治条例》《建设项目主要污染物排放总量指标审核及管理暂行办法》《原北京市环境保护局关于建设项目主要污染物排放总量指标审核及管理的补充通知》《绿色施工管理规程》等相关要求。本项目废水、噪声均达标排放，固体废物合理处置，满足法律法规以及国家、地方环境质量标准要求。</w:t>
                  </w:r>
                </w:p>
                <w:p w14:paraId="4583B8A5">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2.本项目不涉及烟花爆竹的使用。</w:t>
                  </w:r>
                </w:p>
                <w:p w14:paraId="617E4ECE">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3.本项目严格执行《中共中央国务院关于深入打好污染防治攻坚战的意见》《中共北京市委北京市人民政府关于深入打好北京市污染防治攻坚战的实施意见》。</w:t>
                  </w:r>
                </w:p>
                <w:p w14:paraId="410B53D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4.本项目严格执行《北京市“十四五”时期生态环境保护规划》《北京市“十四五”时期土壤污染防治规划》。</w:t>
                  </w:r>
                </w:p>
              </w:tc>
              <w:tc>
                <w:tcPr>
                  <w:tcW w:w="701" w:type="dxa"/>
                  <w:tcBorders>
                    <w:tl2br w:val="nil"/>
                    <w:tr2bl w:val="nil"/>
                  </w:tcBorders>
                  <w:vAlign w:val="center"/>
                </w:tcPr>
                <w:p w14:paraId="5B935A6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A2C7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31A88CA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环境风险防控</w:t>
                  </w:r>
                </w:p>
              </w:tc>
              <w:tc>
                <w:tcPr>
                  <w:tcW w:w="2939" w:type="dxa"/>
                  <w:tcBorders>
                    <w:tl2br w:val="nil"/>
                    <w:tr2bl w:val="nil"/>
                  </w:tcBorders>
                  <w:vAlign w:val="center"/>
                </w:tcPr>
                <w:p w14:paraId="0D519DAE">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2.严格执行《污染地块土壤环境管理办法（试行）》，在土地开发过程中，属于《污染地块土壤环境管理办法（试行）》规定的疑似污染地块，土壤污染状况普查、详查和监测、现场检查表明有土壤污染风险的建设用地地块，用途变更为住宅、公共管理与公共服务用地的，重度污染农用地转为城镇建设用地的要按照有关规定开展土壤污染状况调查等。</w:t>
                  </w:r>
                </w:p>
              </w:tc>
              <w:tc>
                <w:tcPr>
                  <w:tcW w:w="2851" w:type="dxa"/>
                  <w:tcBorders>
                    <w:tl2br w:val="nil"/>
                    <w:tr2bl w:val="nil"/>
                  </w:tcBorders>
                  <w:vAlign w:val="center"/>
                </w:tcPr>
                <w:p w14:paraId="07FB379C">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本项目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w:t>
                  </w:r>
                </w:p>
                <w:p w14:paraId="3FAD6B27">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本项目租用现有厂房进行生产，用地不属于污染地块，不涉及土地用途变更。</w:t>
                  </w:r>
                </w:p>
              </w:tc>
              <w:tc>
                <w:tcPr>
                  <w:tcW w:w="701" w:type="dxa"/>
                  <w:tcBorders>
                    <w:tl2br w:val="nil"/>
                    <w:tr2bl w:val="nil"/>
                  </w:tcBorders>
                  <w:vAlign w:val="center"/>
                </w:tcPr>
                <w:p w14:paraId="3FE73E8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CD62D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F9B327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资源利用效率要求</w:t>
                  </w:r>
                </w:p>
              </w:tc>
              <w:tc>
                <w:tcPr>
                  <w:tcW w:w="2939" w:type="dxa"/>
                  <w:tcBorders>
                    <w:tl2br w:val="nil"/>
                    <w:tr2bl w:val="nil"/>
                  </w:tcBorders>
                  <w:vAlign w:val="center"/>
                </w:tcPr>
                <w:p w14:paraId="05B687D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资源能源利用应符合《北京城市总体规划（2016年-2035年）》《北京市“十四五”时期污水处理及资源化利用发展规划》《北京市“十四五”节水型社会建设规划》《关于北京市加强水生态空间管控工作的意见》要求。</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2.能源利用效率应符合《中华人民共和国节约能源法》《大型公共建筑制冷能耗限额》《供热锅炉综合能源消耗限额》《供暖系统运行能源消耗限额》以及北京市单位产品能源消耗限额系列标准等规范要求。</w:t>
                  </w:r>
                </w:p>
              </w:tc>
              <w:tc>
                <w:tcPr>
                  <w:tcW w:w="2851" w:type="dxa"/>
                  <w:tcBorders>
                    <w:tl2br w:val="nil"/>
                    <w:tr2bl w:val="nil"/>
                  </w:tcBorders>
                  <w:vAlign w:val="center"/>
                </w:tcPr>
                <w:p w14:paraId="4E71C5C6">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1.本项目</w:t>
                  </w:r>
                  <w:r>
                    <w:rPr>
                      <w:rFonts w:hint="eastAsia"/>
                      <w:color w:val="000000" w:themeColor="text1"/>
                      <w:sz w:val="21"/>
                      <w:szCs w:val="21"/>
                      <w:lang w:val="en-US" w:eastAsia="zh-CN"/>
                      <w14:textFill>
                        <w14:solidFill>
                          <w14:schemeClr w14:val="tx1"/>
                        </w14:solidFill>
                      </w14:textFill>
                    </w:rPr>
                    <w:t>生活污水经园区化粪池</w:t>
                  </w:r>
                  <w:r>
                    <w:rPr>
                      <w:rFonts w:hint="eastAsia" w:ascii="Times New Roman" w:hAnsi="Times New Roman" w:eastAsia="宋体"/>
                      <w:color w:val="000000" w:themeColor="text1"/>
                      <w:sz w:val="21"/>
                      <w:szCs w:val="21"/>
                      <w:lang w:val="en-US" w:eastAsia="zh-CN"/>
                      <w14:textFill>
                        <w14:solidFill>
                          <w14:schemeClr w14:val="tx1"/>
                        </w14:solidFill>
                      </w14:textFill>
                    </w:rPr>
                    <w:t>处理后</w:t>
                  </w:r>
                  <w:r>
                    <w:rPr>
                      <w:rFonts w:hint="eastAsia" w:ascii="Times New Roman" w:hAnsi="Times New Roman" w:eastAsia="宋体"/>
                      <w:color w:val="000000" w:themeColor="text1"/>
                      <w:sz w:val="21"/>
                      <w:szCs w:val="21"/>
                      <w14:textFill>
                        <w14:solidFill>
                          <w14:schemeClr w14:val="tx1"/>
                        </w14:solidFill>
                      </w14:textFill>
                    </w:rPr>
                    <w:t>纳入市政管网，最终经</w:t>
                  </w:r>
                  <w:r>
                    <w:rPr>
                      <w:rFonts w:hint="eastAsia"/>
                      <w:color w:val="000000" w:themeColor="text1"/>
                      <w:sz w:val="21"/>
                      <w:szCs w:val="21"/>
                      <w:lang w:eastAsia="zh-CN"/>
                      <w14:textFill>
                        <w14:solidFill>
                          <w14:schemeClr w14:val="tx1"/>
                        </w14:solidFill>
                      </w14:textFill>
                    </w:rPr>
                    <w:t>北京轻纺服装产业基地应急污水处理站</w:t>
                  </w:r>
                  <w:r>
                    <w:rPr>
                      <w:rFonts w:hint="eastAsia" w:ascii="Times New Roman" w:hAnsi="Times New Roman" w:eastAsia="宋体"/>
                      <w:color w:val="000000" w:themeColor="text1"/>
                      <w:sz w:val="21"/>
                      <w:szCs w:val="21"/>
                      <w14:textFill>
                        <w14:solidFill>
                          <w14:schemeClr w14:val="tx1"/>
                        </w14:solidFill>
                      </w14:textFill>
                    </w:rPr>
                    <w:t>处理后达标排放</w:t>
                  </w:r>
                  <w:r>
                    <w:rPr>
                      <w:rFonts w:hint="eastAsia" w:ascii="Times New Roman" w:hAnsi="Times New Roman" w:eastAsia="宋体"/>
                      <w:color w:val="000000" w:themeColor="text1"/>
                      <w:sz w:val="21"/>
                      <w:szCs w:val="21"/>
                      <w:lang w:val="en-US" w:eastAsia="zh-CN"/>
                      <w14:textFill>
                        <w14:solidFill>
                          <w14:schemeClr w14:val="tx1"/>
                        </w14:solidFill>
                      </w14:textFill>
                    </w:rPr>
                    <w:t>，检测过程使用电、甲烷、丙烷等清洁能源，本项目建设</w:t>
                  </w:r>
                  <w:r>
                    <w:rPr>
                      <w:rFonts w:hint="eastAsia" w:ascii="Times New Roman" w:hAnsi="Times New Roman" w:eastAsia="宋体"/>
                      <w:color w:val="000000" w:themeColor="text1"/>
                      <w:sz w:val="21"/>
                      <w:szCs w:val="21"/>
                      <w14:textFill>
                        <w14:solidFill>
                          <w14:schemeClr w14:val="tx1"/>
                        </w14:solidFill>
                      </w14:textFill>
                    </w:rPr>
                    <w:t>符合《北京城市</w:t>
                  </w:r>
                  <w:r>
                    <w:rPr>
                      <w:rFonts w:hint="eastAsia"/>
                      <w:color w:val="000000" w:themeColor="text1"/>
                      <w:sz w:val="21"/>
                      <w:szCs w:val="21"/>
                      <w14:textFill>
                        <w14:solidFill>
                          <w14:schemeClr w14:val="tx1"/>
                        </w14:solidFill>
                      </w14:textFill>
                    </w:rPr>
                    <w:t>总体规划（2016年-2035年）》《北京市“十四五”时期污水处理及资源化利用发展规划》《北京市“十四五”节水型社会建设规划》《关于北京市加强水生态空间管控工作的意见》要求。</w:t>
                  </w:r>
                </w:p>
                <w:p w14:paraId="03547040">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主要用电能，能源利用效率应符合《中华人民共和国节约能源法》《大型公共建筑制冷能耗限额》《供热锅炉综合能源消耗限额》《供暖系统运行能源消耗限额》以及北京市单位产品能源消耗限额系列标准等规范要求。</w:t>
                  </w:r>
                </w:p>
              </w:tc>
              <w:tc>
                <w:tcPr>
                  <w:tcW w:w="701" w:type="dxa"/>
                  <w:tcBorders>
                    <w:tl2br w:val="nil"/>
                    <w:tr2bl w:val="nil"/>
                  </w:tcBorders>
                  <w:vAlign w:val="center"/>
                </w:tcPr>
                <w:p w14:paraId="596B9D4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67CEF6DF">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与平原新城生态环境准入清单的符合性</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
              <w:gridCol w:w="3040"/>
              <w:gridCol w:w="3041"/>
              <w:gridCol w:w="511"/>
            </w:tblGrid>
            <w:tr w14:paraId="6FE73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A01D6D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管控类别</w:t>
                  </w:r>
                </w:p>
              </w:tc>
              <w:tc>
                <w:tcPr>
                  <w:tcW w:w="3037" w:type="dxa"/>
                  <w:tcBorders>
                    <w:tl2br w:val="nil"/>
                    <w:tr2bl w:val="nil"/>
                  </w:tcBorders>
                  <w:vAlign w:val="center"/>
                </w:tcPr>
                <w:p w14:paraId="18FF745E">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重点管控要求</w:t>
                  </w:r>
                </w:p>
              </w:tc>
              <w:tc>
                <w:tcPr>
                  <w:tcW w:w="3038" w:type="dxa"/>
                  <w:tcBorders>
                    <w:tl2br w:val="nil"/>
                    <w:tr2bl w:val="nil"/>
                  </w:tcBorders>
                  <w:vAlign w:val="center"/>
                </w:tcPr>
                <w:p w14:paraId="042FEEF4">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本项目情况</w:t>
                  </w:r>
                </w:p>
              </w:tc>
              <w:tc>
                <w:tcPr>
                  <w:tcW w:w="510" w:type="dxa"/>
                  <w:tcBorders>
                    <w:tl2br w:val="nil"/>
                    <w:tr2bl w:val="nil"/>
                  </w:tcBorders>
                  <w:vAlign w:val="center"/>
                </w:tcPr>
                <w:p w14:paraId="12CEBF7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符合情况</w:t>
                  </w:r>
                </w:p>
              </w:tc>
            </w:tr>
            <w:tr w14:paraId="423D6E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6139EB1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空间布局约束</w:t>
                  </w:r>
                </w:p>
              </w:tc>
              <w:tc>
                <w:tcPr>
                  <w:tcW w:w="3037" w:type="dxa"/>
                  <w:tcBorders>
                    <w:tl2br w:val="nil"/>
                    <w:tr2bl w:val="nil"/>
                  </w:tcBorders>
                  <w:vAlign w:val="center"/>
                </w:tcPr>
                <w:p w14:paraId="7568B845">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1.执行《北京市新增产业的禁止和限制目录（2022年版）》适用于中心城区、北京城市副中心以外的平原地区的管控要求。</w:t>
                  </w:r>
                </w:p>
                <w:p w14:paraId="136DAB14">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2.执行《建设项目规划使用性质正面和负面清单》适用于顺义、大兴、亦庄、昌平、房山等新城的管控要求。</w:t>
                  </w:r>
                </w:p>
                <w:p w14:paraId="13EC2AD2">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3.涉及生态保护红线及相关法定保护空间的应执行优先保护类总体准入清单。</w:t>
                  </w:r>
                </w:p>
              </w:tc>
              <w:tc>
                <w:tcPr>
                  <w:tcW w:w="3038" w:type="dxa"/>
                  <w:tcBorders>
                    <w:tl2br w:val="nil"/>
                    <w:tr2bl w:val="nil"/>
                  </w:tcBorders>
                  <w:vAlign w:val="center"/>
                </w:tcPr>
                <w:p w14:paraId="0F1BCB82">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1.本项目执行《北京市新增产业的禁止和限制目录（2022年版）》适用于中心城区、北京城市副中心以外的平原地区的管控要求。</w:t>
                  </w:r>
                </w:p>
                <w:p w14:paraId="363A600E">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2.本项目不属于北京市《建设项目规划使用性质正面和负面清单》中的负面清单项目。</w:t>
                  </w:r>
                </w:p>
                <w:p w14:paraId="7932B4FB">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3.本项目不涉及生态保护红线。</w:t>
                  </w:r>
                </w:p>
              </w:tc>
              <w:tc>
                <w:tcPr>
                  <w:tcW w:w="510" w:type="dxa"/>
                  <w:tcBorders>
                    <w:tl2br w:val="nil"/>
                    <w:tr2bl w:val="nil"/>
                  </w:tcBorders>
                  <w:vAlign w:val="center"/>
                </w:tcPr>
                <w:p w14:paraId="766C454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8A22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689540E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污染物排放管控</w:t>
                  </w:r>
                </w:p>
              </w:tc>
              <w:tc>
                <w:tcPr>
                  <w:tcW w:w="3037" w:type="dxa"/>
                  <w:tcBorders>
                    <w:tl2br w:val="nil"/>
                    <w:tr2bl w:val="nil"/>
                  </w:tcBorders>
                  <w:vAlign w:val="center"/>
                </w:tcPr>
                <w:p w14:paraId="74F7B554">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1.全域禁止使用高排放非道路移动机械。</w:t>
                  </w:r>
                </w:p>
                <w:p w14:paraId="19A280AC">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2.新增和更新的机场大巴（不含省际机场巴士业务）为纯电动或氢燃料电池车；大兴区落实氢能产业发展行动计划，在机场服务、物流配送等领域</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实现100辆氢燃料电池车示范应用，推动“零排放”物流示范区建设。</w:t>
                  </w:r>
                </w:p>
                <w:p w14:paraId="25ACF03F">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3.房山区制定石化新材料基地VOCs精细化管控工作方案，并组织实施；顺义区、大兴区分别组织中关村顺义园、黄村印刷包装产业基地开展VOCs排放溯源分析及减排措施跟踪评估</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推进精细化管理；顺义区开展汽车制造行业整体清洁生产审核试点。</w:t>
                  </w:r>
                </w:p>
                <w:p w14:paraId="1862E370">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4.必须遵守污染物排放的国家标准和地方标准；在实施重点污染物排放总量控制的区域内，还必须符合重点污染物排放总量控制的要求。</w:t>
                  </w:r>
                </w:p>
                <w:p w14:paraId="6F8D8BE5">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5.工业园区配套建设废水集中处理设施。</w:t>
                  </w:r>
                </w:p>
                <w:p w14:paraId="70468495">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6.按照循环经济和清洁生产的要求推动生态工业园区建设，通过合理规划工业布局，引导工业企业入驻工业园区。</w:t>
                  </w:r>
                </w:p>
                <w:p w14:paraId="2F59A2AA">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7.依法关闭或搬迁禁养区内的畜禽养殖场（小区）和养殖专业户。新建、改建、扩建规模化畜禽养殖场（小区）要实施雨污分流、粪便污水资源化利用。</w:t>
                  </w:r>
                </w:p>
                <w:p w14:paraId="5BB8E905">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8.推进石化行业重点企业开展VOCs治理提升行动，强化炼油总量控制，实现VOCs年减排10%以上。</w:t>
                  </w:r>
                </w:p>
              </w:tc>
              <w:tc>
                <w:tcPr>
                  <w:tcW w:w="3038" w:type="dxa"/>
                  <w:tcBorders>
                    <w:tl2br w:val="nil"/>
                    <w:tr2bl w:val="nil"/>
                  </w:tcBorders>
                  <w:vAlign w:val="center"/>
                </w:tcPr>
                <w:p w14:paraId="375215A2">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1.本项目不使用高排放非道路移动机械。</w:t>
                  </w:r>
                </w:p>
                <w:p w14:paraId="6CF47E36">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2.本项目不在首都机场范围内。</w:t>
                  </w:r>
                </w:p>
                <w:p w14:paraId="07CBD1BC">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3.本项目</w:t>
                  </w:r>
                  <w:r>
                    <w:rPr>
                      <w:rFonts w:hint="eastAsia"/>
                      <w:color w:val="000000" w:themeColor="text1"/>
                      <w:sz w:val="21"/>
                      <w:szCs w:val="21"/>
                      <w:lang w:val="en-US" w:eastAsia="zh-CN"/>
                      <w14:textFill>
                        <w14:solidFill>
                          <w14:schemeClr w14:val="tx1"/>
                        </w14:solidFill>
                      </w14:textFill>
                    </w:rPr>
                    <w:t>不在</w:t>
                  </w:r>
                  <w:r>
                    <w:rPr>
                      <w:rFonts w:hint="eastAsia"/>
                      <w:color w:val="000000" w:themeColor="text1"/>
                      <w:sz w:val="21"/>
                      <w:szCs w:val="21"/>
                      <w14:textFill>
                        <w14:solidFill>
                          <w14:schemeClr w14:val="tx1"/>
                        </w14:solidFill>
                      </w14:textFill>
                    </w:rPr>
                    <w:t>上述区域内。</w:t>
                  </w:r>
                </w:p>
                <w:p w14:paraId="069AFED9">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4.本项目的污染物经有效治理后，能满足达标排放要求，固体废物得到有效处置。项目总量控制指标均满足北京市总量控制的要求。</w:t>
                  </w:r>
                </w:p>
                <w:p w14:paraId="4C634730">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5.本项目不属于建设工业园区项目。</w:t>
                  </w:r>
                </w:p>
                <w:p w14:paraId="5378CD8C">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6.本项目租赁现有厂房，在园区内。</w:t>
                  </w:r>
                </w:p>
                <w:p w14:paraId="5508395D">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7.本项目不涉及畜禽养殖等。</w:t>
                  </w:r>
                </w:p>
                <w:p w14:paraId="782749C4">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8.本项目不属于石化行业。</w:t>
                  </w:r>
                </w:p>
              </w:tc>
              <w:tc>
                <w:tcPr>
                  <w:tcW w:w="510" w:type="dxa"/>
                  <w:tcBorders>
                    <w:tl2br w:val="nil"/>
                    <w:tr2bl w:val="nil"/>
                  </w:tcBorders>
                  <w:vAlign w:val="center"/>
                </w:tcPr>
                <w:p w14:paraId="4C1733F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CF96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51B5793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环境风险防控</w:t>
                  </w:r>
                </w:p>
              </w:tc>
              <w:tc>
                <w:tcPr>
                  <w:tcW w:w="3037" w:type="dxa"/>
                  <w:tcBorders>
                    <w:tl2br w:val="nil"/>
                    <w:tr2bl w:val="nil"/>
                  </w:tcBorders>
                  <w:vAlign w:val="center"/>
                </w:tcPr>
                <w:p w14:paraId="004246EA">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1.做好突发环境事件的风险控制、应急准备、应急处置和事后恢复等工作。</w:t>
                  </w:r>
                </w:p>
                <w:p w14:paraId="2FEA685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2.应充分考虑污染地块的环境风险，合理确定土地用途。</w:t>
                  </w:r>
                </w:p>
                <w:p w14:paraId="45CEA63B">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3.有效落实空气重污染各项应急减排措施，引导提高施工工地和应急减排清单企业的绩效等级，引导使用纯电动、氢燃料电池的车辆和非道路移动机械。</w:t>
                  </w:r>
                </w:p>
              </w:tc>
              <w:tc>
                <w:tcPr>
                  <w:tcW w:w="3038" w:type="dxa"/>
                  <w:tcBorders>
                    <w:tl2br w:val="nil"/>
                    <w:tr2bl w:val="nil"/>
                  </w:tcBorders>
                  <w:vAlign w:val="center"/>
                </w:tcPr>
                <w:p w14:paraId="19D6F05C">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1.本项目严格落实本报告提出的</w:t>
                  </w:r>
                  <w:r>
                    <w:rPr>
                      <w:rFonts w:hint="eastAsia"/>
                      <w:color w:val="000000" w:themeColor="text1"/>
                      <w:sz w:val="21"/>
                      <w:szCs w:val="21"/>
                      <w14:textFill>
                        <w14:solidFill>
                          <w14:schemeClr w14:val="tx1"/>
                        </w14:solidFill>
                      </w14:textFill>
                    </w:rPr>
                    <w:t>风险物质</w:t>
                  </w:r>
                  <w:r>
                    <w:rPr>
                      <w:color w:val="000000" w:themeColor="text1"/>
                      <w:sz w:val="21"/>
                      <w:szCs w:val="21"/>
                      <w14:textFill>
                        <w14:solidFill>
                          <w14:schemeClr w14:val="tx1"/>
                        </w14:solidFill>
                      </w14:textFill>
                    </w:rPr>
                    <w:t>使用储存、危险废物收集暂存等方面的环境风险防控措施。按照国家相关法律法规做好突发环境事件的风险控制、应急准备、应急处置和事后恢复等工作及演练。</w:t>
                  </w:r>
                </w:p>
                <w:p w14:paraId="5558A906">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2.本项目利用</w:t>
                  </w:r>
                  <w:r>
                    <w:rPr>
                      <w:rFonts w:hint="eastAsia"/>
                      <w:color w:val="000000" w:themeColor="text1"/>
                      <w:sz w:val="21"/>
                      <w:szCs w:val="21"/>
                      <w14:textFill>
                        <w14:solidFill>
                          <w14:schemeClr w14:val="tx1"/>
                        </w14:solidFill>
                      </w14:textFill>
                    </w:rPr>
                    <w:t>大兴</w:t>
                  </w:r>
                  <w:r>
                    <w:rPr>
                      <w:color w:val="000000" w:themeColor="text1"/>
                      <w:sz w:val="21"/>
                      <w:szCs w:val="21"/>
                      <w14:textFill>
                        <w14:solidFill>
                          <w14:schemeClr w14:val="tx1"/>
                        </w14:solidFill>
                      </w14:textFill>
                    </w:rPr>
                    <w:t>区已有房屋进行项目的建设，不涉及污染地块。</w:t>
                  </w:r>
                </w:p>
                <w:p w14:paraId="5EFB77C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3.本项目严格落实空气重污染应急减排措施。</w:t>
                  </w:r>
                </w:p>
              </w:tc>
              <w:tc>
                <w:tcPr>
                  <w:tcW w:w="510" w:type="dxa"/>
                  <w:tcBorders>
                    <w:tl2br w:val="nil"/>
                    <w:tr2bl w:val="nil"/>
                  </w:tcBorders>
                  <w:vAlign w:val="center"/>
                </w:tcPr>
                <w:p w14:paraId="4DC7165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9AB0E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DD90DD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资源利用效率要求</w:t>
                  </w:r>
                </w:p>
              </w:tc>
              <w:tc>
                <w:tcPr>
                  <w:tcW w:w="3037" w:type="dxa"/>
                  <w:tcBorders>
                    <w:tl2br w:val="nil"/>
                    <w:tr2bl w:val="nil"/>
                  </w:tcBorders>
                  <w:vAlign w:val="center"/>
                </w:tcPr>
                <w:p w14:paraId="76D67D8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1.坚持集约高效发展，控制建设规模。</w:t>
                  </w:r>
                </w:p>
                <w:p w14:paraId="435EAD7A">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2.实施最严格的水资源管理制度，到2035年亦庄新城单位地区生产总值水耗达到国际先进水平。</w:t>
                  </w:r>
                </w:p>
              </w:tc>
              <w:tc>
                <w:tcPr>
                  <w:tcW w:w="3038" w:type="dxa"/>
                  <w:tcBorders>
                    <w:tl2br w:val="nil"/>
                    <w:tr2bl w:val="nil"/>
                  </w:tcBorders>
                  <w:vAlign w:val="center"/>
                </w:tcPr>
                <w:p w14:paraId="13BE09C4">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1.本项目坚持集约高效发展，控制建设规模。</w:t>
                  </w:r>
                </w:p>
                <w:p w14:paraId="1172CCD4">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2.本项目用水由市政管网提供，严格执行水资源管理制度。</w:t>
                  </w:r>
                </w:p>
              </w:tc>
              <w:tc>
                <w:tcPr>
                  <w:tcW w:w="510" w:type="dxa"/>
                  <w:tcBorders>
                    <w:tl2br w:val="nil"/>
                    <w:tr2bl w:val="nil"/>
                  </w:tcBorders>
                  <w:vAlign w:val="center"/>
                </w:tcPr>
                <w:p w14:paraId="04E9225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0BCB7F7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一般管控单元生态环境准入清单的符合性分析</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859"/>
              <w:gridCol w:w="2811"/>
              <w:gridCol w:w="741"/>
            </w:tblGrid>
            <w:tr w14:paraId="623C12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vAlign w:val="center"/>
                </w:tcPr>
                <w:p w14:paraId="2470A9FB">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管控类别</w:t>
                  </w:r>
                </w:p>
              </w:tc>
              <w:tc>
                <w:tcPr>
                  <w:tcW w:w="2859" w:type="dxa"/>
                  <w:tcBorders>
                    <w:tl2br w:val="nil"/>
                    <w:tr2bl w:val="nil"/>
                  </w:tcBorders>
                  <w:vAlign w:val="center"/>
                </w:tcPr>
                <w:p w14:paraId="7C87E912">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重点管控要求</w:t>
                  </w:r>
                </w:p>
              </w:tc>
              <w:tc>
                <w:tcPr>
                  <w:tcW w:w="2811" w:type="dxa"/>
                  <w:tcBorders>
                    <w:tl2br w:val="nil"/>
                    <w:tr2bl w:val="nil"/>
                  </w:tcBorders>
                  <w:vAlign w:val="center"/>
                </w:tcPr>
                <w:p w14:paraId="447D18C0">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本项目情况</w:t>
                  </w:r>
                </w:p>
              </w:tc>
              <w:tc>
                <w:tcPr>
                  <w:tcW w:w="741" w:type="dxa"/>
                  <w:tcBorders>
                    <w:tl2br w:val="nil"/>
                    <w:tr2bl w:val="nil"/>
                  </w:tcBorders>
                  <w:vAlign w:val="center"/>
                </w:tcPr>
                <w:p w14:paraId="3886115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符合情况</w:t>
                  </w:r>
                </w:p>
              </w:tc>
            </w:tr>
            <w:tr w14:paraId="03CB65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vAlign w:val="center"/>
                </w:tcPr>
                <w:p w14:paraId="594C7FA9">
                  <w:pPr>
                    <w:adjustRightInd w:val="0"/>
                    <w:snapToGri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空间布局约束</w:t>
                  </w:r>
                </w:p>
              </w:tc>
              <w:tc>
                <w:tcPr>
                  <w:tcW w:w="2859" w:type="dxa"/>
                  <w:tcBorders>
                    <w:tl2br w:val="nil"/>
                    <w:tr2bl w:val="nil"/>
                  </w:tcBorders>
                  <w:vAlign w:val="center"/>
                </w:tcPr>
                <w:p w14:paraId="3D718528">
                  <w:pPr>
                    <w:adjustRightInd w:val="0"/>
                    <w:snapToGrid w:val="0"/>
                    <w:spacing w:line="240" w:lineRule="auto"/>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执行一般管控类生态环境总体准入清单及平原新城生态环境准入清单。</w:t>
                  </w:r>
                </w:p>
              </w:tc>
              <w:tc>
                <w:tcPr>
                  <w:tcW w:w="2811" w:type="dxa"/>
                  <w:tcBorders>
                    <w:tl2br w:val="nil"/>
                    <w:tr2bl w:val="nil"/>
                  </w:tcBorders>
                  <w:vAlign w:val="center"/>
                </w:tcPr>
                <w:p w14:paraId="35A8171E">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本项目严格执行一般管控类生态环境总体准入清单及平原新城生态环境准入清单中的相关要求。</w:t>
                  </w:r>
                </w:p>
              </w:tc>
              <w:tc>
                <w:tcPr>
                  <w:tcW w:w="741" w:type="dxa"/>
                  <w:tcBorders>
                    <w:tl2br w:val="nil"/>
                    <w:tr2bl w:val="nil"/>
                  </w:tcBorders>
                  <w:vAlign w:val="center"/>
                </w:tcPr>
                <w:p w14:paraId="3AA09E8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D4169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vAlign w:val="center"/>
                </w:tcPr>
                <w:p w14:paraId="63BB860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污染物排放管控</w:t>
                  </w:r>
                </w:p>
              </w:tc>
              <w:tc>
                <w:tcPr>
                  <w:tcW w:w="2859" w:type="dxa"/>
                  <w:tcBorders>
                    <w:tl2br w:val="nil"/>
                    <w:tr2bl w:val="nil"/>
                  </w:tcBorders>
                  <w:vAlign w:val="center"/>
                </w:tcPr>
                <w:p w14:paraId="4F35F762">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执行一般管控类生态环境总体准入清单及平原新城生态环境准入清单。</w:t>
                  </w:r>
                </w:p>
              </w:tc>
              <w:tc>
                <w:tcPr>
                  <w:tcW w:w="2811" w:type="dxa"/>
                  <w:tcBorders>
                    <w:tl2br w:val="nil"/>
                    <w:tr2bl w:val="nil"/>
                  </w:tcBorders>
                  <w:vAlign w:val="center"/>
                </w:tcPr>
                <w:p w14:paraId="52F259AC">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本项目严格执行一般管控类生态环境总体准入清单及平原新城生态环境准入清单中的相关要求。</w:t>
                  </w:r>
                </w:p>
              </w:tc>
              <w:tc>
                <w:tcPr>
                  <w:tcW w:w="741" w:type="dxa"/>
                  <w:tcBorders>
                    <w:tl2br w:val="nil"/>
                    <w:tr2bl w:val="nil"/>
                  </w:tcBorders>
                  <w:vAlign w:val="center"/>
                </w:tcPr>
                <w:p w14:paraId="36C13D3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F526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vAlign w:val="center"/>
                </w:tcPr>
                <w:p w14:paraId="0F59BFB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环境风险防控</w:t>
                  </w:r>
                </w:p>
              </w:tc>
              <w:tc>
                <w:tcPr>
                  <w:tcW w:w="2859" w:type="dxa"/>
                  <w:tcBorders>
                    <w:tl2br w:val="nil"/>
                    <w:tr2bl w:val="nil"/>
                  </w:tcBorders>
                  <w:vAlign w:val="center"/>
                </w:tcPr>
                <w:p w14:paraId="607C7845">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执行一般管控类生态环境总体准入清单及平原新城生态环境准入清单。</w:t>
                  </w:r>
                </w:p>
              </w:tc>
              <w:tc>
                <w:tcPr>
                  <w:tcW w:w="2811" w:type="dxa"/>
                  <w:tcBorders>
                    <w:tl2br w:val="nil"/>
                    <w:tr2bl w:val="nil"/>
                  </w:tcBorders>
                  <w:vAlign w:val="center"/>
                </w:tcPr>
                <w:p w14:paraId="09F51173">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本项目严格执行一般管控类生态环境总体准入清单及平原新城生态环境准入清单中的相关要求。</w:t>
                  </w:r>
                </w:p>
              </w:tc>
              <w:tc>
                <w:tcPr>
                  <w:tcW w:w="741" w:type="dxa"/>
                  <w:tcBorders>
                    <w:tl2br w:val="nil"/>
                    <w:tr2bl w:val="nil"/>
                  </w:tcBorders>
                  <w:vAlign w:val="center"/>
                </w:tcPr>
                <w:p w14:paraId="7F719DF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359D4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vAlign w:val="center"/>
                </w:tcPr>
                <w:p w14:paraId="693162E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资源利用效率</w:t>
                  </w:r>
                </w:p>
              </w:tc>
              <w:tc>
                <w:tcPr>
                  <w:tcW w:w="2859" w:type="dxa"/>
                  <w:tcBorders>
                    <w:tl2br w:val="nil"/>
                    <w:tr2bl w:val="nil"/>
                  </w:tcBorders>
                  <w:vAlign w:val="center"/>
                </w:tcPr>
                <w:p w14:paraId="1379C7D1">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执行一般管控类生态环境总体准入清单及平原新城生态环境准入清单。</w:t>
                  </w:r>
                </w:p>
              </w:tc>
              <w:tc>
                <w:tcPr>
                  <w:tcW w:w="2811" w:type="dxa"/>
                  <w:tcBorders>
                    <w:tl2br w:val="nil"/>
                    <w:tr2bl w:val="nil"/>
                  </w:tcBorders>
                  <w:vAlign w:val="center"/>
                </w:tcPr>
                <w:p w14:paraId="0F209E92">
                  <w:pPr>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本项目严格执行一般管控类生态环境总体准入清单及平原新城生态环境准入清单中的相关要求。</w:t>
                  </w:r>
                </w:p>
              </w:tc>
              <w:tc>
                <w:tcPr>
                  <w:tcW w:w="741" w:type="dxa"/>
                  <w:tcBorders>
                    <w:tl2br w:val="nil"/>
                    <w:tr2bl w:val="nil"/>
                  </w:tcBorders>
                  <w:vAlign w:val="center"/>
                </w:tcPr>
                <w:p w14:paraId="07C68E5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54E2F6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综上所述，本项目符合北京市生态环境分区管控（“三线一单”）的要求。</w:t>
            </w:r>
          </w:p>
          <w:p w14:paraId="2CFE009A">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、与《北京市大兴区“十四五”时期生态环境保护规划》符合性分析</w:t>
            </w:r>
          </w:p>
          <w:p w14:paraId="14FB66B3">
            <w:pPr>
              <w:ind w:firstLine="480"/>
              <w:rPr>
                <w:rFonts w:hint="eastAsia"/>
                <w:color w:val="auto"/>
                <w:lang w:val="en-US" w:eastAsia="zh-CN"/>
              </w:rPr>
            </w:pPr>
            <w:r>
              <w:rPr>
                <w:rFonts w:hint="eastAsia"/>
                <w:color w:val="auto"/>
                <w:lang w:val="en-US" w:eastAsia="zh-CN"/>
              </w:rPr>
              <w:t>根据《北京市大兴区“十四五”时期生态环境保护规划》要求，“严格执行北京市最新新增产业禁限目录和工业污染行业、生产工艺调整退出及设备淘汰目录。大力发展高精尖产业体系，优先考虑项目是否符合科技含量高、资源消耗低、污染排放少的“高精尖要求”。构建以医药健康为核心产业，以新一代信息技术、智能装备等高端制造为潜导产业，以科技服务、航空服务、金融服务、商务服务等为支撑的现代产业体系。”</w:t>
            </w:r>
          </w:p>
          <w:p w14:paraId="3F975DC7">
            <w:pPr>
              <w:ind w:firstLine="480"/>
              <w:rPr>
                <w:rFonts w:hint="eastAsia" w:eastAsia="宋体"/>
                <w:color w:val="auto"/>
                <w:lang w:val="en-US" w:eastAsia="zh-CN"/>
              </w:rPr>
            </w:pPr>
            <w:r>
              <w:rPr>
                <w:rFonts w:hint="eastAsia"/>
                <w:color w:val="auto"/>
                <w:lang w:val="en-US" w:eastAsia="zh-CN"/>
              </w:rPr>
              <w:t>本项目主要从事检测服务，属于“M7452 检测服务”，符合科技服务的产业定位，同时本项目不属于北京市最新新增产业禁限目录和工业污染行业、生产工艺调整退出及设备淘汰目录，符合</w:t>
            </w:r>
            <w:r>
              <w:rPr>
                <w:rFonts w:hint="eastAsia"/>
                <w:color w:val="auto"/>
              </w:rPr>
              <w:t>《北京市大兴区“十四五”时期生态环境保护规划》</w:t>
            </w:r>
            <w:r>
              <w:rPr>
                <w:rFonts w:hint="eastAsia"/>
                <w:color w:val="auto"/>
                <w:lang w:val="en-US" w:eastAsia="zh-CN"/>
              </w:rPr>
              <w:t>相关要求。</w:t>
            </w:r>
          </w:p>
          <w:p w14:paraId="34E4E36D">
            <w:pPr>
              <w:ind w:firstLine="480"/>
              <w:rPr>
                <w:color w:val="000000" w:themeColor="text1"/>
                <w14:textFill>
                  <w14:solidFill>
                    <w14:schemeClr w14:val="tx1"/>
                  </w14:solidFill>
                </w14:textFill>
              </w:rPr>
            </w:pPr>
          </w:p>
          <w:p w14:paraId="47BC152F">
            <w:pPr>
              <w:ind w:firstLine="480"/>
              <w:rPr>
                <w:color w:val="000000" w:themeColor="text1"/>
                <w14:textFill>
                  <w14:solidFill>
                    <w14:schemeClr w14:val="tx1"/>
                  </w14:solidFill>
                </w14:textFill>
              </w:rPr>
            </w:pPr>
          </w:p>
          <w:p w14:paraId="0BE82D42">
            <w:pPr>
              <w:ind w:firstLine="480"/>
              <w:rPr>
                <w:color w:val="000000" w:themeColor="text1"/>
                <w14:textFill>
                  <w14:solidFill>
                    <w14:schemeClr w14:val="tx1"/>
                  </w14:solidFill>
                </w14:textFill>
              </w:rPr>
            </w:pPr>
          </w:p>
          <w:p w14:paraId="41279F04">
            <w:pPr>
              <w:ind w:firstLine="480"/>
              <w:rPr>
                <w:color w:val="000000" w:themeColor="text1"/>
                <w14:textFill>
                  <w14:solidFill>
                    <w14:schemeClr w14:val="tx1"/>
                  </w14:solidFill>
                </w14:textFill>
              </w:rPr>
            </w:pPr>
          </w:p>
          <w:p w14:paraId="05A5E0B5">
            <w:pPr>
              <w:ind w:firstLine="480"/>
              <w:rPr>
                <w:color w:val="000000" w:themeColor="text1"/>
                <w14:textFill>
                  <w14:solidFill>
                    <w14:schemeClr w14:val="tx1"/>
                  </w14:solidFill>
                </w14:textFill>
              </w:rPr>
            </w:pPr>
          </w:p>
          <w:p w14:paraId="01A0D516">
            <w:pPr>
              <w:ind w:firstLine="480"/>
              <w:rPr>
                <w:color w:val="000000" w:themeColor="text1"/>
                <w14:textFill>
                  <w14:solidFill>
                    <w14:schemeClr w14:val="tx1"/>
                  </w14:solidFill>
                </w14:textFill>
              </w:rPr>
            </w:pPr>
          </w:p>
          <w:p w14:paraId="0713B146">
            <w:pPr>
              <w:ind w:firstLine="480"/>
              <w:rPr>
                <w:color w:val="000000" w:themeColor="text1"/>
                <w14:textFill>
                  <w14:solidFill>
                    <w14:schemeClr w14:val="tx1"/>
                  </w14:solidFill>
                </w14:textFill>
              </w:rPr>
            </w:pPr>
          </w:p>
          <w:p w14:paraId="4B316A6F">
            <w:pPr>
              <w:ind w:firstLine="480"/>
              <w:rPr>
                <w:color w:val="000000" w:themeColor="text1"/>
                <w14:textFill>
                  <w14:solidFill>
                    <w14:schemeClr w14:val="tx1"/>
                  </w14:solidFill>
                </w14:textFill>
              </w:rPr>
            </w:pPr>
          </w:p>
          <w:p w14:paraId="5CE98639">
            <w:pPr>
              <w:ind w:firstLine="480"/>
              <w:rPr>
                <w:color w:val="000000" w:themeColor="text1"/>
                <w14:textFill>
                  <w14:solidFill>
                    <w14:schemeClr w14:val="tx1"/>
                  </w14:solidFill>
                </w14:textFill>
              </w:rPr>
            </w:pPr>
          </w:p>
          <w:p w14:paraId="5D8D3BF9">
            <w:pPr>
              <w:ind w:firstLine="480"/>
              <w:rPr>
                <w:color w:val="000000" w:themeColor="text1"/>
                <w14:textFill>
                  <w14:solidFill>
                    <w14:schemeClr w14:val="tx1"/>
                  </w14:solidFill>
                </w14:textFill>
              </w:rPr>
            </w:pPr>
          </w:p>
          <w:p w14:paraId="2BDC233C">
            <w:pPr>
              <w:ind w:firstLine="480"/>
              <w:rPr>
                <w:color w:val="000000" w:themeColor="text1"/>
                <w14:textFill>
                  <w14:solidFill>
                    <w14:schemeClr w14:val="tx1"/>
                  </w14:solidFill>
                </w14:textFill>
              </w:rPr>
            </w:pPr>
          </w:p>
          <w:p w14:paraId="36F43E50">
            <w:pPr>
              <w:ind w:firstLine="480"/>
              <w:rPr>
                <w:color w:val="000000" w:themeColor="text1"/>
                <w14:textFill>
                  <w14:solidFill>
                    <w14:schemeClr w14:val="tx1"/>
                  </w14:solidFill>
                </w14:textFill>
              </w:rPr>
            </w:pPr>
          </w:p>
          <w:p w14:paraId="090D2909">
            <w:pPr>
              <w:ind w:firstLine="480"/>
              <w:rPr>
                <w:color w:val="000000" w:themeColor="text1"/>
                <w14:textFill>
                  <w14:solidFill>
                    <w14:schemeClr w14:val="tx1"/>
                  </w14:solidFill>
                </w14:textFill>
              </w:rPr>
            </w:pPr>
          </w:p>
          <w:p w14:paraId="3CDDCDEC">
            <w:pPr>
              <w:ind w:firstLine="480"/>
              <w:rPr>
                <w:color w:val="000000" w:themeColor="text1"/>
                <w14:textFill>
                  <w14:solidFill>
                    <w14:schemeClr w14:val="tx1"/>
                  </w14:solidFill>
                </w14:textFill>
              </w:rPr>
            </w:pPr>
          </w:p>
          <w:p w14:paraId="28606F39">
            <w:pPr>
              <w:ind w:left="0" w:leftChars="0" w:firstLine="0" w:firstLineChars="0"/>
              <w:rPr>
                <w:color w:val="000000" w:themeColor="text1"/>
                <w14:textFill>
                  <w14:solidFill>
                    <w14:schemeClr w14:val="tx1"/>
                  </w14:solidFill>
                </w14:textFill>
              </w:rPr>
            </w:pPr>
          </w:p>
        </w:tc>
      </w:tr>
    </w:tbl>
    <w:p w14:paraId="6193FCAF">
      <w:pPr>
        <w:ind w:firstLine="480"/>
        <w:rPr>
          <w:color w:val="000000" w:themeColor="text1"/>
          <w14:textFill>
            <w14:solidFill>
              <w14:schemeClr w14:val="tx1"/>
            </w14:solidFill>
          </w14:textFill>
        </w:rPr>
        <w:sectPr>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05F18AB">
      <w:pPr>
        <w:pStyle w:val="2"/>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二、建设项目工程分析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02D1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14:paraId="4ED19EFC">
            <w:pPr>
              <w:spacing w:line="240" w:lineRule="auto"/>
              <w:ind w:firstLine="0" w:firstLineChars="0"/>
              <w:jc w:val="center"/>
              <w:rPr>
                <w:rFonts w:cs="Times New Roman"/>
                <w:color w:val="auto"/>
              </w:rPr>
            </w:pPr>
            <w:r>
              <w:rPr>
                <w:rFonts w:cs="Times New Roman"/>
                <w:color w:val="auto"/>
              </w:rPr>
              <w:t>建设内容</w:t>
            </w:r>
          </w:p>
        </w:tc>
        <w:tc>
          <w:tcPr>
            <w:tcW w:w="8239" w:type="dxa"/>
            <w:vAlign w:val="center"/>
          </w:tcPr>
          <w:p w14:paraId="150E6A38">
            <w:pPr>
              <w:ind w:firstLine="482"/>
              <w:rPr>
                <w:rFonts w:cs="Times New Roman"/>
                <w:color w:val="auto"/>
                <w:highlight w:val="none"/>
              </w:rPr>
            </w:pPr>
            <w:r>
              <w:rPr>
                <w:rFonts w:cs="Times New Roman"/>
                <w:b/>
                <w:bCs/>
                <w:color w:val="auto"/>
                <w:highlight w:val="none"/>
              </w:rPr>
              <w:t>1、项目由来</w:t>
            </w:r>
          </w:p>
          <w:p w14:paraId="19BEEB4B">
            <w:pPr>
              <w:ind w:firstLine="480"/>
              <w:rPr>
                <w:rFonts w:cs="Times New Roman"/>
                <w:color w:val="auto"/>
              </w:rPr>
            </w:pPr>
            <w:r>
              <w:rPr>
                <w:rFonts w:hint="eastAsia" w:cs="Times New Roman"/>
                <w:color w:val="auto"/>
              </w:rPr>
              <w:t>北京科远智恒鉴定检测技术有限公司</w:t>
            </w:r>
            <w:r>
              <w:rPr>
                <w:rFonts w:cs="Times New Roman"/>
                <w:color w:val="auto"/>
              </w:rPr>
              <w:t>成立于200</w:t>
            </w:r>
            <w:r>
              <w:rPr>
                <w:rFonts w:hint="eastAsia" w:cs="Times New Roman"/>
                <w:color w:val="auto"/>
                <w:lang w:val="en-US" w:eastAsia="zh-CN"/>
              </w:rPr>
              <w:t>6</w:t>
            </w:r>
            <w:r>
              <w:rPr>
                <w:rFonts w:cs="Times New Roman"/>
                <w:color w:val="auto"/>
              </w:rPr>
              <w:t>年0</w:t>
            </w:r>
            <w:r>
              <w:rPr>
                <w:rFonts w:hint="eastAsia" w:cs="Times New Roman"/>
                <w:color w:val="auto"/>
                <w:lang w:val="en-US" w:eastAsia="zh-CN"/>
              </w:rPr>
              <w:t>9</w:t>
            </w:r>
            <w:r>
              <w:rPr>
                <w:rFonts w:cs="Times New Roman"/>
                <w:color w:val="auto"/>
              </w:rPr>
              <w:t>月</w:t>
            </w:r>
            <w:r>
              <w:rPr>
                <w:rFonts w:hint="eastAsia" w:cs="Times New Roman"/>
                <w:color w:val="auto"/>
                <w:lang w:val="en-US" w:eastAsia="zh-CN"/>
              </w:rPr>
              <w:t>18</w:t>
            </w:r>
            <w:r>
              <w:rPr>
                <w:rFonts w:cs="Times New Roman"/>
                <w:color w:val="auto"/>
              </w:rPr>
              <w:t>日，注册地址位于</w:t>
            </w:r>
            <w:r>
              <w:rPr>
                <w:rFonts w:hint="eastAsia" w:cs="Times New Roman"/>
                <w:color w:val="auto"/>
              </w:rPr>
              <w:t>北京市丰台区程庄子68号1幢二层215号</w:t>
            </w:r>
            <w:r>
              <w:rPr>
                <w:rFonts w:cs="Times New Roman"/>
                <w:color w:val="auto"/>
              </w:rPr>
              <w:t>，公司主要从事检验检测服务。</w:t>
            </w:r>
          </w:p>
          <w:p w14:paraId="6AE52FFC">
            <w:pPr>
              <w:ind w:firstLine="480"/>
              <w:rPr>
                <w:rFonts w:cs="Times New Roman"/>
                <w:color w:val="auto"/>
              </w:rPr>
            </w:pPr>
            <w:r>
              <w:rPr>
                <w:rFonts w:hint="eastAsia" w:cs="Times New Roman"/>
                <w:color w:val="auto"/>
              </w:rPr>
              <w:t>北京科远智恒鉴定检测技术有限公司</w:t>
            </w:r>
            <w:r>
              <w:rPr>
                <w:rFonts w:cs="Times New Roman"/>
                <w:color w:val="auto"/>
              </w:rPr>
              <w:t>拟投资</w:t>
            </w:r>
            <w:r>
              <w:rPr>
                <w:rFonts w:hint="eastAsia" w:cs="Times New Roman"/>
                <w:color w:val="auto"/>
                <w:lang w:val="en-US" w:eastAsia="zh-CN"/>
              </w:rPr>
              <w:t>400</w:t>
            </w:r>
            <w:r>
              <w:rPr>
                <w:rFonts w:cs="Times New Roman"/>
                <w:color w:val="auto"/>
              </w:rPr>
              <w:t>万元，租赁</w:t>
            </w:r>
            <w:r>
              <w:rPr>
                <w:rFonts w:hint="eastAsia" w:cs="Times New Roman"/>
                <w:color w:val="auto"/>
              </w:rPr>
              <w:t>北京市大兴区鼎利路10号院14号楼1-3层</w:t>
            </w:r>
            <w:r>
              <w:rPr>
                <w:rFonts w:cs="Times New Roman"/>
                <w:color w:val="auto"/>
              </w:rPr>
              <w:t>建筑面积约</w:t>
            </w:r>
            <w:r>
              <w:rPr>
                <w:rFonts w:hint="eastAsia" w:cs="Times New Roman"/>
                <w:color w:val="auto"/>
                <w:lang w:val="en-US" w:eastAsia="zh-CN"/>
              </w:rPr>
              <w:t>2911.80</w:t>
            </w:r>
            <w:r>
              <w:rPr>
                <w:rFonts w:cs="Times New Roman"/>
                <w:color w:val="auto"/>
              </w:rPr>
              <w:t>m</w:t>
            </w:r>
            <w:r>
              <w:rPr>
                <w:rFonts w:cs="Times New Roman"/>
                <w:color w:val="auto"/>
                <w:vertAlign w:val="superscript"/>
              </w:rPr>
              <w:t>2</w:t>
            </w:r>
            <w:r>
              <w:rPr>
                <w:rFonts w:cs="Times New Roman"/>
                <w:color w:val="auto"/>
              </w:rPr>
              <w:t>的现有</w:t>
            </w:r>
            <w:r>
              <w:rPr>
                <w:rFonts w:hint="eastAsia" w:cs="Times New Roman"/>
                <w:color w:val="auto"/>
                <w:lang w:val="en-US" w:eastAsia="zh-CN"/>
              </w:rPr>
              <w:t>房屋</w:t>
            </w:r>
            <w:r>
              <w:rPr>
                <w:rFonts w:cs="Times New Roman"/>
                <w:color w:val="auto"/>
              </w:rPr>
              <w:t>，建设</w:t>
            </w:r>
            <w:r>
              <w:rPr>
                <w:rFonts w:hint="eastAsia" w:cs="Times New Roman"/>
                <w:color w:val="auto"/>
              </w:rPr>
              <w:t>科远智恒检测</w:t>
            </w:r>
            <w:r>
              <w:rPr>
                <w:rFonts w:hint="eastAsia" w:cs="Times New Roman"/>
                <w:color w:val="auto"/>
                <w:lang w:val="en-US" w:eastAsia="zh-CN"/>
              </w:rPr>
              <w:t>实验室</w:t>
            </w:r>
            <w:r>
              <w:rPr>
                <w:rFonts w:cs="Times New Roman"/>
                <w:color w:val="auto"/>
              </w:rPr>
              <w:t>项目。项目建成后，</w:t>
            </w:r>
            <w:r>
              <w:rPr>
                <w:rFonts w:hint="eastAsia" w:cs="Times New Roman"/>
                <w:color w:val="auto"/>
              </w:rPr>
              <w:t>可年</w:t>
            </w:r>
            <w:r>
              <w:rPr>
                <w:rFonts w:hint="eastAsia" w:cs="Times New Roman"/>
                <w:color w:val="auto"/>
                <w:lang w:val="en-US" w:eastAsia="zh-CN"/>
              </w:rPr>
              <w:t>进行</w:t>
            </w:r>
            <w:r>
              <w:rPr>
                <w:rFonts w:hint="eastAsia" w:cs="Times New Roman"/>
                <w:color w:val="auto"/>
              </w:rPr>
              <w:t>难燃性试验</w:t>
            </w:r>
            <w:r>
              <w:rPr>
                <w:rFonts w:hint="eastAsia" w:cs="Times New Roman"/>
                <w:color w:val="auto"/>
                <w:lang w:eastAsia="zh-CN"/>
              </w:rPr>
              <w:t>、</w:t>
            </w:r>
            <w:r>
              <w:rPr>
                <w:rFonts w:hint="eastAsia" w:cs="Times New Roman"/>
                <w:color w:val="auto"/>
              </w:rPr>
              <w:t>单体燃烧试验</w:t>
            </w:r>
            <w:r>
              <w:rPr>
                <w:rFonts w:hint="eastAsia" w:cs="Times New Roman"/>
                <w:color w:val="auto"/>
                <w:lang w:eastAsia="zh-CN"/>
              </w:rPr>
              <w:t>、</w:t>
            </w:r>
            <w:r>
              <w:rPr>
                <w:rFonts w:hint="eastAsia" w:cs="Times New Roman"/>
                <w:color w:val="auto"/>
              </w:rPr>
              <w:t>可燃性试验</w:t>
            </w:r>
            <w:r>
              <w:rPr>
                <w:rFonts w:hint="eastAsia" w:cs="Times New Roman"/>
                <w:color w:val="auto"/>
                <w:lang w:eastAsia="zh-CN"/>
              </w:rPr>
              <w:t>、</w:t>
            </w:r>
            <w:r>
              <w:rPr>
                <w:rFonts w:hint="eastAsia" w:cs="Times New Roman"/>
                <w:color w:val="auto"/>
              </w:rPr>
              <w:t>氧指数试验</w:t>
            </w:r>
            <w:r>
              <w:rPr>
                <w:rFonts w:hint="eastAsia" w:cs="Times New Roman"/>
                <w:color w:val="auto"/>
                <w:lang w:eastAsia="zh-CN"/>
              </w:rPr>
              <w:t>、</w:t>
            </w:r>
            <w:r>
              <w:rPr>
                <w:rFonts w:hint="eastAsia" w:cs="Times New Roman"/>
                <w:color w:val="auto"/>
              </w:rPr>
              <w:t>热值试验</w:t>
            </w:r>
            <w:r>
              <w:rPr>
                <w:rFonts w:hint="eastAsia" w:cs="Times New Roman"/>
                <w:color w:val="auto"/>
                <w:lang w:eastAsia="zh-CN"/>
              </w:rPr>
              <w:t>、</w:t>
            </w:r>
            <w:r>
              <w:rPr>
                <w:rFonts w:hint="eastAsia" w:cs="Times New Roman"/>
                <w:color w:val="auto"/>
              </w:rPr>
              <w:t>不燃性试验</w:t>
            </w:r>
            <w:r>
              <w:rPr>
                <w:rFonts w:hint="eastAsia" w:cs="Times New Roman"/>
                <w:color w:val="auto"/>
                <w:lang w:eastAsia="zh-CN"/>
              </w:rPr>
              <w:t>、</w:t>
            </w:r>
            <w:r>
              <w:rPr>
                <w:rFonts w:hint="eastAsia" w:cs="Times New Roman"/>
                <w:color w:val="auto"/>
                <w:lang w:val="en-US" w:eastAsia="zh-CN"/>
              </w:rPr>
              <w:t>含量检测、门窗检测等</w:t>
            </w:r>
            <w:r>
              <w:rPr>
                <w:rFonts w:hint="eastAsia" w:cs="Times New Roman"/>
                <w:color w:val="auto"/>
              </w:rPr>
              <w:t>。</w:t>
            </w:r>
          </w:p>
          <w:p w14:paraId="019E61D0">
            <w:pPr>
              <w:ind w:firstLine="480"/>
              <w:rPr>
                <w:rFonts w:cs="Times New Roman"/>
                <w:color w:val="auto"/>
              </w:rPr>
            </w:pPr>
            <w:r>
              <w:rPr>
                <w:rFonts w:cs="Times New Roman"/>
                <w:color w:val="auto"/>
              </w:rPr>
              <w:t>依据《建设项目环境影响评价分类管理名录》北京市实施细化规定（2022年本），本项目属于</w:t>
            </w:r>
            <w:r>
              <w:rPr>
                <w:rFonts w:hint="eastAsia" w:cs="Times New Roman"/>
                <w:color w:val="auto"/>
              </w:rPr>
              <w:t>“</w:t>
            </w:r>
            <w:r>
              <w:rPr>
                <w:rFonts w:cs="Times New Roman"/>
                <w:color w:val="auto"/>
              </w:rPr>
              <w:t>四十五、研究和试验发展：98专业</w:t>
            </w:r>
            <w:r>
              <w:rPr>
                <w:rFonts w:hint="eastAsia" w:cs="Times New Roman"/>
                <w:color w:val="auto"/>
                <w:lang w:eastAsia="zh-CN"/>
              </w:rPr>
              <w:t>试验室</w:t>
            </w:r>
            <w:r>
              <w:rPr>
                <w:rFonts w:cs="Times New Roman"/>
                <w:color w:val="auto"/>
              </w:rPr>
              <w:t>、研发（试验）基地--其他（不产生实验废气、废水、危险废物的除外）</w:t>
            </w:r>
            <w:r>
              <w:rPr>
                <w:rFonts w:hint="eastAsia" w:cs="Times New Roman"/>
                <w:color w:val="auto"/>
              </w:rPr>
              <w:t>”</w:t>
            </w:r>
            <w:r>
              <w:rPr>
                <w:rFonts w:cs="Times New Roman"/>
                <w:color w:val="auto"/>
              </w:rPr>
              <w:t>，需要编制环境影响报告表。为此，</w:t>
            </w:r>
            <w:r>
              <w:rPr>
                <w:rFonts w:hint="eastAsia" w:cs="Times New Roman"/>
                <w:color w:val="auto"/>
              </w:rPr>
              <w:t>北京科远智恒鉴定检测技术有限公司</w:t>
            </w:r>
            <w:r>
              <w:rPr>
                <w:rFonts w:cs="Times New Roman"/>
                <w:color w:val="auto"/>
              </w:rPr>
              <w:t>委托北京环晨博朗环保信息技术有限公司进行该项目环境影响评价工作，依据《建设项目环境影响报告表编制技术指南（污染影响类）》等要求编制完成了《</w:t>
            </w:r>
            <w:r>
              <w:rPr>
                <w:rFonts w:hint="eastAsia" w:cs="Times New Roman"/>
                <w:color w:val="auto"/>
              </w:rPr>
              <w:t>科远智恒检测实验室项目</w:t>
            </w:r>
            <w:r>
              <w:rPr>
                <w:rFonts w:cs="Times New Roman"/>
                <w:color w:val="auto"/>
              </w:rPr>
              <w:t>环境影响报告表》。</w:t>
            </w:r>
          </w:p>
          <w:p w14:paraId="2F76E92C">
            <w:pPr>
              <w:ind w:firstLine="482"/>
              <w:rPr>
                <w:rFonts w:hint="default" w:eastAsia="宋体" w:cs="Times New Roman"/>
                <w:b/>
                <w:bCs/>
                <w:color w:val="auto"/>
                <w:lang w:val="en-US" w:eastAsia="zh-CN"/>
              </w:rPr>
            </w:pPr>
            <w:r>
              <w:rPr>
                <w:rFonts w:hint="eastAsia" w:cs="Times New Roman"/>
                <w:b/>
                <w:bCs/>
                <w:color w:val="auto"/>
                <w:lang w:val="en-US" w:eastAsia="zh-CN"/>
              </w:rPr>
              <w:t>2、产业政策符合性分析</w:t>
            </w:r>
          </w:p>
          <w:p w14:paraId="7EDE2225">
            <w:pPr>
              <w:ind w:firstLine="482"/>
              <w:rPr>
                <w:rFonts w:hint="eastAsia" w:cs="Times New Roman"/>
                <w:b w:val="0"/>
                <w:bCs w:val="0"/>
                <w:color w:val="auto"/>
              </w:rPr>
            </w:pPr>
            <w:r>
              <w:rPr>
                <w:rFonts w:hint="eastAsia" w:cs="Times New Roman"/>
                <w:b w:val="0"/>
                <w:bCs w:val="0"/>
                <w:color w:val="auto"/>
              </w:rPr>
              <w:t>（1）与国家产业政策符合性分析</w:t>
            </w:r>
          </w:p>
          <w:p w14:paraId="4ED4E5D2">
            <w:pPr>
              <w:ind w:firstLine="482"/>
              <w:rPr>
                <w:rFonts w:hint="eastAsia" w:cs="Times New Roman"/>
                <w:b w:val="0"/>
                <w:bCs w:val="0"/>
                <w:color w:val="auto"/>
              </w:rPr>
            </w:pPr>
            <w:r>
              <w:rPr>
                <w:rFonts w:hint="eastAsia" w:cs="Times New Roman"/>
                <w:b w:val="0"/>
                <w:bCs w:val="0"/>
                <w:color w:val="auto"/>
              </w:rPr>
              <w:t>本项目主要从事</w:t>
            </w:r>
            <w:r>
              <w:rPr>
                <w:rFonts w:hint="eastAsia" w:cs="Times New Roman"/>
                <w:b w:val="0"/>
                <w:bCs w:val="0"/>
                <w:color w:val="auto"/>
                <w:lang w:val="en-US" w:eastAsia="zh-CN"/>
              </w:rPr>
              <w:t>实验室检测</w:t>
            </w:r>
            <w:r>
              <w:rPr>
                <w:rFonts w:hint="eastAsia" w:cs="Times New Roman"/>
                <w:b w:val="0"/>
                <w:bCs w:val="0"/>
                <w:color w:val="auto"/>
              </w:rPr>
              <w:t>，属于“M7452 检测服务”，属于《产业结构调整指导目录》（2024年本）中的“鼓励类：三十一、科技服务业，1、工业设计、气象、生物、新材料、新能源、节能、环保、测绘、海洋等专业科技服务，商品质量认证和质量检测服务、科技普及”，符合国家产业政策的要求。</w:t>
            </w:r>
          </w:p>
          <w:p w14:paraId="4A03E0A1">
            <w:pPr>
              <w:ind w:firstLine="482"/>
              <w:rPr>
                <w:rFonts w:hint="eastAsia" w:cs="Times New Roman"/>
                <w:b w:val="0"/>
                <w:bCs w:val="0"/>
                <w:color w:val="auto"/>
              </w:rPr>
            </w:pPr>
            <w:r>
              <w:rPr>
                <w:rFonts w:hint="eastAsia" w:cs="Times New Roman"/>
                <w:b w:val="0"/>
                <w:bCs w:val="0"/>
                <w:color w:val="auto"/>
              </w:rPr>
              <w:t>（2）与北京市相关产业政策性符合性分析</w:t>
            </w:r>
          </w:p>
          <w:p w14:paraId="36E8971C">
            <w:pPr>
              <w:ind w:firstLine="482"/>
              <w:rPr>
                <w:rFonts w:hint="eastAsia" w:cs="Times New Roman"/>
                <w:b w:val="0"/>
                <w:bCs w:val="0"/>
                <w:color w:val="auto"/>
              </w:rPr>
            </w:pPr>
            <w:r>
              <w:rPr>
                <w:rFonts w:hint="eastAsia" w:cs="Times New Roman"/>
                <w:b w:val="0"/>
                <w:bCs w:val="0"/>
                <w:color w:val="auto"/>
              </w:rPr>
              <w:t>本项目主要从事</w:t>
            </w:r>
            <w:r>
              <w:rPr>
                <w:rFonts w:hint="eastAsia" w:cs="Times New Roman"/>
                <w:b w:val="0"/>
                <w:bCs w:val="0"/>
                <w:color w:val="auto"/>
                <w:lang w:val="en-US" w:eastAsia="zh-CN"/>
              </w:rPr>
              <w:t>实验室检测</w:t>
            </w:r>
            <w:r>
              <w:rPr>
                <w:rFonts w:hint="eastAsia" w:cs="Times New Roman"/>
                <w:b w:val="0"/>
                <w:bCs w:val="0"/>
                <w:color w:val="auto"/>
              </w:rPr>
              <w:t>，对照《北京市新增产业的禁止和限制目录（2022年版）》，本项目不属于北京市禁止和限制项目。</w:t>
            </w:r>
          </w:p>
          <w:p w14:paraId="4EC8717C">
            <w:pPr>
              <w:ind w:firstLine="482"/>
              <w:rPr>
                <w:rFonts w:cs="Times New Roman"/>
                <w:b/>
                <w:bCs/>
                <w:color w:val="auto"/>
              </w:rPr>
            </w:pPr>
            <w:r>
              <w:rPr>
                <w:rFonts w:hint="eastAsia" w:cs="Times New Roman"/>
                <w:b w:val="0"/>
                <w:bCs w:val="0"/>
                <w:color w:val="auto"/>
              </w:rPr>
              <w:t>综上所述，本项目的建设符合国家产业政策、北京市产业政策。</w:t>
            </w:r>
          </w:p>
          <w:p w14:paraId="4B0CD4D4">
            <w:pPr>
              <w:ind w:firstLine="482"/>
              <w:rPr>
                <w:rFonts w:hint="default" w:eastAsia="宋体" w:cs="Times New Roman"/>
                <w:b w:val="0"/>
                <w:bCs w:val="0"/>
                <w:color w:val="auto"/>
                <w:lang w:val="en-US" w:eastAsia="zh-CN"/>
              </w:rPr>
            </w:pPr>
            <w:r>
              <w:rPr>
                <w:rFonts w:hint="eastAsia" w:cs="Times New Roman"/>
                <w:b/>
                <w:bCs/>
                <w:color w:val="auto"/>
                <w:lang w:val="en-US" w:eastAsia="zh-CN"/>
              </w:rPr>
              <w:t>3、选址合理性分析</w:t>
            </w:r>
          </w:p>
          <w:p w14:paraId="5926AD42">
            <w:pPr>
              <w:ind w:firstLine="482"/>
              <w:rPr>
                <w:rFonts w:cs="Times New Roman"/>
                <w:b w:val="0"/>
                <w:bCs w:val="0"/>
                <w:color w:val="auto"/>
              </w:rPr>
            </w:pPr>
            <w:r>
              <w:rPr>
                <w:rFonts w:hint="eastAsia" w:cs="Times New Roman"/>
                <w:b w:val="0"/>
                <w:bCs w:val="0"/>
                <w:color w:val="auto"/>
              </w:rPr>
              <w:t>本项目位于北京市大兴区鼎利路10号院14号楼1-3层，根据建设单位提供的项目所在建筑不动产权证（京（201</w:t>
            </w:r>
            <w:r>
              <w:rPr>
                <w:rFonts w:hint="eastAsia" w:cs="Times New Roman"/>
                <w:b w:val="0"/>
                <w:bCs w:val="0"/>
                <w:color w:val="auto"/>
                <w:lang w:val="en-US" w:eastAsia="zh-CN"/>
              </w:rPr>
              <w:t>6</w:t>
            </w:r>
            <w:r>
              <w:rPr>
                <w:rFonts w:hint="eastAsia" w:cs="Times New Roman"/>
                <w:b w:val="0"/>
                <w:bCs w:val="0"/>
                <w:color w:val="auto"/>
              </w:rPr>
              <w:t>）</w:t>
            </w:r>
            <w:r>
              <w:rPr>
                <w:rFonts w:hint="eastAsia" w:cs="Times New Roman"/>
                <w:b w:val="0"/>
                <w:bCs w:val="0"/>
                <w:color w:val="auto"/>
                <w:lang w:val="en-US" w:eastAsia="zh-CN"/>
              </w:rPr>
              <w:t>大兴区</w:t>
            </w:r>
            <w:r>
              <w:rPr>
                <w:rFonts w:hint="eastAsia" w:cs="Times New Roman"/>
                <w:b w:val="0"/>
                <w:bCs w:val="0"/>
                <w:color w:val="auto"/>
              </w:rPr>
              <w:t>不动产权第00</w:t>
            </w:r>
            <w:r>
              <w:rPr>
                <w:rFonts w:hint="eastAsia" w:cs="Times New Roman"/>
                <w:b w:val="0"/>
                <w:bCs w:val="0"/>
                <w:color w:val="auto"/>
                <w:lang w:val="en-US" w:eastAsia="zh-CN"/>
              </w:rPr>
              <w:t>55679</w:t>
            </w:r>
            <w:r>
              <w:rPr>
                <w:rFonts w:hint="eastAsia" w:cs="Times New Roman"/>
                <w:b w:val="0"/>
                <w:bCs w:val="0"/>
                <w:color w:val="auto"/>
              </w:rPr>
              <w:t>号），规划用途为</w:t>
            </w:r>
            <w:r>
              <w:rPr>
                <w:rFonts w:hint="eastAsia" w:cs="Times New Roman"/>
                <w:b w:val="0"/>
                <w:bCs w:val="0"/>
                <w:color w:val="auto"/>
                <w:lang w:val="en-US" w:eastAsia="zh-CN"/>
              </w:rPr>
              <w:t>工业用地</w:t>
            </w:r>
            <w:r>
              <w:rPr>
                <w:rFonts w:hint="eastAsia" w:cs="Times New Roman"/>
                <w:b w:val="0"/>
                <w:bCs w:val="0"/>
                <w:color w:val="auto"/>
              </w:rPr>
              <w:t>，用地性质符合要求。项目周边无自然保护区、风景名胜区、居住区、文化区和农村地区中人群较集中区。项目生活污水经化粪池处理后排入市政管网，产生的一般工业固体废物统一收集后由物资部门回收再利用，危险废物暂存于危险废物暂存间，定期交由有资质单位处理，不外排，生活垃圾统一收集后，交环卫部门定期清运，项目各区域按要求做好防渗，本项目建设不会对地下水造成影响。因此，本项目选址可行。</w:t>
            </w:r>
          </w:p>
          <w:p w14:paraId="0195F301">
            <w:pPr>
              <w:ind w:firstLine="482"/>
              <w:rPr>
                <w:rFonts w:cs="Times New Roman"/>
                <w:color w:val="auto"/>
              </w:rPr>
            </w:pPr>
            <w:r>
              <w:rPr>
                <w:rFonts w:hint="eastAsia" w:cs="Times New Roman"/>
                <w:b/>
                <w:bCs/>
                <w:color w:val="auto"/>
                <w:lang w:val="en-US" w:eastAsia="zh-CN"/>
              </w:rPr>
              <w:t>4</w:t>
            </w:r>
            <w:r>
              <w:rPr>
                <w:rFonts w:cs="Times New Roman"/>
                <w:b/>
                <w:bCs/>
                <w:color w:val="auto"/>
              </w:rPr>
              <w:t>、项目建设内容</w:t>
            </w:r>
          </w:p>
          <w:p w14:paraId="69003A22">
            <w:pPr>
              <w:ind w:firstLine="480"/>
              <w:rPr>
                <w:rFonts w:cs="Times New Roman"/>
                <w:color w:val="auto"/>
              </w:rPr>
            </w:pPr>
            <w:r>
              <w:rPr>
                <w:rFonts w:cs="Times New Roman"/>
                <w:color w:val="auto"/>
              </w:rPr>
              <w:t>（1）地理位置及周边概况</w:t>
            </w:r>
          </w:p>
          <w:p w14:paraId="05C8DA68">
            <w:pPr>
              <w:ind w:firstLine="480"/>
              <w:rPr>
                <w:rFonts w:cs="Times New Roman"/>
                <w:color w:val="auto"/>
              </w:rPr>
            </w:pPr>
            <w:r>
              <w:rPr>
                <w:rFonts w:cs="Times New Roman"/>
                <w:color w:val="auto"/>
              </w:rPr>
              <w:t>本项目位于</w:t>
            </w:r>
            <w:r>
              <w:rPr>
                <w:rFonts w:hint="eastAsia" w:cs="Times New Roman"/>
                <w:color w:val="auto"/>
              </w:rPr>
              <w:t>北京市大兴区鼎利路10号院14号楼1-3层</w:t>
            </w:r>
            <w:r>
              <w:rPr>
                <w:rFonts w:cs="Times New Roman"/>
                <w:color w:val="auto"/>
              </w:rPr>
              <w:t>，建筑面积</w:t>
            </w:r>
            <w:r>
              <w:rPr>
                <w:rFonts w:hint="eastAsia" w:cs="Times New Roman"/>
                <w:color w:val="auto"/>
                <w:lang w:val="en-US" w:eastAsia="zh-CN"/>
              </w:rPr>
              <w:t>2911.80</w:t>
            </w:r>
            <w:r>
              <w:rPr>
                <w:rFonts w:cs="Times New Roman"/>
                <w:color w:val="auto"/>
              </w:rPr>
              <w:t>m</w:t>
            </w:r>
            <w:r>
              <w:rPr>
                <w:rFonts w:cs="Times New Roman"/>
                <w:color w:val="auto"/>
                <w:vertAlign w:val="superscript"/>
              </w:rPr>
              <w:t>2</w:t>
            </w:r>
            <w:r>
              <w:rPr>
                <w:rFonts w:cs="Times New Roman"/>
                <w:color w:val="auto"/>
              </w:rPr>
              <w:t>。</w:t>
            </w:r>
          </w:p>
          <w:p w14:paraId="4F5C8B1B">
            <w:pPr>
              <w:ind w:firstLine="480"/>
              <w:rPr>
                <w:rFonts w:cs="Times New Roman"/>
                <w:color w:val="auto"/>
              </w:rPr>
            </w:pPr>
            <w:r>
              <w:rPr>
                <w:rFonts w:cs="Times New Roman"/>
                <w:color w:val="auto"/>
              </w:rPr>
              <w:t>其中：</w:t>
            </w:r>
          </w:p>
          <w:p w14:paraId="39E81642">
            <w:pPr>
              <w:ind w:firstLine="480"/>
              <w:rPr>
                <w:rFonts w:hint="default" w:eastAsia="宋体" w:cs="Times New Roman"/>
                <w:color w:val="auto"/>
                <w:lang w:val="en-US" w:eastAsia="zh-CN"/>
              </w:rPr>
            </w:pPr>
            <w:r>
              <w:rPr>
                <w:rFonts w:cs="Times New Roman"/>
                <w:color w:val="auto"/>
              </w:rPr>
              <w:t>项目东侧</w:t>
            </w:r>
            <w:r>
              <w:rPr>
                <w:rFonts w:hint="eastAsia" w:cs="Times New Roman"/>
                <w:color w:val="auto"/>
                <w:lang w:val="en-US" w:eastAsia="zh-CN"/>
              </w:rPr>
              <w:t>为</w:t>
            </w:r>
            <w:r>
              <w:rPr>
                <w:rFonts w:hint="eastAsia" w:cs="Times New Roman"/>
                <w:color w:val="auto"/>
              </w:rPr>
              <w:t>鼎利路10号院</w:t>
            </w:r>
            <w:r>
              <w:rPr>
                <w:rFonts w:hint="eastAsia" w:cs="Times New Roman"/>
                <w:color w:val="auto"/>
                <w:lang w:eastAsia="zh-CN"/>
              </w:rPr>
              <w:t>（</w:t>
            </w:r>
            <w:r>
              <w:rPr>
                <w:rFonts w:hint="eastAsia" w:cs="Times New Roman"/>
                <w:color w:val="auto"/>
                <w:lang w:val="en-US" w:eastAsia="zh-CN"/>
              </w:rPr>
              <w:t>即西红门</w:t>
            </w:r>
            <w:r>
              <w:rPr>
                <w:rFonts w:cs="Times New Roman"/>
                <w:color w:val="auto"/>
              </w:rPr>
              <w:t>·</w:t>
            </w:r>
            <w:r>
              <w:rPr>
                <w:rFonts w:hint="eastAsia" w:cs="Times New Roman"/>
                <w:color w:val="auto"/>
                <w:lang w:val="en-US" w:eastAsia="zh-CN"/>
              </w:rPr>
              <w:t>智谷10号院</w:t>
            </w:r>
            <w:r>
              <w:rPr>
                <w:rFonts w:hint="eastAsia" w:cs="Times New Roman"/>
                <w:color w:val="auto"/>
                <w:lang w:eastAsia="zh-CN"/>
              </w:rPr>
              <w:t>）</w:t>
            </w:r>
            <w:r>
              <w:rPr>
                <w:rFonts w:hint="eastAsia" w:cs="Times New Roman"/>
                <w:color w:val="auto"/>
                <w:lang w:val="en-US" w:eastAsia="zh-CN"/>
              </w:rPr>
              <w:t>13号楼；</w:t>
            </w:r>
          </w:p>
          <w:p w14:paraId="30F383CC">
            <w:pPr>
              <w:ind w:firstLine="480"/>
              <w:rPr>
                <w:rFonts w:cs="Times New Roman"/>
                <w:color w:val="auto"/>
              </w:rPr>
            </w:pPr>
            <w:r>
              <w:rPr>
                <w:rFonts w:cs="Times New Roman"/>
                <w:color w:val="auto"/>
              </w:rPr>
              <w:t>项目南侧</w:t>
            </w:r>
            <w:r>
              <w:rPr>
                <w:rFonts w:hint="eastAsia" w:cs="Times New Roman"/>
                <w:color w:val="auto"/>
                <w:lang w:val="en-US" w:eastAsia="zh-CN"/>
              </w:rPr>
              <w:t>为</w:t>
            </w:r>
            <w:r>
              <w:rPr>
                <w:rFonts w:hint="eastAsia" w:cs="Times New Roman"/>
                <w:color w:val="auto"/>
              </w:rPr>
              <w:t>鼎利路10号院</w:t>
            </w:r>
            <w:r>
              <w:rPr>
                <w:rFonts w:hint="eastAsia" w:cs="Times New Roman"/>
                <w:color w:val="auto"/>
                <w:lang w:eastAsia="zh-CN"/>
              </w:rPr>
              <w:t>（</w:t>
            </w:r>
            <w:r>
              <w:rPr>
                <w:rFonts w:hint="eastAsia" w:cs="Times New Roman"/>
                <w:color w:val="auto"/>
                <w:lang w:val="en-US" w:eastAsia="zh-CN"/>
              </w:rPr>
              <w:t>即西红门</w:t>
            </w:r>
            <w:r>
              <w:rPr>
                <w:rFonts w:cs="Times New Roman"/>
                <w:color w:val="auto"/>
              </w:rPr>
              <w:t>·</w:t>
            </w:r>
            <w:r>
              <w:rPr>
                <w:rFonts w:hint="eastAsia" w:cs="Times New Roman"/>
                <w:color w:val="auto"/>
                <w:lang w:val="en-US" w:eastAsia="zh-CN"/>
              </w:rPr>
              <w:t>智谷10号院</w:t>
            </w:r>
            <w:r>
              <w:rPr>
                <w:rFonts w:hint="eastAsia" w:cs="Times New Roman"/>
                <w:color w:val="auto"/>
                <w:lang w:eastAsia="zh-CN"/>
              </w:rPr>
              <w:t>）</w:t>
            </w:r>
            <w:r>
              <w:rPr>
                <w:rFonts w:hint="eastAsia" w:cs="Times New Roman"/>
                <w:color w:val="auto"/>
                <w:lang w:val="en-US" w:eastAsia="zh-CN"/>
              </w:rPr>
              <w:t>17号楼，南侧94m为中鼎北路</w:t>
            </w:r>
            <w:r>
              <w:rPr>
                <w:rFonts w:cs="Times New Roman"/>
                <w:color w:val="auto"/>
              </w:rPr>
              <w:t>；</w:t>
            </w:r>
          </w:p>
          <w:p w14:paraId="7E6799B6">
            <w:pPr>
              <w:ind w:firstLine="480"/>
              <w:rPr>
                <w:rFonts w:cs="Times New Roman"/>
                <w:color w:val="auto"/>
              </w:rPr>
            </w:pPr>
            <w:r>
              <w:rPr>
                <w:rFonts w:cs="Times New Roman"/>
                <w:color w:val="auto"/>
              </w:rPr>
              <w:t>项目西侧为</w:t>
            </w:r>
            <w:r>
              <w:rPr>
                <w:rFonts w:hint="eastAsia" w:cs="Times New Roman"/>
                <w:color w:val="auto"/>
              </w:rPr>
              <w:t>鼎利路10号院</w:t>
            </w:r>
            <w:r>
              <w:rPr>
                <w:rFonts w:hint="eastAsia" w:cs="Times New Roman"/>
                <w:color w:val="auto"/>
                <w:lang w:eastAsia="zh-CN"/>
              </w:rPr>
              <w:t>（</w:t>
            </w:r>
            <w:r>
              <w:rPr>
                <w:rFonts w:hint="eastAsia" w:cs="Times New Roman"/>
                <w:color w:val="auto"/>
                <w:lang w:val="en-US" w:eastAsia="zh-CN"/>
              </w:rPr>
              <w:t>即西红门</w:t>
            </w:r>
            <w:r>
              <w:rPr>
                <w:rFonts w:cs="Times New Roman"/>
                <w:color w:val="auto"/>
              </w:rPr>
              <w:t>·</w:t>
            </w:r>
            <w:r>
              <w:rPr>
                <w:rFonts w:hint="eastAsia" w:cs="Times New Roman"/>
                <w:color w:val="auto"/>
                <w:lang w:val="en-US" w:eastAsia="zh-CN"/>
              </w:rPr>
              <w:t>智谷10号院</w:t>
            </w:r>
            <w:r>
              <w:rPr>
                <w:rFonts w:hint="eastAsia" w:cs="Times New Roman"/>
                <w:color w:val="auto"/>
                <w:lang w:eastAsia="zh-CN"/>
              </w:rPr>
              <w:t>）</w:t>
            </w:r>
            <w:r>
              <w:rPr>
                <w:rFonts w:hint="eastAsia" w:cs="Times New Roman"/>
                <w:color w:val="auto"/>
                <w:lang w:val="en-US" w:eastAsia="zh-CN"/>
              </w:rPr>
              <w:t>15号楼，西侧105m为金时大街</w:t>
            </w:r>
            <w:r>
              <w:rPr>
                <w:rFonts w:cs="Times New Roman"/>
                <w:color w:val="auto"/>
              </w:rPr>
              <w:t>；</w:t>
            </w:r>
          </w:p>
          <w:p w14:paraId="6273689E">
            <w:pPr>
              <w:ind w:firstLine="480"/>
              <w:rPr>
                <w:rFonts w:cs="Times New Roman"/>
                <w:color w:val="auto"/>
              </w:rPr>
            </w:pPr>
            <w:r>
              <w:rPr>
                <w:rFonts w:cs="Times New Roman"/>
                <w:color w:val="auto"/>
              </w:rPr>
              <w:t>项目北侧为</w:t>
            </w:r>
            <w:r>
              <w:rPr>
                <w:rFonts w:hint="eastAsia" w:cs="Times New Roman"/>
                <w:color w:val="auto"/>
              </w:rPr>
              <w:t>鼎利路10号院</w:t>
            </w:r>
            <w:r>
              <w:rPr>
                <w:rFonts w:hint="eastAsia" w:cs="Times New Roman"/>
                <w:color w:val="auto"/>
                <w:lang w:eastAsia="zh-CN"/>
              </w:rPr>
              <w:t>（</w:t>
            </w:r>
            <w:r>
              <w:rPr>
                <w:rFonts w:hint="eastAsia" w:cs="Times New Roman"/>
                <w:color w:val="auto"/>
                <w:lang w:val="en-US" w:eastAsia="zh-CN"/>
              </w:rPr>
              <w:t>即西红门</w:t>
            </w:r>
            <w:r>
              <w:rPr>
                <w:rFonts w:cs="Times New Roman"/>
                <w:color w:val="auto"/>
              </w:rPr>
              <w:t>·</w:t>
            </w:r>
            <w:r>
              <w:rPr>
                <w:rFonts w:hint="eastAsia" w:cs="Times New Roman"/>
                <w:color w:val="auto"/>
                <w:lang w:val="en-US" w:eastAsia="zh-CN"/>
              </w:rPr>
              <w:t>智谷10号院</w:t>
            </w:r>
            <w:r>
              <w:rPr>
                <w:rFonts w:hint="eastAsia" w:cs="Times New Roman"/>
                <w:color w:val="auto"/>
                <w:lang w:eastAsia="zh-CN"/>
              </w:rPr>
              <w:t>）</w:t>
            </w:r>
            <w:r>
              <w:rPr>
                <w:rFonts w:hint="eastAsia" w:cs="Times New Roman"/>
                <w:color w:val="auto"/>
                <w:lang w:val="en-US" w:eastAsia="zh-CN"/>
              </w:rPr>
              <w:t>7号楼，北侧120m为</w:t>
            </w:r>
            <w:r>
              <w:rPr>
                <w:rFonts w:hint="eastAsia" w:cs="Times New Roman"/>
                <w:color w:val="auto"/>
              </w:rPr>
              <w:t>鼎利路</w:t>
            </w:r>
            <w:r>
              <w:rPr>
                <w:rFonts w:hint="eastAsia" w:cs="Times New Roman"/>
                <w:color w:val="auto"/>
                <w:lang w:val="en-US" w:eastAsia="zh-CN"/>
              </w:rPr>
              <w:t>。</w:t>
            </w:r>
          </w:p>
          <w:p w14:paraId="0C1F9FAD">
            <w:pPr>
              <w:ind w:firstLine="480"/>
              <w:rPr>
                <w:rFonts w:cs="Times New Roman"/>
                <w:color w:val="auto"/>
              </w:rPr>
            </w:pPr>
            <w:r>
              <w:rPr>
                <w:rFonts w:cs="Times New Roman"/>
                <w:color w:val="auto"/>
              </w:rPr>
              <w:t>项目地理位置及周边关系见附图1、附图2。</w:t>
            </w:r>
          </w:p>
          <w:p w14:paraId="37658248">
            <w:pPr>
              <w:shd w:val="clear"/>
              <w:ind w:firstLine="480"/>
              <w:rPr>
                <w:rFonts w:cs="Times New Roman"/>
                <w:color w:val="auto"/>
                <w:highlight w:val="none"/>
              </w:rPr>
            </w:pPr>
            <w:r>
              <w:rPr>
                <w:rFonts w:cs="Times New Roman"/>
                <w:color w:val="auto"/>
                <w:highlight w:val="none"/>
                <w:shd w:val="clear"/>
              </w:rPr>
              <w:t>（2）平面布局</w:t>
            </w:r>
          </w:p>
          <w:p w14:paraId="06932E2A">
            <w:pPr>
              <w:ind w:firstLine="480"/>
              <w:rPr>
                <w:rFonts w:cs="Times New Roman"/>
                <w:color w:val="auto"/>
              </w:rPr>
            </w:pPr>
            <w:r>
              <w:rPr>
                <w:rFonts w:cs="Times New Roman"/>
                <w:color w:val="auto"/>
              </w:rPr>
              <w:t>本项目位于</w:t>
            </w:r>
            <w:r>
              <w:rPr>
                <w:rFonts w:hint="eastAsia" w:cs="Times New Roman"/>
                <w:color w:val="auto"/>
              </w:rPr>
              <w:t>北京市大兴区鼎利路10号院14号楼1-3层</w:t>
            </w:r>
            <w:r>
              <w:rPr>
                <w:rFonts w:cs="Times New Roman"/>
                <w:color w:val="auto"/>
              </w:rPr>
              <w:t>，项目所在建筑物为一幢4层建筑物，均为地上，本项目位于1</w:t>
            </w:r>
            <w:r>
              <w:rPr>
                <w:rFonts w:hint="eastAsia" w:cs="Times New Roman"/>
                <w:color w:val="auto"/>
                <w:lang w:val="en-US" w:eastAsia="zh-CN"/>
              </w:rPr>
              <w:t>-3</w:t>
            </w:r>
            <w:r>
              <w:rPr>
                <w:rFonts w:cs="Times New Roman"/>
                <w:color w:val="auto"/>
              </w:rPr>
              <w:t>层。</w:t>
            </w:r>
          </w:p>
          <w:p w14:paraId="4433759F">
            <w:pPr>
              <w:ind w:firstLine="480"/>
              <w:rPr>
                <w:rFonts w:hint="default" w:eastAsia="宋体" w:cs="Times New Roman"/>
                <w:color w:val="auto"/>
                <w:lang w:val="en-US" w:eastAsia="zh-CN"/>
              </w:rPr>
            </w:pPr>
            <w:r>
              <w:rPr>
                <w:rFonts w:hint="eastAsia" w:cs="Times New Roman"/>
                <w:color w:val="auto"/>
                <w:lang w:val="en-US" w:eastAsia="zh-CN"/>
              </w:rPr>
              <w:t>项目1层主要设置有：门窗实验室、燃烧实验室、力学实验室、标养室、抗渗实验室、监控室、配电室以及接待大厅等；</w:t>
            </w:r>
          </w:p>
          <w:p w14:paraId="743DFA6A">
            <w:pPr>
              <w:ind w:firstLine="480"/>
              <w:rPr>
                <w:rFonts w:hint="eastAsia" w:cs="Times New Roman"/>
                <w:color w:val="auto"/>
                <w:lang w:val="en-US" w:eastAsia="zh-CN"/>
              </w:rPr>
            </w:pPr>
            <w:r>
              <w:rPr>
                <w:rFonts w:hint="eastAsia" w:cs="Times New Roman"/>
                <w:color w:val="auto"/>
                <w:lang w:val="en-US" w:eastAsia="zh-CN"/>
              </w:rPr>
              <w:t>项目2层主要设置有：石膏实验室、水泥实验室、砖配比实验室、土工实验室、燃烧实验室、防水材料实验室、钢结构实验室、管材实验室、市政实验室、留样室、办公室及会议室等；</w:t>
            </w:r>
          </w:p>
          <w:p w14:paraId="6062E67C">
            <w:pPr>
              <w:ind w:firstLine="480"/>
              <w:rPr>
                <w:rFonts w:hint="default" w:cs="Times New Roman"/>
                <w:color w:val="auto"/>
                <w:lang w:val="en-US" w:eastAsia="zh-CN"/>
              </w:rPr>
            </w:pPr>
            <w:r>
              <w:rPr>
                <w:rFonts w:hint="eastAsia" w:cs="Times New Roman"/>
                <w:color w:val="auto"/>
                <w:lang w:val="en-US" w:eastAsia="zh-CN"/>
              </w:rPr>
              <w:t>项目3层主要设置有：保温实验室、电线检测实验室、板材实验室、化学检测室、色谱室、燃烧标养室、设备库房、试剂室、危险废物暂存间、档案室、总经理室以及办公区。</w:t>
            </w:r>
          </w:p>
          <w:p w14:paraId="2D893CC9">
            <w:pPr>
              <w:ind w:firstLine="480"/>
              <w:rPr>
                <w:rFonts w:cs="Times New Roman"/>
                <w:color w:val="auto"/>
              </w:rPr>
            </w:pPr>
            <w:r>
              <w:rPr>
                <w:rFonts w:cs="Times New Roman"/>
                <w:color w:val="auto"/>
              </w:rPr>
              <w:t>项目平面布置见附图3。</w:t>
            </w:r>
          </w:p>
          <w:p w14:paraId="280FE75B">
            <w:pPr>
              <w:ind w:firstLine="480"/>
              <w:rPr>
                <w:rFonts w:cs="Times New Roman"/>
                <w:color w:val="auto"/>
              </w:rPr>
            </w:pPr>
            <w:r>
              <w:rPr>
                <w:rFonts w:cs="Times New Roman"/>
                <w:color w:val="auto"/>
              </w:rPr>
              <w:t>（3）项目检测规模和检测方案</w:t>
            </w:r>
          </w:p>
          <w:p w14:paraId="6D1009F7">
            <w:pPr>
              <w:ind w:firstLine="480"/>
              <w:rPr>
                <w:rFonts w:cs="Times New Roman"/>
                <w:color w:val="auto"/>
              </w:rPr>
            </w:pPr>
            <w:r>
              <w:rPr>
                <w:rFonts w:cs="Times New Roman"/>
                <w:color w:val="auto"/>
              </w:rPr>
              <w:t>本项目检测规模和检测方案详见下表。</w:t>
            </w:r>
          </w:p>
          <w:p w14:paraId="35425476">
            <w:pPr>
              <w:pStyle w:val="24"/>
              <w:rPr>
                <w:rFonts w:cs="Times New Roman"/>
                <w:color w:val="auto"/>
              </w:rPr>
            </w:pPr>
            <w:r>
              <w:rPr>
                <w:rFonts w:cs="Times New Roman"/>
                <w:color w:val="auto"/>
              </w:rPr>
              <w:t>表2-1 项目检测规模和检测方案一览表</w:t>
            </w:r>
          </w:p>
          <w:tbl>
            <w:tblPr>
              <w:tblStyle w:val="18"/>
              <w:tblW w:w="5000" w:type="pct"/>
              <w:jc w:val="center"/>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427"/>
              <w:gridCol w:w="935"/>
              <w:gridCol w:w="1290"/>
              <w:gridCol w:w="645"/>
              <w:gridCol w:w="630"/>
              <w:gridCol w:w="2250"/>
              <w:gridCol w:w="1846"/>
            </w:tblGrid>
            <w:tr w14:paraId="2A7E4EE3">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tblHeader/>
                <w:jc w:val="center"/>
              </w:trPr>
              <w:tc>
                <w:tcPr>
                  <w:tcW w:w="427" w:type="dxa"/>
                  <w:tcBorders>
                    <w:tl2br w:val="nil"/>
                    <w:tr2bl w:val="nil"/>
                  </w:tcBorders>
                  <w:shd w:val="clear" w:color="auto" w:fill="FFFFFF"/>
                  <w:vAlign w:val="center"/>
                </w:tcPr>
                <w:p w14:paraId="4EB914B2">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序号</w:t>
                  </w:r>
                </w:p>
              </w:tc>
              <w:tc>
                <w:tcPr>
                  <w:tcW w:w="935" w:type="dxa"/>
                  <w:tcBorders>
                    <w:tl2br w:val="nil"/>
                    <w:tr2bl w:val="nil"/>
                  </w:tcBorders>
                  <w:shd w:val="clear" w:color="auto" w:fill="FFFFFF"/>
                  <w:vAlign w:val="center"/>
                </w:tcPr>
                <w:p w14:paraId="752BA97F">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检测项目</w:t>
                  </w:r>
                </w:p>
              </w:tc>
              <w:tc>
                <w:tcPr>
                  <w:tcW w:w="1290" w:type="dxa"/>
                  <w:tcBorders>
                    <w:tl2br w:val="nil"/>
                    <w:tr2bl w:val="nil"/>
                  </w:tcBorders>
                  <w:shd w:val="clear" w:color="auto" w:fill="FFFFFF"/>
                  <w:vAlign w:val="center"/>
                </w:tcPr>
                <w:p w14:paraId="240FE997">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检测设备</w:t>
                  </w:r>
                </w:p>
              </w:tc>
              <w:tc>
                <w:tcPr>
                  <w:tcW w:w="645" w:type="dxa"/>
                  <w:tcBorders>
                    <w:tl2br w:val="nil"/>
                    <w:tr2bl w:val="nil"/>
                  </w:tcBorders>
                  <w:shd w:val="clear" w:color="auto" w:fill="FFFFFF"/>
                  <w:vAlign w:val="center"/>
                </w:tcPr>
                <w:p w14:paraId="289A8A0D">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单位</w:t>
                  </w:r>
                </w:p>
              </w:tc>
              <w:tc>
                <w:tcPr>
                  <w:tcW w:w="630" w:type="dxa"/>
                  <w:tcBorders>
                    <w:tl2br w:val="nil"/>
                    <w:tr2bl w:val="nil"/>
                  </w:tcBorders>
                  <w:shd w:val="clear" w:color="auto" w:fill="FFFFFF"/>
                  <w:vAlign w:val="center"/>
                </w:tcPr>
                <w:p w14:paraId="72FE0FD6">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样品</w:t>
                  </w:r>
                </w:p>
              </w:tc>
              <w:tc>
                <w:tcPr>
                  <w:tcW w:w="2250" w:type="dxa"/>
                  <w:tcBorders>
                    <w:tl2br w:val="nil"/>
                    <w:tr2bl w:val="nil"/>
                  </w:tcBorders>
                  <w:shd w:val="clear" w:color="auto" w:fill="FFFFFF"/>
                  <w:vAlign w:val="center"/>
                </w:tcPr>
                <w:p w14:paraId="00B2B919">
                  <w:pPr>
                    <w:pStyle w:val="26"/>
                    <w:wordWrap w:val="0"/>
                    <w:topLinePunct/>
                    <w:adjustRightInd w:val="0"/>
                    <w:snapToGrid w:val="0"/>
                    <w:spacing w:line="240" w:lineRule="auto"/>
                    <w:rPr>
                      <w:rFonts w:cs="Times New Roman"/>
                      <w:b/>
                      <w:bCs/>
                      <w:color w:val="auto"/>
                      <w:szCs w:val="21"/>
                    </w:rPr>
                  </w:pPr>
                  <w:r>
                    <w:rPr>
                      <w:rFonts w:hint="eastAsia" w:cs="Times New Roman"/>
                      <w:b/>
                      <w:bCs/>
                      <w:color w:val="auto"/>
                      <w:szCs w:val="21"/>
                    </w:rPr>
                    <w:t>样品</w:t>
                  </w:r>
                  <w:r>
                    <w:rPr>
                      <w:rFonts w:cs="Times New Roman"/>
                      <w:b/>
                      <w:bCs/>
                      <w:color w:val="auto"/>
                      <w:szCs w:val="21"/>
                    </w:rPr>
                    <w:t>类别</w:t>
                  </w:r>
                </w:p>
              </w:tc>
              <w:tc>
                <w:tcPr>
                  <w:tcW w:w="1846" w:type="dxa"/>
                  <w:tcBorders>
                    <w:tl2br w:val="nil"/>
                    <w:tr2bl w:val="nil"/>
                  </w:tcBorders>
                  <w:shd w:val="clear" w:color="auto" w:fill="FFFFFF"/>
                  <w:vAlign w:val="center"/>
                </w:tcPr>
                <w:p w14:paraId="3B87FB75">
                  <w:pPr>
                    <w:pStyle w:val="26"/>
                    <w:wordWrap w:val="0"/>
                    <w:topLinePunct/>
                    <w:adjustRightInd w:val="0"/>
                    <w:snapToGrid w:val="0"/>
                    <w:spacing w:line="240" w:lineRule="auto"/>
                    <w:rPr>
                      <w:rFonts w:cs="Times New Roman"/>
                      <w:b/>
                      <w:bCs/>
                      <w:color w:val="auto"/>
                      <w:szCs w:val="21"/>
                    </w:rPr>
                  </w:pPr>
                  <w:r>
                    <w:rPr>
                      <w:rFonts w:hint="eastAsia" w:cs="Times New Roman"/>
                      <w:b/>
                      <w:bCs/>
                      <w:color w:val="auto"/>
                      <w:szCs w:val="21"/>
                    </w:rPr>
                    <w:t>样品</w:t>
                  </w:r>
                  <w:r>
                    <w:rPr>
                      <w:rFonts w:cs="Times New Roman"/>
                      <w:b/>
                      <w:bCs/>
                      <w:color w:val="auto"/>
                      <w:szCs w:val="21"/>
                    </w:rPr>
                    <w:t>尺寸</w:t>
                  </w:r>
                </w:p>
              </w:tc>
            </w:tr>
            <w:tr w14:paraId="7F132E4A">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96ADF90">
                  <w:pPr>
                    <w:pStyle w:val="26"/>
                    <w:wordWrap w:val="0"/>
                    <w:topLinePunct/>
                    <w:adjustRightInd w:val="0"/>
                    <w:snapToGrid w:val="0"/>
                    <w:spacing w:line="240" w:lineRule="auto"/>
                    <w:rPr>
                      <w:rFonts w:cs="Times New Roman"/>
                      <w:color w:val="auto"/>
                      <w:szCs w:val="21"/>
                    </w:rPr>
                  </w:pPr>
                  <w:r>
                    <w:rPr>
                      <w:rFonts w:hint="eastAsia" w:cs="Times New Roman"/>
                      <w:color w:val="auto"/>
                      <w:szCs w:val="21"/>
                    </w:rPr>
                    <w:t>1</w:t>
                  </w:r>
                </w:p>
              </w:tc>
              <w:tc>
                <w:tcPr>
                  <w:tcW w:w="935" w:type="dxa"/>
                  <w:tcBorders>
                    <w:tl2br w:val="nil"/>
                    <w:tr2bl w:val="nil"/>
                  </w:tcBorders>
                  <w:shd w:val="clear" w:color="auto" w:fill="FFFFFF"/>
                  <w:vAlign w:val="center"/>
                </w:tcPr>
                <w:p w14:paraId="4EF05762">
                  <w:pPr>
                    <w:pStyle w:val="26"/>
                    <w:wordWrap w:val="0"/>
                    <w:topLinePunct/>
                    <w:adjustRightInd w:val="0"/>
                    <w:snapToGrid w:val="0"/>
                    <w:spacing w:line="240" w:lineRule="auto"/>
                    <w:rPr>
                      <w:rFonts w:cs="Times New Roman"/>
                      <w:color w:val="auto"/>
                      <w:szCs w:val="21"/>
                    </w:rPr>
                  </w:pPr>
                  <w:r>
                    <w:rPr>
                      <w:rFonts w:cs="Times New Roman"/>
                      <w:color w:val="auto"/>
                      <w:szCs w:val="21"/>
                    </w:rPr>
                    <w:t>难燃性</w:t>
                  </w:r>
                </w:p>
                <w:p w14:paraId="43FB5FA5">
                  <w:pPr>
                    <w:pStyle w:val="26"/>
                    <w:wordWrap w:val="0"/>
                    <w:topLinePunct/>
                    <w:adjustRightInd w:val="0"/>
                    <w:snapToGrid w:val="0"/>
                    <w:spacing w:line="240" w:lineRule="auto"/>
                    <w:rPr>
                      <w:rFonts w:cs="Times New Roman"/>
                      <w:color w:val="auto"/>
                      <w:szCs w:val="21"/>
                    </w:rPr>
                  </w:pPr>
                  <w:r>
                    <w:rPr>
                      <w:rFonts w:hint="eastAsia" w:cs="Times New Roman"/>
                      <w:color w:val="auto"/>
                      <w:szCs w:val="21"/>
                    </w:rPr>
                    <w:t>试验</w:t>
                  </w:r>
                </w:p>
              </w:tc>
              <w:tc>
                <w:tcPr>
                  <w:tcW w:w="1290" w:type="dxa"/>
                  <w:tcBorders>
                    <w:tl2br w:val="nil"/>
                    <w:tr2bl w:val="nil"/>
                  </w:tcBorders>
                  <w:shd w:val="clear" w:color="auto" w:fill="FFFFFF"/>
                  <w:vAlign w:val="center"/>
                </w:tcPr>
                <w:p w14:paraId="47C0288D">
                  <w:pPr>
                    <w:pStyle w:val="26"/>
                    <w:wordWrap w:val="0"/>
                    <w:topLinePunct/>
                    <w:adjustRightInd w:val="0"/>
                    <w:snapToGrid w:val="0"/>
                    <w:spacing w:line="240" w:lineRule="auto"/>
                    <w:rPr>
                      <w:rFonts w:cs="Times New Roman"/>
                      <w:color w:val="auto"/>
                      <w:szCs w:val="21"/>
                    </w:rPr>
                  </w:pPr>
                  <w:r>
                    <w:rPr>
                      <w:rFonts w:cs="Times New Roman"/>
                      <w:color w:val="auto"/>
                      <w:szCs w:val="21"/>
                    </w:rPr>
                    <w:t>建筑材料难燃性试验炉</w:t>
                  </w:r>
                </w:p>
              </w:tc>
              <w:tc>
                <w:tcPr>
                  <w:tcW w:w="645" w:type="dxa"/>
                  <w:tcBorders>
                    <w:tl2br w:val="nil"/>
                    <w:tr2bl w:val="nil"/>
                  </w:tcBorders>
                  <w:shd w:val="clear" w:color="auto" w:fill="FFFFFF"/>
                  <w:vAlign w:val="center"/>
                </w:tcPr>
                <w:p w14:paraId="5190BF0D">
                  <w:pPr>
                    <w:pStyle w:val="26"/>
                    <w:wordWrap w:val="0"/>
                    <w:topLinePunct/>
                    <w:adjustRightInd w:val="0"/>
                    <w:snapToGrid w:val="0"/>
                    <w:spacing w:line="240" w:lineRule="auto"/>
                    <w:rPr>
                      <w:rFonts w:cs="Times New Roman"/>
                      <w:color w:val="auto"/>
                      <w:szCs w:val="21"/>
                    </w:rPr>
                  </w:pPr>
                  <w:r>
                    <w:rPr>
                      <w:rFonts w:cs="Times New Roman"/>
                      <w:color w:val="auto"/>
                      <w:szCs w:val="21"/>
                    </w:rPr>
                    <w:t>组/a</w:t>
                  </w:r>
                </w:p>
              </w:tc>
              <w:tc>
                <w:tcPr>
                  <w:tcW w:w="630" w:type="dxa"/>
                  <w:tcBorders>
                    <w:tl2br w:val="nil"/>
                    <w:tr2bl w:val="nil"/>
                  </w:tcBorders>
                  <w:shd w:val="clear" w:color="auto" w:fill="FFFFFF"/>
                  <w:vAlign w:val="center"/>
                </w:tcPr>
                <w:p w14:paraId="07B76950">
                  <w:pPr>
                    <w:pStyle w:val="26"/>
                    <w:wordWrap w:val="0"/>
                    <w:topLinePunct/>
                    <w:adjustRightInd w:val="0"/>
                    <w:snapToGrid w:val="0"/>
                    <w:spacing w:line="240" w:lineRule="auto"/>
                    <w:rPr>
                      <w:rFonts w:cs="Times New Roman"/>
                      <w:color w:val="auto"/>
                      <w:szCs w:val="21"/>
                    </w:rPr>
                  </w:pPr>
                  <w:r>
                    <w:rPr>
                      <w:rFonts w:cs="Times New Roman"/>
                      <w:color w:val="auto"/>
                      <w:szCs w:val="21"/>
                    </w:rPr>
                    <w:t>30</w:t>
                  </w:r>
                </w:p>
              </w:tc>
              <w:tc>
                <w:tcPr>
                  <w:tcW w:w="2250" w:type="dxa"/>
                  <w:tcBorders>
                    <w:tl2br w:val="nil"/>
                    <w:tr2bl w:val="nil"/>
                  </w:tcBorders>
                  <w:shd w:val="clear" w:color="auto" w:fill="FFFFFF"/>
                  <w:vAlign w:val="center"/>
                </w:tcPr>
                <w:p w14:paraId="1DC2089F">
                  <w:pPr>
                    <w:pStyle w:val="26"/>
                    <w:wordWrap w:val="0"/>
                    <w:topLinePunct/>
                    <w:adjustRightInd w:val="0"/>
                    <w:snapToGrid w:val="0"/>
                    <w:spacing w:line="240" w:lineRule="auto"/>
                    <w:rPr>
                      <w:rFonts w:cs="Times New Roman"/>
                      <w:color w:val="auto"/>
                      <w:szCs w:val="21"/>
                    </w:rPr>
                  </w:pPr>
                  <w:r>
                    <w:rPr>
                      <w:rFonts w:cs="Times New Roman"/>
                      <w:color w:val="auto"/>
                      <w:szCs w:val="21"/>
                    </w:rPr>
                    <w:t>聚氨酯复合保温板、防火涂料</w:t>
                  </w:r>
                </w:p>
              </w:tc>
              <w:tc>
                <w:tcPr>
                  <w:tcW w:w="1846" w:type="dxa"/>
                  <w:tcBorders>
                    <w:tl2br w:val="nil"/>
                    <w:tr2bl w:val="nil"/>
                  </w:tcBorders>
                  <w:shd w:val="clear" w:color="auto" w:fill="FFFFFF"/>
                  <w:vAlign w:val="center"/>
                </w:tcPr>
                <w:p w14:paraId="2BC51CE3">
                  <w:pPr>
                    <w:pStyle w:val="26"/>
                    <w:wordWrap w:val="0"/>
                    <w:topLinePunct/>
                    <w:adjustRightInd w:val="0"/>
                    <w:snapToGrid w:val="0"/>
                    <w:spacing w:line="240" w:lineRule="auto"/>
                    <w:rPr>
                      <w:rFonts w:cs="Times New Roman"/>
                      <w:color w:val="auto"/>
                      <w:szCs w:val="21"/>
                    </w:rPr>
                  </w:pPr>
                  <w:r>
                    <w:rPr>
                      <w:rFonts w:cs="Times New Roman"/>
                      <w:color w:val="auto"/>
                      <w:szCs w:val="21"/>
                    </w:rPr>
                    <w:t>190mm*1000mm*厚度，12块/组</w:t>
                  </w:r>
                </w:p>
              </w:tc>
            </w:tr>
            <w:tr w14:paraId="20D179DC">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5996DEC">
                  <w:pPr>
                    <w:pStyle w:val="26"/>
                    <w:wordWrap w:val="0"/>
                    <w:topLinePunct/>
                    <w:adjustRightInd w:val="0"/>
                    <w:snapToGrid w:val="0"/>
                    <w:spacing w:line="240" w:lineRule="auto"/>
                    <w:rPr>
                      <w:rFonts w:cs="Times New Roman"/>
                      <w:color w:val="auto"/>
                      <w:szCs w:val="21"/>
                    </w:rPr>
                  </w:pPr>
                  <w:r>
                    <w:rPr>
                      <w:rFonts w:hint="eastAsia" w:cs="Times New Roman"/>
                      <w:color w:val="auto"/>
                      <w:szCs w:val="21"/>
                    </w:rPr>
                    <w:t>2</w:t>
                  </w:r>
                </w:p>
              </w:tc>
              <w:tc>
                <w:tcPr>
                  <w:tcW w:w="935" w:type="dxa"/>
                  <w:tcBorders>
                    <w:tl2br w:val="nil"/>
                    <w:tr2bl w:val="nil"/>
                  </w:tcBorders>
                  <w:shd w:val="clear" w:color="auto" w:fill="FFFFFF"/>
                  <w:vAlign w:val="center"/>
                </w:tcPr>
                <w:p w14:paraId="7BB5CDBF">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单体燃烧</w:t>
                  </w:r>
                  <w:r>
                    <w:rPr>
                      <w:rFonts w:hint="eastAsia" w:cs="Times New Roman"/>
                      <w:color w:val="auto"/>
                      <w:szCs w:val="21"/>
                    </w:rPr>
                    <w:t>试验</w:t>
                  </w:r>
                </w:p>
              </w:tc>
              <w:tc>
                <w:tcPr>
                  <w:tcW w:w="1290" w:type="dxa"/>
                  <w:tcBorders>
                    <w:tl2br w:val="nil"/>
                    <w:tr2bl w:val="nil"/>
                  </w:tcBorders>
                  <w:shd w:val="clear" w:color="auto" w:fill="FFFFFF"/>
                  <w:vAlign w:val="center"/>
                </w:tcPr>
                <w:p w14:paraId="64FCEE7E">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kern w:val="0"/>
                      <w:szCs w:val="21"/>
                    </w:rPr>
                    <w:t>单体燃烧试验装置</w:t>
                  </w:r>
                </w:p>
              </w:tc>
              <w:tc>
                <w:tcPr>
                  <w:tcW w:w="645" w:type="dxa"/>
                  <w:tcBorders>
                    <w:tl2br w:val="nil"/>
                    <w:tr2bl w:val="nil"/>
                  </w:tcBorders>
                  <w:shd w:val="clear" w:color="auto" w:fill="FFFFFF"/>
                  <w:vAlign w:val="center"/>
                </w:tcPr>
                <w:p w14:paraId="7A57C20D">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组/a</w:t>
                  </w:r>
                </w:p>
              </w:tc>
              <w:tc>
                <w:tcPr>
                  <w:tcW w:w="630" w:type="dxa"/>
                  <w:tcBorders>
                    <w:tl2br w:val="nil"/>
                    <w:tr2bl w:val="nil"/>
                  </w:tcBorders>
                  <w:shd w:val="clear" w:color="auto" w:fill="FFFFFF"/>
                  <w:vAlign w:val="center"/>
                </w:tcPr>
                <w:p w14:paraId="77F77DDF">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250</w:t>
                  </w:r>
                </w:p>
              </w:tc>
              <w:tc>
                <w:tcPr>
                  <w:tcW w:w="2250" w:type="dxa"/>
                  <w:tcBorders>
                    <w:tl2br w:val="nil"/>
                    <w:tr2bl w:val="nil"/>
                  </w:tcBorders>
                  <w:shd w:val="clear" w:color="auto" w:fill="FFFFFF"/>
                  <w:vAlign w:val="center"/>
                </w:tcPr>
                <w:p w14:paraId="1E4148C4">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挤塑聚苯板、模塑聚苯板、纸面石膏板、壁纸、壁布、橡塑、聚氨酯、矿棉吸音板、岩棉板、玻璃棉板</w:t>
                  </w:r>
                </w:p>
              </w:tc>
              <w:tc>
                <w:tcPr>
                  <w:tcW w:w="1846" w:type="dxa"/>
                  <w:tcBorders>
                    <w:tl2br w:val="nil"/>
                    <w:tr2bl w:val="nil"/>
                  </w:tcBorders>
                  <w:shd w:val="clear" w:color="auto" w:fill="FFFFFF"/>
                  <w:vAlign w:val="center"/>
                </w:tcPr>
                <w:p w14:paraId="350AF4AA">
                  <w:pPr>
                    <w:pStyle w:val="26"/>
                    <w:wordWrap w:val="0"/>
                    <w:topLinePunct/>
                    <w:adjustRightInd w:val="0"/>
                    <w:snapToGrid w:val="0"/>
                    <w:spacing w:line="240" w:lineRule="auto"/>
                    <w:rPr>
                      <w:rFonts w:cs="Times New Roman"/>
                      <w:color w:val="auto"/>
                      <w:szCs w:val="21"/>
                    </w:rPr>
                  </w:pPr>
                  <w:r>
                    <w:rPr>
                      <w:rFonts w:cs="Times New Roman"/>
                      <w:color w:val="auto"/>
                      <w:szCs w:val="21"/>
                    </w:rPr>
                    <w:t>1500mm*1000mm*厚度3块</w:t>
                  </w:r>
                </w:p>
                <w:p w14:paraId="1A9004DC">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1500mm*500mm*厚度</w:t>
                  </w:r>
                  <w:r>
                    <w:rPr>
                      <w:rFonts w:hint="eastAsia" w:cs="Times New Roman"/>
                      <w:color w:val="auto"/>
                      <w:sz w:val="21"/>
                      <w:szCs w:val="21"/>
                    </w:rPr>
                    <w:t>，</w:t>
                  </w:r>
                  <w:r>
                    <w:rPr>
                      <w:rFonts w:cs="Times New Roman"/>
                      <w:color w:val="auto"/>
                      <w:sz w:val="21"/>
                      <w:szCs w:val="21"/>
                    </w:rPr>
                    <w:t>3块/组</w:t>
                  </w:r>
                </w:p>
              </w:tc>
            </w:tr>
            <w:tr w14:paraId="06F67799">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2E53AE5">
                  <w:pPr>
                    <w:pStyle w:val="26"/>
                    <w:wordWrap w:val="0"/>
                    <w:topLinePunct/>
                    <w:adjustRightInd w:val="0"/>
                    <w:snapToGrid w:val="0"/>
                    <w:spacing w:line="240" w:lineRule="auto"/>
                    <w:rPr>
                      <w:rFonts w:cs="Times New Roman"/>
                      <w:color w:val="auto"/>
                      <w:szCs w:val="21"/>
                    </w:rPr>
                  </w:pPr>
                  <w:r>
                    <w:rPr>
                      <w:rFonts w:hint="eastAsia" w:cs="Times New Roman"/>
                      <w:color w:val="auto"/>
                      <w:szCs w:val="21"/>
                    </w:rPr>
                    <w:t>3</w:t>
                  </w:r>
                </w:p>
              </w:tc>
              <w:tc>
                <w:tcPr>
                  <w:tcW w:w="935" w:type="dxa"/>
                  <w:tcBorders>
                    <w:tl2br w:val="nil"/>
                    <w:tr2bl w:val="nil"/>
                  </w:tcBorders>
                  <w:shd w:val="clear" w:color="auto" w:fill="FFFFFF"/>
                  <w:vAlign w:val="center"/>
                </w:tcPr>
                <w:p w14:paraId="2FBBE3BC">
                  <w:pPr>
                    <w:pStyle w:val="26"/>
                    <w:wordWrap w:val="0"/>
                    <w:topLinePunct/>
                    <w:adjustRightInd w:val="0"/>
                    <w:snapToGrid w:val="0"/>
                    <w:spacing w:line="240" w:lineRule="auto"/>
                    <w:rPr>
                      <w:rFonts w:cs="Times New Roman"/>
                      <w:color w:val="auto"/>
                      <w:szCs w:val="21"/>
                    </w:rPr>
                  </w:pPr>
                  <w:r>
                    <w:rPr>
                      <w:rFonts w:cs="Times New Roman"/>
                      <w:color w:val="auto"/>
                      <w:szCs w:val="21"/>
                    </w:rPr>
                    <w:t>可燃性</w:t>
                  </w:r>
                </w:p>
                <w:p w14:paraId="33686AF4">
                  <w:pPr>
                    <w:pStyle w:val="26"/>
                    <w:wordWrap w:val="0"/>
                    <w:topLinePunct/>
                    <w:adjustRightInd w:val="0"/>
                    <w:snapToGrid w:val="0"/>
                    <w:spacing w:line="240" w:lineRule="auto"/>
                    <w:ind w:firstLine="0" w:firstLineChars="0"/>
                    <w:rPr>
                      <w:rFonts w:ascii="Times New Roman" w:hAnsi="Times New Roman" w:eastAsia="宋体" w:cstheme="minorBidi"/>
                      <w:color w:val="auto"/>
                      <w:kern w:val="2"/>
                      <w:sz w:val="21"/>
                      <w:szCs w:val="24"/>
                      <w:lang w:val="en-US" w:eastAsia="zh-CN" w:bidi="ar-SA"/>
                    </w:rPr>
                  </w:pPr>
                  <w:r>
                    <w:rPr>
                      <w:rFonts w:hint="eastAsia" w:cs="Times New Roman"/>
                      <w:color w:val="auto"/>
                      <w:szCs w:val="21"/>
                    </w:rPr>
                    <w:t>试验</w:t>
                  </w:r>
                </w:p>
              </w:tc>
              <w:tc>
                <w:tcPr>
                  <w:tcW w:w="1290" w:type="dxa"/>
                  <w:tcBorders>
                    <w:tl2br w:val="nil"/>
                    <w:tr2bl w:val="nil"/>
                  </w:tcBorders>
                  <w:shd w:val="clear" w:color="auto" w:fill="FFFFFF"/>
                  <w:vAlign w:val="center"/>
                </w:tcPr>
                <w:p w14:paraId="18CA02CC">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kern w:val="0"/>
                      <w:szCs w:val="21"/>
                    </w:rPr>
                    <w:t>建筑材料可燃性试验机</w:t>
                  </w:r>
                </w:p>
              </w:tc>
              <w:tc>
                <w:tcPr>
                  <w:tcW w:w="645" w:type="dxa"/>
                  <w:tcBorders>
                    <w:tl2br w:val="nil"/>
                    <w:tr2bl w:val="nil"/>
                  </w:tcBorders>
                  <w:shd w:val="clear" w:color="auto" w:fill="FFFFFF"/>
                  <w:vAlign w:val="center"/>
                </w:tcPr>
                <w:p w14:paraId="1B01F3E0">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组/a</w:t>
                  </w:r>
                </w:p>
              </w:tc>
              <w:tc>
                <w:tcPr>
                  <w:tcW w:w="630" w:type="dxa"/>
                  <w:tcBorders>
                    <w:tl2br w:val="nil"/>
                    <w:tr2bl w:val="nil"/>
                  </w:tcBorders>
                  <w:shd w:val="clear" w:color="auto" w:fill="FFFFFF"/>
                  <w:vAlign w:val="center"/>
                </w:tcPr>
                <w:p w14:paraId="701231C5">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230</w:t>
                  </w:r>
                </w:p>
              </w:tc>
              <w:tc>
                <w:tcPr>
                  <w:tcW w:w="2250" w:type="dxa"/>
                  <w:tcBorders>
                    <w:tl2br w:val="nil"/>
                    <w:tr2bl w:val="nil"/>
                  </w:tcBorders>
                  <w:shd w:val="clear" w:color="auto" w:fill="FFFFFF"/>
                  <w:vAlign w:val="center"/>
                </w:tcPr>
                <w:p w14:paraId="407BEDC2">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cs="Times New Roman"/>
                      <w:color w:val="auto"/>
                      <w:szCs w:val="21"/>
                    </w:rPr>
                    <w:t>挤塑聚苯板、模塑聚苯板、纸面石膏板、壁纸、壁布、橡塑、聚氨酯、矿棉吸音板、卷材地板</w:t>
                  </w:r>
                </w:p>
              </w:tc>
              <w:tc>
                <w:tcPr>
                  <w:tcW w:w="1846" w:type="dxa"/>
                  <w:tcBorders>
                    <w:tl2br w:val="nil"/>
                    <w:tr2bl w:val="nil"/>
                  </w:tcBorders>
                  <w:shd w:val="clear" w:color="auto" w:fill="FFFFFF"/>
                  <w:vAlign w:val="center"/>
                </w:tcPr>
                <w:p w14:paraId="6DDFD3CF">
                  <w:pPr>
                    <w:pStyle w:val="26"/>
                    <w:wordWrap w:val="0"/>
                    <w:topLinePunct/>
                    <w:adjustRightInd w:val="0"/>
                    <w:snapToGrid w:val="0"/>
                    <w:spacing w:line="240" w:lineRule="auto"/>
                    <w:rPr>
                      <w:rFonts w:cs="Times New Roman"/>
                      <w:color w:val="auto"/>
                      <w:szCs w:val="21"/>
                    </w:rPr>
                  </w:pPr>
                  <w:r>
                    <w:rPr>
                      <w:rFonts w:cs="Times New Roman"/>
                      <w:color w:val="auto"/>
                      <w:szCs w:val="21"/>
                    </w:rPr>
                    <w:t>250mm*180mm*厚度，6块/组或</w:t>
                  </w:r>
                </w:p>
                <w:p w14:paraId="3C847FCA">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250mm*90mm*厚度，6块/组</w:t>
                  </w:r>
                </w:p>
              </w:tc>
            </w:tr>
            <w:tr w14:paraId="26F0071C">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73663489">
                  <w:pPr>
                    <w:pStyle w:val="26"/>
                    <w:wordWrap w:val="0"/>
                    <w:topLinePunct/>
                    <w:adjustRightInd w:val="0"/>
                    <w:snapToGrid w:val="0"/>
                    <w:spacing w:line="240" w:lineRule="auto"/>
                    <w:rPr>
                      <w:rFonts w:cs="Times New Roman"/>
                      <w:color w:val="auto"/>
                      <w:szCs w:val="21"/>
                    </w:rPr>
                  </w:pPr>
                  <w:r>
                    <w:rPr>
                      <w:rFonts w:hint="eastAsia" w:cs="Times New Roman"/>
                      <w:color w:val="auto"/>
                      <w:szCs w:val="21"/>
                    </w:rPr>
                    <w:t>4</w:t>
                  </w:r>
                </w:p>
              </w:tc>
              <w:tc>
                <w:tcPr>
                  <w:tcW w:w="935" w:type="dxa"/>
                  <w:tcBorders>
                    <w:tl2br w:val="nil"/>
                    <w:tr2bl w:val="nil"/>
                  </w:tcBorders>
                  <w:shd w:val="clear" w:color="auto" w:fill="FFFFFF"/>
                  <w:vAlign w:val="center"/>
                </w:tcPr>
                <w:p w14:paraId="2842B83F">
                  <w:pPr>
                    <w:pStyle w:val="26"/>
                    <w:wordWrap w:val="0"/>
                    <w:topLinePunct/>
                    <w:adjustRightInd w:val="0"/>
                    <w:snapToGrid w:val="0"/>
                    <w:spacing w:line="240" w:lineRule="auto"/>
                    <w:rPr>
                      <w:rFonts w:cs="Times New Roman"/>
                      <w:color w:val="auto"/>
                      <w:szCs w:val="21"/>
                    </w:rPr>
                  </w:pPr>
                  <w:r>
                    <w:rPr>
                      <w:rFonts w:cs="Times New Roman"/>
                      <w:color w:val="auto"/>
                      <w:szCs w:val="21"/>
                    </w:rPr>
                    <w:t>氧指数</w:t>
                  </w:r>
                </w:p>
                <w:p w14:paraId="5E9F584D">
                  <w:pPr>
                    <w:pStyle w:val="26"/>
                    <w:wordWrap w:val="0"/>
                    <w:topLinePunct/>
                    <w:adjustRightInd w:val="0"/>
                    <w:snapToGrid w:val="0"/>
                    <w:spacing w:line="240" w:lineRule="auto"/>
                    <w:ind w:firstLine="0" w:firstLineChars="0"/>
                    <w:rPr>
                      <w:rFonts w:ascii="Times New Roman" w:hAnsi="Times New Roman" w:eastAsia="宋体" w:cstheme="minorBidi"/>
                      <w:color w:val="auto"/>
                      <w:kern w:val="2"/>
                      <w:sz w:val="21"/>
                      <w:szCs w:val="24"/>
                      <w:lang w:val="en-US" w:eastAsia="zh-CN" w:bidi="ar-SA"/>
                    </w:rPr>
                  </w:pPr>
                  <w:r>
                    <w:rPr>
                      <w:rFonts w:hint="eastAsia" w:cs="Times New Roman"/>
                      <w:color w:val="auto"/>
                      <w:szCs w:val="21"/>
                    </w:rPr>
                    <w:t>试验</w:t>
                  </w:r>
                </w:p>
              </w:tc>
              <w:tc>
                <w:tcPr>
                  <w:tcW w:w="1290" w:type="dxa"/>
                  <w:tcBorders>
                    <w:tl2br w:val="nil"/>
                    <w:tr2bl w:val="nil"/>
                  </w:tcBorders>
                  <w:shd w:val="clear" w:color="auto" w:fill="FFFFFF"/>
                  <w:vAlign w:val="center"/>
                </w:tcPr>
                <w:p w14:paraId="75C74493">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kern w:val="0"/>
                      <w:szCs w:val="21"/>
                    </w:rPr>
                    <w:t>数字式氧指数测定仪</w:t>
                  </w:r>
                </w:p>
              </w:tc>
              <w:tc>
                <w:tcPr>
                  <w:tcW w:w="645" w:type="dxa"/>
                  <w:tcBorders>
                    <w:tl2br w:val="nil"/>
                    <w:tr2bl w:val="nil"/>
                  </w:tcBorders>
                  <w:shd w:val="clear" w:color="auto" w:fill="FFFFFF"/>
                  <w:vAlign w:val="center"/>
                </w:tcPr>
                <w:p w14:paraId="296933B5">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组/a</w:t>
                  </w:r>
                </w:p>
              </w:tc>
              <w:tc>
                <w:tcPr>
                  <w:tcW w:w="630" w:type="dxa"/>
                  <w:tcBorders>
                    <w:tl2br w:val="nil"/>
                    <w:tr2bl w:val="nil"/>
                  </w:tcBorders>
                  <w:shd w:val="clear" w:color="auto" w:fill="FFFFFF"/>
                  <w:vAlign w:val="center"/>
                </w:tcPr>
                <w:p w14:paraId="5DED07F6">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150</w:t>
                  </w:r>
                </w:p>
              </w:tc>
              <w:tc>
                <w:tcPr>
                  <w:tcW w:w="2250" w:type="dxa"/>
                  <w:tcBorders>
                    <w:tl2br w:val="nil"/>
                    <w:tr2bl w:val="nil"/>
                  </w:tcBorders>
                  <w:shd w:val="clear" w:color="auto" w:fill="FFFFFF"/>
                  <w:vAlign w:val="center"/>
                </w:tcPr>
                <w:p w14:paraId="026B9BC3">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挤塑聚苯板、模塑聚苯板、窗帘</w:t>
                  </w:r>
                </w:p>
              </w:tc>
              <w:tc>
                <w:tcPr>
                  <w:tcW w:w="1846" w:type="dxa"/>
                  <w:tcBorders>
                    <w:tl2br w:val="nil"/>
                    <w:tr2bl w:val="nil"/>
                  </w:tcBorders>
                  <w:shd w:val="clear" w:color="auto" w:fill="FFFFFF"/>
                  <w:vAlign w:val="center"/>
                </w:tcPr>
                <w:p w14:paraId="62943A77">
                  <w:pPr>
                    <w:pStyle w:val="26"/>
                    <w:wordWrap w:val="0"/>
                    <w:topLinePunct/>
                    <w:adjustRightInd w:val="0"/>
                    <w:snapToGrid w:val="0"/>
                    <w:spacing w:line="240" w:lineRule="auto"/>
                    <w:rPr>
                      <w:rFonts w:cs="Times New Roman"/>
                      <w:color w:val="auto"/>
                      <w:szCs w:val="21"/>
                    </w:rPr>
                  </w:pPr>
                  <w:r>
                    <w:rPr>
                      <w:rFonts w:cs="Times New Roman"/>
                      <w:color w:val="auto"/>
                      <w:szCs w:val="21"/>
                    </w:rPr>
                    <w:t>150mm*10mm*10mm</w:t>
                  </w:r>
                  <w:r>
                    <w:rPr>
                      <w:rFonts w:hint="eastAsia" w:cs="Times New Roman"/>
                      <w:color w:val="auto"/>
                      <w:szCs w:val="21"/>
                    </w:rPr>
                    <w:t>，</w:t>
                  </w:r>
                  <w:r>
                    <w:rPr>
                      <w:rFonts w:cs="Times New Roman"/>
                      <w:color w:val="auto"/>
                      <w:szCs w:val="21"/>
                    </w:rPr>
                    <w:t>15根/组或</w:t>
                  </w:r>
                </w:p>
                <w:p w14:paraId="3EDB02C7">
                  <w:pPr>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150mm*58mm*厚度经、纬各15块</w:t>
                  </w:r>
                </w:p>
              </w:tc>
            </w:tr>
            <w:tr w14:paraId="5EAA4A15">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8B07467">
                  <w:pPr>
                    <w:pStyle w:val="26"/>
                    <w:wordWrap w:val="0"/>
                    <w:topLinePunct/>
                    <w:adjustRightInd w:val="0"/>
                    <w:snapToGrid w:val="0"/>
                    <w:spacing w:line="240" w:lineRule="auto"/>
                    <w:rPr>
                      <w:rFonts w:cs="Times New Roman"/>
                      <w:color w:val="auto"/>
                      <w:szCs w:val="21"/>
                    </w:rPr>
                  </w:pPr>
                  <w:r>
                    <w:rPr>
                      <w:rFonts w:hint="eastAsia" w:cs="Times New Roman"/>
                      <w:color w:val="auto"/>
                      <w:szCs w:val="21"/>
                    </w:rPr>
                    <w:t>5</w:t>
                  </w:r>
                </w:p>
              </w:tc>
              <w:tc>
                <w:tcPr>
                  <w:tcW w:w="935" w:type="dxa"/>
                  <w:tcBorders>
                    <w:tl2br w:val="nil"/>
                    <w:tr2bl w:val="nil"/>
                  </w:tcBorders>
                  <w:shd w:val="clear" w:color="auto" w:fill="FFFFFF"/>
                  <w:vAlign w:val="center"/>
                </w:tcPr>
                <w:p w14:paraId="3494F23F">
                  <w:pPr>
                    <w:pStyle w:val="26"/>
                    <w:wordWrap w:val="0"/>
                    <w:topLinePunct/>
                    <w:adjustRightInd w:val="0"/>
                    <w:snapToGrid w:val="0"/>
                    <w:spacing w:line="240" w:lineRule="auto"/>
                    <w:rPr>
                      <w:rFonts w:cs="Times New Roman"/>
                      <w:color w:val="auto"/>
                      <w:szCs w:val="21"/>
                    </w:rPr>
                  </w:pPr>
                  <w:r>
                    <w:rPr>
                      <w:rFonts w:cs="Times New Roman"/>
                      <w:color w:val="auto"/>
                      <w:szCs w:val="21"/>
                    </w:rPr>
                    <w:t>热值</w:t>
                  </w:r>
                </w:p>
                <w:p w14:paraId="2CB8C814">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试验</w:t>
                  </w:r>
                </w:p>
              </w:tc>
              <w:tc>
                <w:tcPr>
                  <w:tcW w:w="1290" w:type="dxa"/>
                  <w:tcBorders>
                    <w:tl2br w:val="nil"/>
                    <w:tr2bl w:val="nil"/>
                  </w:tcBorders>
                  <w:shd w:val="clear" w:color="auto" w:fill="FFFFFF"/>
                  <w:vAlign w:val="center"/>
                </w:tcPr>
                <w:p w14:paraId="2D10E649">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建材制品燃烧热值试验装置</w:t>
                  </w:r>
                </w:p>
              </w:tc>
              <w:tc>
                <w:tcPr>
                  <w:tcW w:w="645" w:type="dxa"/>
                  <w:tcBorders>
                    <w:tl2br w:val="nil"/>
                    <w:tr2bl w:val="nil"/>
                  </w:tcBorders>
                  <w:shd w:val="clear" w:color="auto" w:fill="FFFFFF"/>
                  <w:vAlign w:val="center"/>
                </w:tcPr>
                <w:p w14:paraId="49EBB7E6">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组/a</w:t>
                  </w:r>
                </w:p>
              </w:tc>
              <w:tc>
                <w:tcPr>
                  <w:tcW w:w="630" w:type="dxa"/>
                  <w:tcBorders>
                    <w:tl2br w:val="nil"/>
                    <w:tr2bl w:val="nil"/>
                  </w:tcBorders>
                  <w:shd w:val="clear" w:color="auto" w:fill="FFFFFF"/>
                  <w:vAlign w:val="center"/>
                </w:tcPr>
                <w:p w14:paraId="4B428B82">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150</w:t>
                  </w:r>
                </w:p>
              </w:tc>
              <w:tc>
                <w:tcPr>
                  <w:tcW w:w="2250" w:type="dxa"/>
                  <w:tcBorders>
                    <w:tl2br w:val="nil"/>
                    <w:tr2bl w:val="nil"/>
                  </w:tcBorders>
                  <w:shd w:val="clear" w:color="auto" w:fill="FFFFFF"/>
                  <w:vAlign w:val="center"/>
                </w:tcPr>
                <w:p w14:paraId="5D5FEAC5">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岩棉、玻璃棉、纸面石膏板、水泥板、硅酸钙板、无机纤维喷涂、保温砂浆、矿棉吸音板</w:t>
                  </w:r>
                </w:p>
              </w:tc>
              <w:tc>
                <w:tcPr>
                  <w:tcW w:w="1846" w:type="dxa"/>
                  <w:tcBorders>
                    <w:tl2br w:val="nil"/>
                    <w:tr2bl w:val="nil"/>
                  </w:tcBorders>
                  <w:shd w:val="clear" w:color="auto" w:fill="FFFFFF"/>
                  <w:vAlign w:val="center"/>
                </w:tcPr>
                <w:p w14:paraId="0C50E631">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50g/组</w:t>
                  </w:r>
                </w:p>
              </w:tc>
            </w:tr>
            <w:tr w14:paraId="2C0C1402">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606DE7D6">
                  <w:pPr>
                    <w:pStyle w:val="26"/>
                    <w:wordWrap w:val="0"/>
                    <w:topLinePunct/>
                    <w:adjustRightInd w:val="0"/>
                    <w:snapToGrid w:val="0"/>
                    <w:spacing w:line="240" w:lineRule="auto"/>
                    <w:rPr>
                      <w:rFonts w:cs="Times New Roman"/>
                      <w:color w:val="auto"/>
                      <w:szCs w:val="21"/>
                    </w:rPr>
                  </w:pPr>
                  <w:r>
                    <w:rPr>
                      <w:rFonts w:hint="eastAsia" w:cs="Times New Roman"/>
                      <w:color w:val="auto"/>
                      <w:szCs w:val="21"/>
                    </w:rPr>
                    <w:t>6</w:t>
                  </w:r>
                </w:p>
              </w:tc>
              <w:tc>
                <w:tcPr>
                  <w:tcW w:w="935" w:type="dxa"/>
                  <w:tcBorders>
                    <w:tl2br w:val="nil"/>
                    <w:tr2bl w:val="nil"/>
                  </w:tcBorders>
                  <w:shd w:val="clear" w:color="auto" w:fill="FFFFFF"/>
                  <w:vAlign w:val="center"/>
                </w:tcPr>
                <w:p w14:paraId="58CB370F">
                  <w:pPr>
                    <w:pStyle w:val="26"/>
                    <w:wordWrap w:val="0"/>
                    <w:topLinePunct/>
                    <w:adjustRightInd w:val="0"/>
                    <w:snapToGrid w:val="0"/>
                    <w:spacing w:line="240" w:lineRule="auto"/>
                    <w:rPr>
                      <w:rFonts w:cs="Times New Roman"/>
                      <w:color w:val="auto"/>
                      <w:szCs w:val="21"/>
                    </w:rPr>
                  </w:pPr>
                  <w:r>
                    <w:rPr>
                      <w:rFonts w:cs="Times New Roman"/>
                      <w:color w:val="auto"/>
                      <w:szCs w:val="21"/>
                    </w:rPr>
                    <w:t>不燃性</w:t>
                  </w:r>
                </w:p>
                <w:p w14:paraId="7A34ACEA">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试验</w:t>
                  </w:r>
                </w:p>
              </w:tc>
              <w:tc>
                <w:tcPr>
                  <w:tcW w:w="1290" w:type="dxa"/>
                  <w:tcBorders>
                    <w:tl2br w:val="nil"/>
                    <w:tr2bl w:val="nil"/>
                  </w:tcBorders>
                  <w:shd w:val="clear" w:color="auto" w:fill="FFFFFF"/>
                  <w:vAlign w:val="center"/>
                </w:tcPr>
                <w:p w14:paraId="170AEEBA">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建材</w:t>
                  </w:r>
                  <w:r>
                    <w:rPr>
                      <w:rFonts w:cs="Times New Roman"/>
                      <w:color w:val="auto"/>
                      <w:szCs w:val="21"/>
                    </w:rPr>
                    <w:t>不燃性试验炉</w:t>
                  </w:r>
                </w:p>
              </w:tc>
              <w:tc>
                <w:tcPr>
                  <w:tcW w:w="645" w:type="dxa"/>
                  <w:tcBorders>
                    <w:tl2br w:val="nil"/>
                    <w:tr2bl w:val="nil"/>
                  </w:tcBorders>
                  <w:shd w:val="clear" w:color="auto" w:fill="FFFFFF"/>
                  <w:vAlign w:val="center"/>
                </w:tcPr>
                <w:p w14:paraId="77CA7B9B">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组/a</w:t>
                  </w:r>
                </w:p>
              </w:tc>
              <w:tc>
                <w:tcPr>
                  <w:tcW w:w="630" w:type="dxa"/>
                  <w:tcBorders>
                    <w:tl2br w:val="nil"/>
                    <w:tr2bl w:val="nil"/>
                  </w:tcBorders>
                  <w:shd w:val="clear" w:color="auto" w:fill="FFFFFF"/>
                  <w:vAlign w:val="center"/>
                </w:tcPr>
                <w:p w14:paraId="2F6D92FC">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130</w:t>
                  </w:r>
                </w:p>
              </w:tc>
              <w:tc>
                <w:tcPr>
                  <w:tcW w:w="2250" w:type="dxa"/>
                  <w:tcBorders>
                    <w:tl2br w:val="nil"/>
                    <w:tr2bl w:val="nil"/>
                  </w:tcBorders>
                  <w:shd w:val="clear" w:color="auto" w:fill="FFFFFF"/>
                  <w:vAlign w:val="center"/>
                </w:tcPr>
                <w:p w14:paraId="2E0EDC0B">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岩棉、玻璃棉、纸面石膏板、水泥板、硅酸钙板、无机纤维喷涂、保温砂浆、矿棉吸音板</w:t>
                  </w:r>
                </w:p>
              </w:tc>
              <w:tc>
                <w:tcPr>
                  <w:tcW w:w="1846" w:type="dxa"/>
                  <w:tcBorders>
                    <w:tl2br w:val="nil"/>
                    <w:tr2bl w:val="nil"/>
                  </w:tcBorders>
                  <w:shd w:val="clear" w:color="auto" w:fill="FFFFFF"/>
                  <w:vAlign w:val="center"/>
                </w:tcPr>
                <w:p w14:paraId="5D32BBE5">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直径45mm高50mm圆柱</w:t>
                  </w:r>
                  <w:r>
                    <w:rPr>
                      <w:rFonts w:hint="eastAsia" w:cs="Times New Roman"/>
                      <w:color w:val="auto"/>
                      <w:szCs w:val="21"/>
                    </w:rPr>
                    <w:t>，</w:t>
                  </w:r>
                  <w:r>
                    <w:rPr>
                      <w:rFonts w:cs="Times New Roman"/>
                      <w:color w:val="auto"/>
                      <w:szCs w:val="21"/>
                    </w:rPr>
                    <w:t>5组</w:t>
                  </w:r>
                </w:p>
              </w:tc>
            </w:tr>
            <w:tr w14:paraId="35FD88CB">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1EFD473A">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7</w:t>
                  </w:r>
                </w:p>
              </w:tc>
              <w:tc>
                <w:tcPr>
                  <w:tcW w:w="935" w:type="dxa"/>
                  <w:tcBorders>
                    <w:tl2br w:val="nil"/>
                    <w:tr2bl w:val="nil"/>
                  </w:tcBorders>
                  <w:shd w:val="clear" w:color="auto" w:fill="FFFFFF"/>
                  <w:vAlign w:val="center"/>
                </w:tcPr>
                <w:p w14:paraId="29F63651">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电线电缆垂直燃烧试验区</w:t>
                  </w:r>
                </w:p>
              </w:tc>
              <w:tc>
                <w:tcPr>
                  <w:tcW w:w="1290" w:type="dxa"/>
                  <w:tcBorders>
                    <w:tl2br w:val="nil"/>
                    <w:tr2bl w:val="nil"/>
                  </w:tcBorders>
                  <w:shd w:val="clear" w:color="auto" w:fill="FFFFFF"/>
                  <w:vAlign w:val="center"/>
                </w:tcPr>
                <w:p w14:paraId="75194A14">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单根电线电缆垂直燃烧仪</w:t>
                  </w:r>
                </w:p>
              </w:tc>
              <w:tc>
                <w:tcPr>
                  <w:tcW w:w="645" w:type="dxa"/>
                  <w:tcBorders>
                    <w:tl2br w:val="nil"/>
                    <w:tr2bl w:val="nil"/>
                  </w:tcBorders>
                  <w:shd w:val="clear" w:color="auto" w:fill="FFFFFF"/>
                  <w:vAlign w:val="center"/>
                </w:tcPr>
                <w:p w14:paraId="6AAC108E">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0FDBD088">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2250" w:type="dxa"/>
                  <w:tcBorders>
                    <w:tl2br w:val="nil"/>
                    <w:tr2bl w:val="nil"/>
                  </w:tcBorders>
                  <w:shd w:val="clear" w:color="auto" w:fill="FFFFFF"/>
                  <w:vAlign w:val="center"/>
                </w:tcPr>
                <w:p w14:paraId="48534FB1">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电线电缆</w:t>
                  </w:r>
                </w:p>
              </w:tc>
              <w:tc>
                <w:tcPr>
                  <w:tcW w:w="1846" w:type="dxa"/>
                  <w:tcBorders>
                    <w:tl2br w:val="nil"/>
                    <w:tr2bl w:val="nil"/>
                  </w:tcBorders>
                  <w:shd w:val="clear" w:color="auto" w:fill="FFFFFF"/>
                  <w:vAlign w:val="center"/>
                </w:tcPr>
                <w:p w14:paraId="4DDBDEC7">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长度600mm，1根/组</w:t>
                  </w:r>
                </w:p>
              </w:tc>
            </w:tr>
            <w:tr w14:paraId="26E5C2F4">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0F261834">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8</w:t>
                  </w:r>
                </w:p>
              </w:tc>
              <w:tc>
                <w:tcPr>
                  <w:tcW w:w="935" w:type="dxa"/>
                  <w:tcBorders>
                    <w:tl2br w:val="nil"/>
                    <w:tr2bl w:val="nil"/>
                  </w:tcBorders>
                  <w:shd w:val="clear" w:color="auto" w:fill="FFFFFF"/>
                  <w:vAlign w:val="center"/>
                </w:tcPr>
                <w:p w14:paraId="2F44061D">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阴燃试验</w:t>
                  </w:r>
                </w:p>
              </w:tc>
              <w:tc>
                <w:tcPr>
                  <w:tcW w:w="1290" w:type="dxa"/>
                  <w:tcBorders>
                    <w:tl2br w:val="nil"/>
                    <w:tr2bl w:val="nil"/>
                  </w:tcBorders>
                  <w:shd w:val="clear" w:color="auto" w:fill="FFFFFF"/>
                  <w:vAlign w:val="center"/>
                </w:tcPr>
                <w:p w14:paraId="327E394C">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阴燃试验炉</w:t>
                  </w:r>
                </w:p>
              </w:tc>
              <w:tc>
                <w:tcPr>
                  <w:tcW w:w="645" w:type="dxa"/>
                  <w:tcBorders>
                    <w:tl2br w:val="nil"/>
                    <w:tr2bl w:val="nil"/>
                  </w:tcBorders>
                  <w:shd w:val="clear" w:color="auto" w:fill="FFFFFF"/>
                  <w:vAlign w:val="center"/>
                </w:tcPr>
                <w:p w14:paraId="40BD16AF">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500B351B">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30</w:t>
                  </w:r>
                </w:p>
              </w:tc>
              <w:tc>
                <w:tcPr>
                  <w:tcW w:w="2250" w:type="dxa"/>
                  <w:tcBorders>
                    <w:tl2br w:val="nil"/>
                    <w:tr2bl w:val="nil"/>
                  </w:tcBorders>
                  <w:shd w:val="clear" w:color="auto" w:fill="FFFFFF"/>
                  <w:vAlign w:val="center"/>
                </w:tcPr>
                <w:p w14:paraId="18F48180">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保温材料</w:t>
                  </w:r>
                </w:p>
              </w:tc>
              <w:tc>
                <w:tcPr>
                  <w:tcW w:w="1846" w:type="dxa"/>
                  <w:tcBorders>
                    <w:tl2br w:val="nil"/>
                    <w:tr2bl w:val="nil"/>
                  </w:tcBorders>
                  <w:shd w:val="clear" w:color="auto" w:fill="FFFFFF"/>
                  <w:vAlign w:val="center"/>
                </w:tcPr>
                <w:p w14:paraId="560348EC">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100mm×100mm×100mm</w:t>
                  </w:r>
                </w:p>
              </w:tc>
            </w:tr>
            <w:tr w14:paraId="7D4D2984">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58DEB0FD">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9</w:t>
                  </w:r>
                </w:p>
              </w:tc>
              <w:tc>
                <w:tcPr>
                  <w:tcW w:w="935" w:type="dxa"/>
                  <w:tcBorders>
                    <w:tl2br w:val="nil"/>
                    <w:tr2bl w:val="nil"/>
                  </w:tcBorders>
                  <w:shd w:val="clear" w:color="auto" w:fill="FFFFFF"/>
                  <w:vAlign w:val="center"/>
                </w:tcPr>
                <w:p w14:paraId="00CEDBEC">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涂料VOC含量检测</w:t>
                  </w:r>
                </w:p>
              </w:tc>
              <w:tc>
                <w:tcPr>
                  <w:tcW w:w="1290" w:type="dxa"/>
                  <w:tcBorders>
                    <w:tl2br w:val="nil"/>
                    <w:tr2bl w:val="nil"/>
                  </w:tcBorders>
                  <w:shd w:val="clear" w:color="auto" w:fill="FFFFFF"/>
                  <w:vAlign w:val="center"/>
                </w:tcPr>
                <w:p w14:paraId="33C134F7">
                  <w:pPr>
                    <w:pStyle w:val="26"/>
                    <w:wordWrap w:val="0"/>
                    <w:topLinePunct/>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气相色谱仪</w:t>
                  </w:r>
                </w:p>
              </w:tc>
              <w:tc>
                <w:tcPr>
                  <w:tcW w:w="645" w:type="dxa"/>
                  <w:tcBorders>
                    <w:tl2br w:val="nil"/>
                    <w:tr2bl w:val="nil"/>
                  </w:tcBorders>
                  <w:shd w:val="clear" w:color="auto" w:fill="FFFFFF"/>
                  <w:vAlign w:val="center"/>
                </w:tcPr>
                <w:p w14:paraId="1EAAB1F6">
                  <w:pPr>
                    <w:pStyle w:val="26"/>
                    <w:wordWrap w:val="0"/>
                    <w:topLinePunct/>
                    <w:adjustRightInd w:val="0"/>
                    <w:snapToGrid w:val="0"/>
                    <w:spacing w:line="240" w:lineRule="auto"/>
                    <w:rPr>
                      <w:rFonts w:cs="Times New Roman"/>
                      <w:color w:val="auto"/>
                      <w:szCs w:val="21"/>
                    </w:rPr>
                  </w:pPr>
                  <w:r>
                    <w:rPr>
                      <w:rFonts w:cs="Times New Roman"/>
                      <w:color w:val="auto"/>
                      <w:szCs w:val="21"/>
                    </w:rPr>
                    <w:t>组/a</w:t>
                  </w:r>
                </w:p>
              </w:tc>
              <w:tc>
                <w:tcPr>
                  <w:tcW w:w="630" w:type="dxa"/>
                  <w:tcBorders>
                    <w:tl2br w:val="nil"/>
                    <w:tr2bl w:val="nil"/>
                  </w:tcBorders>
                  <w:shd w:val="clear" w:color="auto" w:fill="FFFFFF"/>
                  <w:vAlign w:val="center"/>
                </w:tcPr>
                <w:p w14:paraId="650055C4">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160</w:t>
                  </w:r>
                </w:p>
              </w:tc>
              <w:tc>
                <w:tcPr>
                  <w:tcW w:w="2250" w:type="dxa"/>
                  <w:tcBorders>
                    <w:tl2br w:val="nil"/>
                    <w:tr2bl w:val="nil"/>
                  </w:tcBorders>
                  <w:shd w:val="clear" w:color="auto" w:fill="FFFFFF"/>
                  <w:vAlign w:val="center"/>
                </w:tcPr>
                <w:p w14:paraId="2FA1910A">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腻子、涂料</w:t>
                  </w:r>
                </w:p>
              </w:tc>
              <w:tc>
                <w:tcPr>
                  <w:tcW w:w="1846" w:type="dxa"/>
                  <w:tcBorders>
                    <w:tl2br w:val="nil"/>
                    <w:tr2bl w:val="nil"/>
                  </w:tcBorders>
                  <w:shd w:val="clear" w:color="auto" w:fill="FFFFFF"/>
                  <w:vAlign w:val="center"/>
                </w:tcPr>
                <w:p w14:paraId="443E5D0D">
                  <w:pPr>
                    <w:pStyle w:val="26"/>
                    <w:wordWrap w:val="0"/>
                    <w:topLinePunct/>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w:t>
                  </w:r>
                </w:p>
              </w:tc>
            </w:tr>
            <w:tr w14:paraId="1DA8DD5B">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00CE5B9">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cs="Times New Roman"/>
                      <w:color w:val="auto"/>
                      <w:szCs w:val="21"/>
                    </w:rPr>
                    <w:t>1</w:t>
                  </w:r>
                  <w:r>
                    <w:rPr>
                      <w:rFonts w:hint="eastAsia" w:cs="Times New Roman"/>
                      <w:color w:val="auto"/>
                      <w:szCs w:val="21"/>
                    </w:rPr>
                    <w:t>0</w:t>
                  </w:r>
                </w:p>
              </w:tc>
              <w:tc>
                <w:tcPr>
                  <w:tcW w:w="935" w:type="dxa"/>
                  <w:tcBorders>
                    <w:tl2br w:val="nil"/>
                    <w:tr2bl w:val="nil"/>
                  </w:tcBorders>
                  <w:shd w:val="clear" w:color="auto" w:fill="FFFFFF"/>
                  <w:vAlign w:val="center"/>
                </w:tcPr>
                <w:p w14:paraId="377CCF53">
                  <w:pPr>
                    <w:pStyle w:val="26"/>
                    <w:wordWrap w:val="0"/>
                    <w:topLinePunct/>
                    <w:adjustRightInd w:val="0"/>
                    <w:snapToGrid w:val="0"/>
                    <w:spacing w:line="240" w:lineRule="auto"/>
                    <w:rPr>
                      <w:rFonts w:hint="default" w:eastAsia="宋体"/>
                      <w:color w:val="auto"/>
                      <w:lang w:val="en-US" w:eastAsia="zh-CN"/>
                    </w:rPr>
                  </w:pPr>
                  <w:r>
                    <w:rPr>
                      <w:rFonts w:hint="eastAsia"/>
                      <w:color w:val="auto"/>
                      <w:lang w:val="en-US" w:eastAsia="zh-CN"/>
                    </w:rPr>
                    <w:t>甲醛检测</w:t>
                  </w:r>
                </w:p>
              </w:tc>
              <w:tc>
                <w:tcPr>
                  <w:tcW w:w="1290" w:type="dxa"/>
                  <w:tcBorders>
                    <w:tl2br w:val="nil"/>
                    <w:tr2bl w:val="nil"/>
                  </w:tcBorders>
                  <w:shd w:val="clear" w:color="auto" w:fill="FFFFFF"/>
                  <w:vAlign w:val="center"/>
                </w:tcPr>
                <w:p w14:paraId="2763A9B4">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分光光度计</w:t>
                  </w:r>
                </w:p>
              </w:tc>
              <w:tc>
                <w:tcPr>
                  <w:tcW w:w="645" w:type="dxa"/>
                  <w:tcBorders>
                    <w:tl2br w:val="nil"/>
                    <w:tr2bl w:val="nil"/>
                  </w:tcBorders>
                  <w:shd w:val="clear" w:color="auto" w:fill="FFFFFF"/>
                  <w:vAlign w:val="center"/>
                </w:tcPr>
                <w:p w14:paraId="5AE0217B">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17935D47">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90</w:t>
                  </w:r>
                </w:p>
              </w:tc>
              <w:tc>
                <w:tcPr>
                  <w:tcW w:w="2250" w:type="dxa"/>
                  <w:tcBorders>
                    <w:tl2br w:val="nil"/>
                    <w:tr2bl w:val="nil"/>
                  </w:tcBorders>
                  <w:shd w:val="clear" w:color="auto" w:fill="FFFFFF"/>
                  <w:vAlign w:val="center"/>
                </w:tcPr>
                <w:p w14:paraId="095E385B">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涂料、板材</w:t>
                  </w:r>
                </w:p>
              </w:tc>
              <w:tc>
                <w:tcPr>
                  <w:tcW w:w="1846" w:type="dxa"/>
                  <w:tcBorders>
                    <w:tl2br w:val="nil"/>
                    <w:tr2bl w:val="nil"/>
                  </w:tcBorders>
                  <w:shd w:val="clear" w:color="auto" w:fill="FFFFFF"/>
                  <w:vAlign w:val="center"/>
                </w:tcPr>
                <w:p w14:paraId="04739416">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r>
            <w:tr w14:paraId="7ED4A18F">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368D673B">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cs="Times New Roman"/>
                      <w:color w:val="auto"/>
                      <w:szCs w:val="21"/>
                    </w:rPr>
                    <w:t>1</w:t>
                  </w:r>
                  <w:r>
                    <w:rPr>
                      <w:rFonts w:hint="eastAsia" w:cs="Times New Roman"/>
                      <w:color w:val="auto"/>
                      <w:szCs w:val="21"/>
                    </w:rPr>
                    <w:t>1</w:t>
                  </w:r>
                </w:p>
              </w:tc>
              <w:tc>
                <w:tcPr>
                  <w:tcW w:w="935" w:type="dxa"/>
                  <w:tcBorders>
                    <w:tl2br w:val="nil"/>
                    <w:tr2bl w:val="nil"/>
                  </w:tcBorders>
                  <w:shd w:val="clear" w:color="auto" w:fill="FFFFFF"/>
                  <w:vAlign w:val="center"/>
                </w:tcPr>
                <w:p w14:paraId="5030064B">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空气含量检测（TVOC、苯、甲醛等）</w:t>
                  </w:r>
                </w:p>
              </w:tc>
              <w:tc>
                <w:tcPr>
                  <w:tcW w:w="1290" w:type="dxa"/>
                  <w:tcBorders>
                    <w:tl2br w:val="nil"/>
                    <w:tr2bl w:val="nil"/>
                  </w:tcBorders>
                  <w:shd w:val="clear" w:color="auto" w:fill="FFFFFF"/>
                  <w:vAlign w:val="center"/>
                </w:tcPr>
                <w:p w14:paraId="55BDD3F8">
                  <w:pPr>
                    <w:pStyle w:val="26"/>
                    <w:wordWrap w:val="0"/>
                    <w:topLinePunct/>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色谱仪/分光光度计</w:t>
                  </w:r>
                </w:p>
              </w:tc>
              <w:tc>
                <w:tcPr>
                  <w:tcW w:w="645" w:type="dxa"/>
                  <w:tcBorders>
                    <w:tl2br w:val="nil"/>
                    <w:tr2bl w:val="nil"/>
                  </w:tcBorders>
                  <w:shd w:val="clear" w:color="auto" w:fill="FFFFFF"/>
                  <w:vAlign w:val="center"/>
                </w:tcPr>
                <w:p w14:paraId="4B61F99E">
                  <w:pPr>
                    <w:pStyle w:val="26"/>
                    <w:wordWrap w:val="0"/>
                    <w:topLinePunct/>
                    <w:adjustRightInd w:val="0"/>
                    <w:snapToGrid w:val="0"/>
                    <w:spacing w:line="240" w:lineRule="auto"/>
                    <w:rPr>
                      <w:rFonts w:cs="Times New Roman"/>
                      <w:color w:val="auto"/>
                      <w:szCs w:val="21"/>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680ED630">
                  <w:pPr>
                    <w:pStyle w:val="26"/>
                    <w:wordWrap w:val="0"/>
                    <w:topLinePunct/>
                    <w:adjustRightInd w:val="0"/>
                    <w:snapToGrid w:val="0"/>
                    <w:spacing w:line="240" w:lineRule="auto"/>
                    <w:rPr>
                      <w:rFonts w:cs="Times New Roman"/>
                      <w:color w:val="auto"/>
                      <w:szCs w:val="21"/>
                    </w:rPr>
                  </w:pPr>
                  <w:r>
                    <w:rPr>
                      <w:rFonts w:hint="eastAsia" w:cs="Times New Roman"/>
                      <w:color w:val="auto"/>
                      <w:szCs w:val="21"/>
                      <w:lang w:val="en-US" w:eastAsia="zh-CN"/>
                    </w:rPr>
                    <w:t>200</w:t>
                  </w:r>
                </w:p>
              </w:tc>
              <w:tc>
                <w:tcPr>
                  <w:tcW w:w="2250" w:type="dxa"/>
                  <w:tcBorders>
                    <w:tl2br w:val="nil"/>
                    <w:tr2bl w:val="nil"/>
                  </w:tcBorders>
                  <w:shd w:val="clear" w:color="auto" w:fill="FFFFFF"/>
                  <w:vAlign w:val="center"/>
                </w:tcPr>
                <w:p w14:paraId="1310B5DF">
                  <w:pPr>
                    <w:pStyle w:val="26"/>
                    <w:wordWrap w:val="0"/>
                    <w:topLinePunct/>
                    <w:adjustRightInd w:val="0"/>
                    <w:snapToGrid w:val="0"/>
                    <w:spacing w:line="240" w:lineRule="auto"/>
                    <w:rPr>
                      <w:rFonts w:cs="Times New Roman"/>
                      <w:color w:val="auto"/>
                      <w:szCs w:val="21"/>
                    </w:rPr>
                  </w:pPr>
                  <w:r>
                    <w:rPr>
                      <w:rFonts w:hint="eastAsia" w:cs="Times New Roman"/>
                      <w:color w:val="auto"/>
                      <w:szCs w:val="21"/>
                      <w:lang w:val="en-US" w:eastAsia="zh-CN"/>
                    </w:rPr>
                    <w:t>空气</w:t>
                  </w:r>
                </w:p>
              </w:tc>
              <w:tc>
                <w:tcPr>
                  <w:tcW w:w="1846" w:type="dxa"/>
                  <w:tcBorders>
                    <w:tl2br w:val="nil"/>
                    <w:tr2bl w:val="nil"/>
                  </w:tcBorders>
                  <w:shd w:val="clear" w:color="auto" w:fill="FFFFFF"/>
                  <w:vAlign w:val="center"/>
                </w:tcPr>
                <w:p w14:paraId="3B82E355">
                  <w:pPr>
                    <w:pStyle w:val="26"/>
                    <w:wordWrap w:val="0"/>
                    <w:topLinePunct/>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w:t>
                  </w:r>
                </w:p>
              </w:tc>
            </w:tr>
            <w:tr w14:paraId="70410A2F">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5B94147D">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cs="Times New Roman"/>
                      <w:color w:val="auto"/>
                      <w:szCs w:val="21"/>
                    </w:rPr>
                    <w:t>1</w:t>
                  </w:r>
                  <w:r>
                    <w:rPr>
                      <w:rFonts w:hint="eastAsia" w:cs="Times New Roman"/>
                      <w:color w:val="auto"/>
                      <w:szCs w:val="21"/>
                    </w:rPr>
                    <w:t>2</w:t>
                  </w:r>
                </w:p>
              </w:tc>
              <w:tc>
                <w:tcPr>
                  <w:tcW w:w="935" w:type="dxa"/>
                  <w:tcBorders>
                    <w:tl2br w:val="nil"/>
                    <w:tr2bl w:val="nil"/>
                  </w:tcBorders>
                  <w:shd w:val="clear" w:color="auto" w:fill="FFFFFF"/>
                  <w:vAlign w:val="center"/>
                </w:tcPr>
                <w:p w14:paraId="5B808F76">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抗压强度</w:t>
                  </w:r>
                </w:p>
              </w:tc>
              <w:tc>
                <w:tcPr>
                  <w:tcW w:w="1290" w:type="dxa"/>
                  <w:tcBorders>
                    <w:tl2br w:val="nil"/>
                    <w:tr2bl w:val="nil"/>
                  </w:tcBorders>
                  <w:shd w:val="clear" w:color="auto" w:fill="FFFFFF"/>
                  <w:vAlign w:val="center"/>
                </w:tcPr>
                <w:p w14:paraId="7C4F828B">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万能试验机</w:t>
                  </w:r>
                </w:p>
              </w:tc>
              <w:tc>
                <w:tcPr>
                  <w:tcW w:w="645" w:type="dxa"/>
                  <w:tcBorders>
                    <w:tl2br w:val="nil"/>
                    <w:tr2bl w:val="nil"/>
                  </w:tcBorders>
                  <w:shd w:val="clear" w:color="auto" w:fill="FFFFFF"/>
                  <w:vAlign w:val="center"/>
                </w:tcPr>
                <w:p w14:paraId="00041DED">
                  <w:pPr>
                    <w:pStyle w:val="26"/>
                    <w:wordWrap w:val="0"/>
                    <w:topLinePunct/>
                    <w:adjustRightInd w:val="0"/>
                    <w:snapToGrid w:val="0"/>
                    <w:spacing w:line="240" w:lineRule="auto"/>
                    <w:rPr>
                      <w:rFonts w:hint="eastAsia" w:cs="Times New Roman"/>
                      <w:color w:val="auto"/>
                      <w:szCs w:val="21"/>
                      <w:lang w:val="en-US" w:eastAsia="zh-CN"/>
                    </w:rPr>
                  </w:pPr>
                </w:p>
              </w:tc>
              <w:tc>
                <w:tcPr>
                  <w:tcW w:w="630" w:type="dxa"/>
                  <w:tcBorders>
                    <w:tl2br w:val="nil"/>
                    <w:tr2bl w:val="nil"/>
                  </w:tcBorders>
                  <w:shd w:val="clear" w:color="auto" w:fill="FFFFFF"/>
                  <w:vAlign w:val="center"/>
                </w:tcPr>
                <w:p w14:paraId="17084FD8">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13000</w:t>
                  </w:r>
                </w:p>
              </w:tc>
              <w:tc>
                <w:tcPr>
                  <w:tcW w:w="2250" w:type="dxa"/>
                  <w:tcBorders>
                    <w:tl2br w:val="nil"/>
                    <w:tr2bl w:val="nil"/>
                  </w:tcBorders>
                  <w:shd w:val="clear" w:color="auto" w:fill="FFFFFF"/>
                  <w:vAlign w:val="center"/>
                </w:tcPr>
                <w:p w14:paraId="64E2C044">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混凝土</w:t>
                  </w:r>
                </w:p>
              </w:tc>
              <w:tc>
                <w:tcPr>
                  <w:tcW w:w="1846" w:type="dxa"/>
                  <w:tcBorders>
                    <w:tl2br w:val="nil"/>
                    <w:tr2bl w:val="nil"/>
                  </w:tcBorders>
                  <w:shd w:val="clear" w:color="auto" w:fill="FFFFFF"/>
                  <w:vAlign w:val="center"/>
                </w:tcPr>
                <w:p w14:paraId="46AFC8BC">
                  <w:pPr>
                    <w:pStyle w:val="26"/>
                    <w:wordWrap w:val="0"/>
                    <w:topLinePunct/>
                    <w:adjustRightInd w:val="0"/>
                    <w:snapToGrid w:val="0"/>
                    <w:spacing w:line="240" w:lineRule="auto"/>
                    <w:rPr>
                      <w:rFonts w:cs="Times New Roman"/>
                      <w:color w:val="auto"/>
                      <w:szCs w:val="21"/>
                    </w:rPr>
                  </w:pPr>
                  <w:r>
                    <w:rPr>
                      <w:rFonts w:hint="eastAsia" w:cs="Times New Roman"/>
                      <w:color w:val="auto"/>
                      <w:szCs w:val="21"/>
                    </w:rPr>
                    <w:t>100mm×100mm×100mm，3块/组</w:t>
                  </w:r>
                </w:p>
              </w:tc>
            </w:tr>
            <w:tr w14:paraId="7DA9171E">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51C0B723">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w:t>
                  </w:r>
                </w:p>
              </w:tc>
              <w:tc>
                <w:tcPr>
                  <w:tcW w:w="935" w:type="dxa"/>
                  <w:tcBorders>
                    <w:tl2br w:val="nil"/>
                    <w:tr2bl w:val="nil"/>
                  </w:tcBorders>
                  <w:shd w:val="clear" w:color="auto" w:fill="FFFFFF"/>
                  <w:vAlign w:val="center"/>
                </w:tcPr>
                <w:p w14:paraId="6F3F9DAE">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胶砂强度</w:t>
                  </w:r>
                </w:p>
              </w:tc>
              <w:tc>
                <w:tcPr>
                  <w:tcW w:w="1290" w:type="dxa"/>
                  <w:tcBorders>
                    <w:tl2br w:val="nil"/>
                    <w:tr2bl w:val="nil"/>
                  </w:tcBorders>
                  <w:shd w:val="clear" w:color="auto" w:fill="FFFFFF"/>
                  <w:vAlign w:val="center"/>
                </w:tcPr>
                <w:p w14:paraId="1CB450E3">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微机控制压力试验机</w:t>
                  </w:r>
                </w:p>
              </w:tc>
              <w:tc>
                <w:tcPr>
                  <w:tcW w:w="645" w:type="dxa"/>
                  <w:tcBorders>
                    <w:tl2br w:val="nil"/>
                    <w:tr2bl w:val="nil"/>
                  </w:tcBorders>
                  <w:shd w:val="clear" w:color="auto" w:fill="FFFFFF"/>
                  <w:vAlign w:val="center"/>
                </w:tcPr>
                <w:p w14:paraId="1A091888">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4DA49FEA">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150</w:t>
                  </w:r>
                </w:p>
              </w:tc>
              <w:tc>
                <w:tcPr>
                  <w:tcW w:w="2250" w:type="dxa"/>
                  <w:tcBorders>
                    <w:tl2br w:val="nil"/>
                    <w:tr2bl w:val="nil"/>
                  </w:tcBorders>
                  <w:shd w:val="clear" w:color="auto" w:fill="FFFFFF"/>
                  <w:vAlign w:val="center"/>
                </w:tcPr>
                <w:p w14:paraId="352F5C84">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水泥</w:t>
                  </w:r>
                </w:p>
              </w:tc>
              <w:tc>
                <w:tcPr>
                  <w:tcW w:w="1846" w:type="dxa"/>
                  <w:tcBorders>
                    <w:tl2br w:val="nil"/>
                    <w:tr2bl w:val="nil"/>
                  </w:tcBorders>
                  <w:shd w:val="clear" w:color="auto" w:fill="FFFFFF"/>
                  <w:vAlign w:val="center"/>
                </w:tcPr>
                <w:p w14:paraId="2B55086E">
                  <w:pPr>
                    <w:pStyle w:val="26"/>
                    <w:wordWrap w:val="0"/>
                    <w:topLinePunct/>
                    <w:adjustRightInd w:val="0"/>
                    <w:snapToGrid w:val="0"/>
                    <w:spacing w:line="240" w:lineRule="auto"/>
                    <w:rPr>
                      <w:rFonts w:hint="eastAsia" w:cs="Times New Roman"/>
                      <w:color w:val="auto"/>
                      <w:szCs w:val="21"/>
                    </w:rPr>
                  </w:pPr>
                  <w:r>
                    <w:rPr>
                      <w:rFonts w:hint="eastAsia" w:cs="Times New Roman"/>
                      <w:color w:val="auto"/>
                      <w:szCs w:val="21"/>
                    </w:rPr>
                    <w:t>40mm×40mm×160mm，3块/组</w:t>
                  </w:r>
                </w:p>
              </w:tc>
            </w:tr>
            <w:tr w14:paraId="3388E6B0">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00970760">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14</w:t>
                  </w:r>
                </w:p>
              </w:tc>
              <w:tc>
                <w:tcPr>
                  <w:tcW w:w="935" w:type="dxa"/>
                  <w:tcBorders>
                    <w:tl2br w:val="nil"/>
                    <w:tr2bl w:val="nil"/>
                  </w:tcBorders>
                  <w:shd w:val="clear" w:color="auto" w:fill="FFFFFF"/>
                  <w:vAlign w:val="center"/>
                </w:tcPr>
                <w:p w14:paraId="10C0A283">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拉伸试验</w:t>
                  </w:r>
                </w:p>
              </w:tc>
              <w:tc>
                <w:tcPr>
                  <w:tcW w:w="1290" w:type="dxa"/>
                  <w:tcBorders>
                    <w:tl2br w:val="nil"/>
                    <w:tr2bl w:val="nil"/>
                  </w:tcBorders>
                  <w:shd w:val="clear" w:color="auto" w:fill="FFFFFF"/>
                  <w:vAlign w:val="center"/>
                </w:tcPr>
                <w:p w14:paraId="292519C1">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万能试验机</w:t>
                  </w:r>
                </w:p>
              </w:tc>
              <w:tc>
                <w:tcPr>
                  <w:tcW w:w="645" w:type="dxa"/>
                  <w:tcBorders>
                    <w:tl2br w:val="nil"/>
                    <w:tr2bl w:val="nil"/>
                  </w:tcBorders>
                  <w:shd w:val="clear" w:color="auto" w:fill="FFFFFF"/>
                  <w:vAlign w:val="center"/>
                </w:tcPr>
                <w:p w14:paraId="3862FB27">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631312A5">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6000</w:t>
                  </w:r>
                </w:p>
              </w:tc>
              <w:tc>
                <w:tcPr>
                  <w:tcW w:w="2250" w:type="dxa"/>
                  <w:tcBorders>
                    <w:tl2br w:val="nil"/>
                    <w:tr2bl w:val="nil"/>
                  </w:tcBorders>
                  <w:shd w:val="clear" w:color="auto" w:fill="FFFFFF"/>
                  <w:vAlign w:val="center"/>
                </w:tcPr>
                <w:p w14:paraId="5A0DAADC">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钢筋</w:t>
                  </w:r>
                </w:p>
              </w:tc>
              <w:tc>
                <w:tcPr>
                  <w:tcW w:w="1846" w:type="dxa"/>
                  <w:tcBorders>
                    <w:tl2br w:val="nil"/>
                    <w:tr2bl w:val="nil"/>
                  </w:tcBorders>
                  <w:shd w:val="clear" w:color="auto" w:fill="FFFFFF"/>
                  <w:vAlign w:val="center"/>
                </w:tcPr>
                <w:p w14:paraId="1590BD96">
                  <w:pPr>
                    <w:pStyle w:val="26"/>
                    <w:wordWrap w:val="0"/>
                    <w:topLinePunct/>
                    <w:adjustRightInd w:val="0"/>
                    <w:snapToGrid w:val="0"/>
                    <w:spacing w:line="240" w:lineRule="auto"/>
                    <w:rPr>
                      <w:rFonts w:cs="Times New Roman"/>
                      <w:color w:val="auto"/>
                      <w:szCs w:val="21"/>
                    </w:rPr>
                  </w:pPr>
                  <w:r>
                    <w:rPr>
                      <w:rFonts w:hint="eastAsia" w:cs="Times New Roman"/>
                      <w:color w:val="auto"/>
                      <w:szCs w:val="21"/>
                    </w:rPr>
                    <w:t>长度500mm，2根/组</w:t>
                  </w:r>
                </w:p>
              </w:tc>
            </w:tr>
            <w:tr w14:paraId="219754BC">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2603B6CC">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935" w:type="dxa"/>
                  <w:tcBorders>
                    <w:tl2br w:val="nil"/>
                    <w:tr2bl w:val="nil"/>
                  </w:tcBorders>
                  <w:shd w:val="clear" w:color="auto" w:fill="FFFFFF"/>
                  <w:vAlign w:val="center"/>
                </w:tcPr>
                <w:p w14:paraId="5DEB640D">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导热系数</w:t>
                  </w:r>
                </w:p>
              </w:tc>
              <w:tc>
                <w:tcPr>
                  <w:tcW w:w="1290" w:type="dxa"/>
                  <w:tcBorders>
                    <w:tl2br w:val="nil"/>
                    <w:tr2bl w:val="nil"/>
                  </w:tcBorders>
                  <w:shd w:val="clear" w:color="auto" w:fill="FFFFFF"/>
                  <w:vAlign w:val="center"/>
                </w:tcPr>
                <w:p w14:paraId="4F1CBBB3">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导热系数检测仪</w:t>
                  </w:r>
                </w:p>
              </w:tc>
              <w:tc>
                <w:tcPr>
                  <w:tcW w:w="645" w:type="dxa"/>
                  <w:tcBorders>
                    <w:tl2br w:val="nil"/>
                    <w:tr2bl w:val="nil"/>
                  </w:tcBorders>
                  <w:shd w:val="clear" w:color="auto" w:fill="FFFFFF"/>
                  <w:vAlign w:val="center"/>
                </w:tcPr>
                <w:p w14:paraId="7244B161">
                  <w:pPr>
                    <w:pStyle w:val="26"/>
                    <w:wordWrap w:val="0"/>
                    <w:topLinePunct/>
                    <w:adjustRightInd w:val="0"/>
                    <w:snapToGrid w:val="0"/>
                    <w:spacing w:line="240" w:lineRule="auto"/>
                    <w:rPr>
                      <w:rFonts w:hint="eastAsia" w:cs="Times New Roman"/>
                      <w:color w:val="auto"/>
                      <w:szCs w:val="21"/>
                      <w:lang w:val="en-US" w:eastAsia="zh-CN"/>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13F27868">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300</w:t>
                  </w:r>
                </w:p>
              </w:tc>
              <w:tc>
                <w:tcPr>
                  <w:tcW w:w="2250" w:type="dxa"/>
                  <w:tcBorders>
                    <w:tl2br w:val="nil"/>
                    <w:tr2bl w:val="nil"/>
                  </w:tcBorders>
                  <w:shd w:val="clear" w:color="auto" w:fill="FFFFFF"/>
                  <w:vAlign w:val="center"/>
                </w:tcPr>
                <w:p w14:paraId="6F8D8363">
                  <w:pPr>
                    <w:pStyle w:val="26"/>
                    <w:wordWrap w:val="0"/>
                    <w:topLinePunct/>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保温板</w:t>
                  </w:r>
                </w:p>
              </w:tc>
              <w:tc>
                <w:tcPr>
                  <w:tcW w:w="1846" w:type="dxa"/>
                  <w:tcBorders>
                    <w:tl2br w:val="nil"/>
                    <w:tr2bl w:val="nil"/>
                  </w:tcBorders>
                  <w:shd w:val="clear" w:color="auto" w:fill="FFFFFF"/>
                  <w:vAlign w:val="center"/>
                </w:tcPr>
                <w:p w14:paraId="6217041D">
                  <w:pPr>
                    <w:pStyle w:val="26"/>
                    <w:wordWrap w:val="0"/>
                    <w:topLinePunct/>
                    <w:adjustRightInd w:val="0"/>
                    <w:snapToGrid w:val="0"/>
                    <w:spacing w:line="240" w:lineRule="auto"/>
                    <w:rPr>
                      <w:rFonts w:cs="Times New Roman"/>
                      <w:color w:val="auto"/>
                      <w:szCs w:val="21"/>
                    </w:rPr>
                  </w:pPr>
                  <w:r>
                    <w:rPr>
                      <w:rFonts w:hint="eastAsia" w:cs="Times New Roman"/>
                      <w:color w:val="auto"/>
                      <w:szCs w:val="21"/>
                    </w:rPr>
                    <w:t>300×300×30(mm),2块/组</w:t>
                  </w:r>
                </w:p>
              </w:tc>
            </w:tr>
            <w:tr w14:paraId="7C6EFA2D">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427" w:type="dxa"/>
                  <w:tcBorders>
                    <w:tl2br w:val="nil"/>
                    <w:tr2bl w:val="nil"/>
                  </w:tcBorders>
                  <w:shd w:val="clear" w:color="auto" w:fill="FFFFFF"/>
                  <w:vAlign w:val="center"/>
                </w:tcPr>
                <w:p w14:paraId="4F2B3B75">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935" w:type="dxa"/>
                  <w:tcBorders>
                    <w:tl2br w:val="nil"/>
                    <w:tr2bl w:val="nil"/>
                  </w:tcBorders>
                  <w:shd w:val="clear" w:color="auto" w:fill="FFFFFF"/>
                  <w:vAlign w:val="center"/>
                </w:tcPr>
                <w:p w14:paraId="40D3C1D1">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冲击试验</w:t>
                  </w:r>
                </w:p>
              </w:tc>
              <w:tc>
                <w:tcPr>
                  <w:tcW w:w="1290" w:type="dxa"/>
                  <w:tcBorders>
                    <w:tl2br w:val="nil"/>
                    <w:tr2bl w:val="nil"/>
                  </w:tcBorders>
                  <w:shd w:val="clear" w:color="auto" w:fill="FFFFFF"/>
                  <w:vAlign w:val="center"/>
                </w:tcPr>
                <w:p w14:paraId="176799A0">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冲击试验仪</w:t>
                  </w:r>
                </w:p>
              </w:tc>
              <w:tc>
                <w:tcPr>
                  <w:tcW w:w="645" w:type="dxa"/>
                  <w:tcBorders>
                    <w:tl2br w:val="nil"/>
                    <w:tr2bl w:val="nil"/>
                  </w:tcBorders>
                  <w:shd w:val="clear" w:color="auto" w:fill="FFFFFF"/>
                  <w:vAlign w:val="center"/>
                </w:tcPr>
                <w:p w14:paraId="03C8A8C8">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组/a</w:t>
                  </w:r>
                </w:p>
              </w:tc>
              <w:tc>
                <w:tcPr>
                  <w:tcW w:w="630" w:type="dxa"/>
                  <w:tcBorders>
                    <w:tl2br w:val="nil"/>
                    <w:tr2bl w:val="nil"/>
                  </w:tcBorders>
                  <w:shd w:val="clear" w:color="auto" w:fill="FFFFFF"/>
                  <w:vAlign w:val="center"/>
                </w:tcPr>
                <w:p w14:paraId="4AD6C10C">
                  <w:pPr>
                    <w:pStyle w:val="26"/>
                    <w:wordWrap w:val="0"/>
                    <w:topLinePunct/>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40</w:t>
                  </w:r>
                </w:p>
              </w:tc>
              <w:tc>
                <w:tcPr>
                  <w:tcW w:w="2250" w:type="dxa"/>
                  <w:tcBorders>
                    <w:tl2br w:val="nil"/>
                    <w:tr2bl w:val="nil"/>
                  </w:tcBorders>
                  <w:shd w:val="clear" w:color="auto" w:fill="FFFFFF"/>
                  <w:vAlign w:val="center"/>
                </w:tcPr>
                <w:p w14:paraId="7F530E7E">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管材</w:t>
                  </w:r>
                </w:p>
              </w:tc>
              <w:tc>
                <w:tcPr>
                  <w:tcW w:w="1846" w:type="dxa"/>
                  <w:tcBorders>
                    <w:tl2br w:val="nil"/>
                    <w:tr2bl w:val="nil"/>
                  </w:tcBorders>
                  <w:shd w:val="clear" w:color="auto" w:fill="FFFFFF"/>
                  <w:vAlign w:val="center"/>
                </w:tcPr>
                <w:p w14:paraId="3B484CC0">
                  <w:pPr>
                    <w:pStyle w:val="26"/>
                    <w:wordWrap w:val="0"/>
                    <w:topLinePunct/>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s="Times New Roman"/>
                      <w:color w:val="auto"/>
                      <w:szCs w:val="21"/>
                    </w:rPr>
                    <w:t>长度30cm，14根/组</w:t>
                  </w:r>
                </w:p>
              </w:tc>
            </w:tr>
            <w:tr w14:paraId="78E4BB94">
              <w:tblPrEx>
                <w:tblBorders>
                  <w:top w:val="single" w:color="000000" w:sz="4" w:space="0"/>
                  <w:left w:val="none" w:color="auto" w:sz="0" w:space="0"/>
                  <w:bottom w:val="single" w:color="000000" w:sz="4"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2652" w:type="dxa"/>
                  <w:gridSpan w:val="3"/>
                  <w:tcBorders>
                    <w:tl2br w:val="nil"/>
                    <w:tr2bl w:val="nil"/>
                  </w:tcBorders>
                  <w:shd w:val="clear" w:color="auto" w:fill="FFFFFF"/>
                  <w:vAlign w:val="center"/>
                </w:tcPr>
                <w:p w14:paraId="771FC584">
                  <w:pPr>
                    <w:pStyle w:val="26"/>
                    <w:wordWrap w:val="0"/>
                    <w:topLinePunct/>
                    <w:adjustRightInd w:val="0"/>
                    <w:snapToGrid w:val="0"/>
                    <w:spacing w:line="240" w:lineRule="auto"/>
                    <w:rPr>
                      <w:rFonts w:cs="Times New Roman"/>
                      <w:b/>
                      <w:bCs/>
                      <w:color w:val="auto"/>
                      <w:szCs w:val="21"/>
                      <w:lang w:bidi="ar"/>
                    </w:rPr>
                  </w:pPr>
                  <w:r>
                    <w:rPr>
                      <w:rFonts w:cs="Times New Roman"/>
                      <w:b/>
                      <w:bCs/>
                      <w:color w:val="auto"/>
                      <w:szCs w:val="21"/>
                      <w:lang w:bidi="ar"/>
                    </w:rPr>
                    <w:t>合计</w:t>
                  </w:r>
                </w:p>
              </w:tc>
              <w:tc>
                <w:tcPr>
                  <w:tcW w:w="645" w:type="dxa"/>
                  <w:tcBorders>
                    <w:tl2br w:val="nil"/>
                    <w:tr2bl w:val="nil"/>
                  </w:tcBorders>
                  <w:shd w:val="clear" w:color="auto" w:fill="FFFFFF"/>
                  <w:vAlign w:val="center"/>
                </w:tcPr>
                <w:p w14:paraId="2F5160E2">
                  <w:pPr>
                    <w:pStyle w:val="26"/>
                    <w:wordWrap w:val="0"/>
                    <w:topLinePunct/>
                    <w:adjustRightInd w:val="0"/>
                    <w:snapToGrid w:val="0"/>
                    <w:spacing w:line="240" w:lineRule="auto"/>
                    <w:rPr>
                      <w:rFonts w:cs="Times New Roman"/>
                      <w:b/>
                      <w:bCs/>
                      <w:color w:val="auto"/>
                      <w:szCs w:val="21"/>
                    </w:rPr>
                  </w:pPr>
                  <w:r>
                    <w:rPr>
                      <w:rFonts w:cs="Times New Roman"/>
                      <w:color w:val="auto"/>
                      <w:szCs w:val="21"/>
                    </w:rPr>
                    <w:t>组/a</w:t>
                  </w:r>
                </w:p>
              </w:tc>
              <w:tc>
                <w:tcPr>
                  <w:tcW w:w="630" w:type="dxa"/>
                  <w:tcBorders>
                    <w:tl2br w:val="nil"/>
                    <w:tr2bl w:val="nil"/>
                  </w:tcBorders>
                  <w:shd w:val="clear" w:color="auto" w:fill="FFFFFF"/>
                  <w:vAlign w:val="center"/>
                </w:tcPr>
                <w:p w14:paraId="0727B3AC">
                  <w:pPr>
                    <w:pStyle w:val="26"/>
                    <w:wordWrap w:val="0"/>
                    <w:topLinePunct/>
                    <w:adjustRightInd w:val="0"/>
                    <w:snapToGrid w:val="0"/>
                    <w:spacing w:line="240" w:lineRule="auto"/>
                    <w:rPr>
                      <w:rFonts w:hint="default" w:eastAsia="宋体" w:cs="Times New Roman"/>
                      <w:b/>
                      <w:bCs/>
                      <w:color w:val="auto"/>
                      <w:szCs w:val="21"/>
                      <w:lang w:val="en-US" w:eastAsia="zh-CN"/>
                    </w:rPr>
                  </w:pPr>
                </w:p>
              </w:tc>
              <w:tc>
                <w:tcPr>
                  <w:tcW w:w="2250" w:type="dxa"/>
                  <w:tcBorders>
                    <w:tl2br w:val="nil"/>
                    <w:tr2bl w:val="nil"/>
                  </w:tcBorders>
                  <w:shd w:val="clear" w:color="auto" w:fill="FFFFFF"/>
                  <w:vAlign w:val="center"/>
                </w:tcPr>
                <w:p w14:paraId="5A51CD93">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w:t>
                  </w:r>
                </w:p>
              </w:tc>
              <w:tc>
                <w:tcPr>
                  <w:tcW w:w="1846" w:type="dxa"/>
                  <w:tcBorders>
                    <w:tl2br w:val="nil"/>
                    <w:tr2bl w:val="nil"/>
                  </w:tcBorders>
                  <w:shd w:val="clear" w:color="auto" w:fill="FFFFFF"/>
                  <w:vAlign w:val="center"/>
                </w:tcPr>
                <w:p w14:paraId="1F06FBDA">
                  <w:pPr>
                    <w:pStyle w:val="26"/>
                    <w:wordWrap w:val="0"/>
                    <w:topLinePunct/>
                    <w:adjustRightInd w:val="0"/>
                    <w:snapToGrid w:val="0"/>
                    <w:spacing w:line="240" w:lineRule="auto"/>
                    <w:rPr>
                      <w:rFonts w:cs="Times New Roman"/>
                      <w:b/>
                      <w:bCs/>
                      <w:color w:val="auto"/>
                      <w:szCs w:val="21"/>
                    </w:rPr>
                  </w:pPr>
                  <w:r>
                    <w:rPr>
                      <w:rFonts w:cs="Times New Roman"/>
                      <w:b/>
                      <w:bCs/>
                      <w:color w:val="auto"/>
                      <w:szCs w:val="21"/>
                    </w:rPr>
                    <w:t>/</w:t>
                  </w:r>
                </w:p>
              </w:tc>
            </w:tr>
          </w:tbl>
          <w:p w14:paraId="2FB1179D">
            <w:pPr>
              <w:ind w:firstLine="480"/>
              <w:rPr>
                <w:rFonts w:cs="Times New Roman"/>
                <w:color w:val="auto"/>
              </w:rPr>
            </w:pPr>
            <w:r>
              <w:rPr>
                <w:rFonts w:cs="Times New Roman"/>
                <w:color w:val="auto"/>
              </w:rPr>
              <w:t>（4）建设内容</w:t>
            </w:r>
          </w:p>
          <w:p w14:paraId="127CB7CB">
            <w:pPr>
              <w:ind w:firstLine="480"/>
              <w:rPr>
                <w:rFonts w:cs="Times New Roman"/>
                <w:color w:val="auto"/>
              </w:rPr>
            </w:pPr>
            <w:r>
              <w:rPr>
                <w:rFonts w:cs="Times New Roman"/>
                <w:color w:val="auto"/>
              </w:rPr>
              <w:t>本项目建筑面积约</w:t>
            </w:r>
            <w:r>
              <w:rPr>
                <w:rFonts w:hint="eastAsia" w:cs="Times New Roman"/>
                <w:color w:val="auto"/>
                <w:lang w:val="en-US" w:eastAsia="zh-CN"/>
              </w:rPr>
              <w:t>2911.80</w:t>
            </w:r>
            <w:r>
              <w:rPr>
                <w:rFonts w:cs="Times New Roman"/>
                <w:color w:val="auto"/>
              </w:rPr>
              <w:t>m</w:t>
            </w:r>
            <w:r>
              <w:rPr>
                <w:rFonts w:cs="Times New Roman"/>
                <w:color w:val="auto"/>
                <w:vertAlign w:val="superscript"/>
              </w:rPr>
              <w:t>2</w:t>
            </w:r>
            <w:r>
              <w:rPr>
                <w:rFonts w:cs="Times New Roman"/>
                <w:color w:val="auto"/>
              </w:rPr>
              <w:t>，工程建设内容见下表。</w:t>
            </w:r>
          </w:p>
          <w:p w14:paraId="5A96E9E8">
            <w:pPr>
              <w:pStyle w:val="24"/>
              <w:rPr>
                <w:rFonts w:cs="Times New Roman"/>
                <w:color w:val="auto"/>
              </w:rPr>
            </w:pPr>
            <w:r>
              <w:rPr>
                <w:rFonts w:cs="Times New Roman"/>
                <w:color w:val="auto"/>
              </w:rPr>
              <w:t>表2-2 项目工程建设内容一览表</w:t>
            </w:r>
          </w:p>
          <w:tbl>
            <w:tblPr>
              <w:tblStyle w:val="19"/>
              <w:tblW w:w="804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99"/>
              <w:gridCol w:w="576"/>
              <w:gridCol w:w="11"/>
              <w:gridCol w:w="4419"/>
              <w:gridCol w:w="870"/>
              <w:gridCol w:w="22"/>
              <w:gridCol w:w="654"/>
              <w:gridCol w:w="22"/>
            </w:tblGrid>
            <w:tr w14:paraId="0BF747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tcBorders>
                    <w:right w:val="single" w:color="000000" w:sz="8" w:space="0"/>
                    <w:tl2br w:val="nil"/>
                    <w:tr2bl w:val="nil"/>
                  </w:tcBorders>
                  <w:vAlign w:val="center"/>
                </w:tcPr>
                <w:p w14:paraId="605C0018">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工程类别</w:t>
                  </w:r>
                </w:p>
              </w:tc>
              <w:tc>
                <w:tcPr>
                  <w:tcW w:w="1375" w:type="dxa"/>
                  <w:gridSpan w:val="2"/>
                  <w:tcBorders>
                    <w:left w:val="single" w:color="000000" w:sz="8" w:space="0"/>
                    <w:tl2br w:val="nil"/>
                    <w:tr2bl w:val="nil"/>
                  </w:tcBorders>
                  <w:vAlign w:val="center"/>
                </w:tcPr>
                <w:p w14:paraId="1494D3B4">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工程名称</w:t>
                  </w:r>
                </w:p>
              </w:tc>
              <w:tc>
                <w:tcPr>
                  <w:tcW w:w="4430" w:type="dxa"/>
                  <w:gridSpan w:val="2"/>
                  <w:tcBorders>
                    <w:tl2br w:val="nil"/>
                    <w:tr2bl w:val="nil"/>
                  </w:tcBorders>
                  <w:vAlign w:val="center"/>
                </w:tcPr>
                <w:p w14:paraId="067F55C7">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建设内容</w:t>
                  </w:r>
                </w:p>
              </w:tc>
              <w:tc>
                <w:tcPr>
                  <w:tcW w:w="870" w:type="dxa"/>
                  <w:tcBorders>
                    <w:tl2br w:val="nil"/>
                    <w:tr2bl w:val="nil"/>
                  </w:tcBorders>
                  <w:vAlign w:val="center"/>
                </w:tcPr>
                <w:p w14:paraId="7C0E3ABE">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位置</w:t>
                  </w:r>
                </w:p>
              </w:tc>
              <w:tc>
                <w:tcPr>
                  <w:tcW w:w="676" w:type="dxa"/>
                  <w:gridSpan w:val="2"/>
                  <w:tcBorders>
                    <w:tl2br w:val="nil"/>
                    <w:tr2bl w:val="nil"/>
                  </w:tcBorders>
                  <w:vAlign w:val="center"/>
                </w:tcPr>
                <w:p w14:paraId="3BF2BE9B">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备注</w:t>
                  </w:r>
                </w:p>
              </w:tc>
            </w:tr>
            <w:tr w14:paraId="7201EE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restart"/>
                  <w:tcBorders>
                    <w:right w:val="single" w:color="000000" w:sz="8" w:space="0"/>
                    <w:tl2br w:val="nil"/>
                    <w:tr2bl w:val="nil"/>
                  </w:tcBorders>
                  <w:vAlign w:val="center"/>
                </w:tcPr>
                <w:p w14:paraId="33DEA557">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主体工程</w:t>
                  </w:r>
                </w:p>
              </w:tc>
              <w:tc>
                <w:tcPr>
                  <w:tcW w:w="1375" w:type="dxa"/>
                  <w:gridSpan w:val="2"/>
                  <w:tcBorders>
                    <w:left w:val="single" w:color="000000" w:sz="8" w:space="0"/>
                    <w:tl2br w:val="nil"/>
                    <w:tr2bl w:val="nil"/>
                  </w:tcBorders>
                  <w:vAlign w:val="center"/>
                </w:tcPr>
                <w:p w14:paraId="6B464E5B">
                  <w:pPr>
                    <w:pStyle w:val="26"/>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实验室</w:t>
                  </w:r>
                </w:p>
              </w:tc>
              <w:tc>
                <w:tcPr>
                  <w:tcW w:w="4430" w:type="dxa"/>
                  <w:gridSpan w:val="2"/>
                  <w:tcBorders>
                    <w:bottom w:val="single" w:color="000000" w:sz="8" w:space="0"/>
                    <w:tl2br w:val="nil"/>
                    <w:tr2bl w:val="nil"/>
                  </w:tcBorders>
                  <w:vAlign w:val="center"/>
                </w:tcPr>
                <w:p w14:paraId="4FCACFE0">
                  <w:pPr>
                    <w:pStyle w:val="26"/>
                    <w:adjustRightInd w:val="0"/>
                    <w:snapToGrid w:val="0"/>
                    <w:spacing w:line="240" w:lineRule="auto"/>
                    <w:jc w:val="both"/>
                    <w:rPr>
                      <w:rFonts w:cs="Times New Roman"/>
                      <w:color w:val="auto"/>
                      <w:szCs w:val="21"/>
                    </w:rPr>
                  </w:pPr>
                  <w:r>
                    <w:rPr>
                      <w:rFonts w:hint="eastAsia" w:cs="Times New Roman"/>
                      <w:color w:val="auto"/>
                      <w:szCs w:val="21"/>
                    </w:rPr>
                    <w:t>位于1-3层，共14间，用于力学、防水材料、石膏腻子、水泥、电线、门窗、管材、市政、保温、空气等试验，面积约为1600m</w:t>
                  </w:r>
                  <w:r>
                    <w:rPr>
                      <w:rFonts w:hint="eastAsia" w:cs="Times New Roman"/>
                      <w:color w:val="auto"/>
                      <w:szCs w:val="21"/>
                      <w:vertAlign w:val="superscript"/>
                    </w:rPr>
                    <w:t>2</w:t>
                  </w:r>
                  <w:r>
                    <w:rPr>
                      <w:rFonts w:hint="eastAsia" w:cs="Times New Roman"/>
                      <w:color w:val="auto"/>
                      <w:szCs w:val="21"/>
                    </w:rPr>
                    <w:t>，其中单体</w:t>
                  </w:r>
                  <w:r>
                    <w:rPr>
                      <w:rFonts w:hint="eastAsia" w:cs="Times New Roman"/>
                      <w:color w:val="auto"/>
                      <w:szCs w:val="21"/>
                      <w:lang w:val="en-US" w:eastAsia="zh-CN"/>
                    </w:rPr>
                    <w:t>实验室</w:t>
                  </w:r>
                  <w:r>
                    <w:rPr>
                      <w:rFonts w:hint="eastAsia" w:cs="Times New Roman"/>
                      <w:color w:val="auto"/>
                      <w:szCs w:val="21"/>
                    </w:rPr>
                    <w:t>位于1层，面积约为130m</w:t>
                  </w:r>
                  <w:r>
                    <w:rPr>
                      <w:rFonts w:hint="eastAsia" w:cs="Times New Roman"/>
                      <w:color w:val="auto"/>
                      <w:szCs w:val="21"/>
                      <w:vertAlign w:val="superscript"/>
                    </w:rPr>
                    <w:t>2</w:t>
                  </w:r>
                  <w:r>
                    <w:rPr>
                      <w:rFonts w:hint="eastAsia" w:cs="Times New Roman"/>
                      <w:color w:val="auto"/>
                      <w:szCs w:val="21"/>
                    </w:rPr>
                    <w:t>，燃烧</w:t>
                  </w:r>
                  <w:r>
                    <w:rPr>
                      <w:rFonts w:hint="eastAsia" w:cs="Times New Roman"/>
                      <w:color w:val="auto"/>
                      <w:szCs w:val="21"/>
                      <w:lang w:val="en-US" w:eastAsia="zh-CN"/>
                    </w:rPr>
                    <w:t>实验室</w:t>
                  </w:r>
                  <w:r>
                    <w:rPr>
                      <w:rFonts w:hint="eastAsia" w:cs="Times New Roman"/>
                      <w:color w:val="auto"/>
                      <w:szCs w:val="21"/>
                    </w:rPr>
                    <w:t>位于2层，面积约为50m</w:t>
                  </w:r>
                  <w:r>
                    <w:rPr>
                      <w:rFonts w:hint="eastAsia" w:cs="Times New Roman"/>
                      <w:color w:val="auto"/>
                      <w:szCs w:val="21"/>
                      <w:vertAlign w:val="superscript"/>
                    </w:rPr>
                    <w:t>2</w:t>
                  </w:r>
                  <w:r>
                    <w:rPr>
                      <w:rFonts w:hint="eastAsia" w:cs="Times New Roman"/>
                      <w:color w:val="auto"/>
                      <w:szCs w:val="21"/>
                    </w:rPr>
                    <w:t>，化学检测室位于3层，面积约为80m</w:t>
                  </w:r>
                  <w:r>
                    <w:rPr>
                      <w:rFonts w:hint="eastAsia" w:cs="Times New Roman"/>
                      <w:color w:val="auto"/>
                      <w:szCs w:val="21"/>
                      <w:vertAlign w:val="superscript"/>
                    </w:rPr>
                    <w:t>2</w:t>
                  </w:r>
                  <w:r>
                    <w:rPr>
                      <w:rFonts w:hint="eastAsia" w:cs="Times New Roman"/>
                      <w:color w:val="auto"/>
                      <w:szCs w:val="21"/>
                    </w:rPr>
                    <w:t>，色谱室位于3层，面积约为35m</w:t>
                  </w:r>
                  <w:r>
                    <w:rPr>
                      <w:rFonts w:hint="eastAsia" w:cs="Times New Roman"/>
                      <w:color w:val="auto"/>
                      <w:szCs w:val="21"/>
                      <w:vertAlign w:val="superscript"/>
                    </w:rPr>
                    <w:t>2</w:t>
                  </w:r>
                  <w:r>
                    <w:rPr>
                      <w:rFonts w:hint="eastAsia" w:cs="Times New Roman"/>
                      <w:color w:val="auto"/>
                      <w:szCs w:val="21"/>
                    </w:rPr>
                    <w:t>。</w:t>
                  </w:r>
                </w:p>
              </w:tc>
              <w:tc>
                <w:tcPr>
                  <w:tcW w:w="870" w:type="dxa"/>
                  <w:tcBorders>
                    <w:bottom w:val="single" w:color="000000" w:sz="8" w:space="0"/>
                    <w:tl2br w:val="nil"/>
                    <w:tr2bl w:val="nil"/>
                  </w:tcBorders>
                  <w:vAlign w:val="center"/>
                </w:tcPr>
                <w:p w14:paraId="39912CE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1-3层</w:t>
                  </w:r>
                </w:p>
              </w:tc>
              <w:tc>
                <w:tcPr>
                  <w:tcW w:w="676" w:type="dxa"/>
                  <w:gridSpan w:val="2"/>
                  <w:tcBorders>
                    <w:bottom w:val="single" w:color="000000" w:sz="8" w:space="0"/>
                    <w:tl2br w:val="nil"/>
                    <w:tr2bl w:val="nil"/>
                  </w:tcBorders>
                  <w:vAlign w:val="center"/>
                </w:tcPr>
                <w:p w14:paraId="0A5E4F37">
                  <w:pPr>
                    <w:pStyle w:val="26"/>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新建</w:t>
                  </w:r>
                </w:p>
              </w:tc>
            </w:tr>
            <w:tr w14:paraId="412FE3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60074E88">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212CDF62">
                  <w:pPr>
                    <w:pStyle w:val="26"/>
                    <w:adjustRightInd w:val="0"/>
                    <w:snapToGrid w:val="0"/>
                    <w:spacing w:line="240" w:lineRule="auto"/>
                    <w:rPr>
                      <w:rFonts w:hint="eastAsia" w:eastAsia="宋体" w:cs="Times New Roman"/>
                      <w:color w:val="auto"/>
                      <w:szCs w:val="21"/>
                      <w:highlight w:val="none"/>
                      <w:lang w:eastAsia="zh-CN"/>
                    </w:rPr>
                  </w:pPr>
                  <w:r>
                    <w:rPr>
                      <w:rFonts w:hint="eastAsia" w:cs="Times New Roman"/>
                      <w:color w:val="auto"/>
                      <w:szCs w:val="21"/>
                      <w:highlight w:val="none"/>
                      <w:lang w:val="en-US" w:eastAsia="zh-CN"/>
                    </w:rPr>
                    <w:t>标养室</w:t>
                  </w:r>
                </w:p>
              </w:tc>
              <w:tc>
                <w:tcPr>
                  <w:tcW w:w="4430" w:type="dxa"/>
                  <w:gridSpan w:val="2"/>
                  <w:tcBorders>
                    <w:top w:val="single" w:color="000000" w:sz="8" w:space="0"/>
                    <w:tl2br w:val="nil"/>
                    <w:tr2bl w:val="nil"/>
                  </w:tcBorders>
                  <w:vAlign w:val="center"/>
                </w:tcPr>
                <w:p w14:paraId="66B68996">
                  <w:pPr>
                    <w:pStyle w:val="26"/>
                    <w:adjustRightInd w:val="0"/>
                    <w:snapToGrid w:val="0"/>
                    <w:spacing w:line="240" w:lineRule="auto"/>
                    <w:jc w:val="both"/>
                    <w:rPr>
                      <w:rFonts w:hint="default" w:eastAsia="宋体" w:cs="Times New Roman"/>
                      <w:color w:val="auto"/>
                      <w:szCs w:val="21"/>
                      <w:lang w:val="en-US" w:eastAsia="zh-CN"/>
                    </w:rPr>
                  </w:pPr>
                  <w:r>
                    <w:rPr>
                      <w:rFonts w:hint="eastAsia" w:cs="Times New Roman"/>
                      <w:color w:val="auto"/>
                      <w:szCs w:val="21"/>
                    </w:rPr>
                    <w:t>一层试块标养室，建筑面积约为132m</w:t>
                  </w:r>
                  <w:r>
                    <w:rPr>
                      <w:rFonts w:hint="eastAsia" w:cs="Times New Roman"/>
                      <w:color w:val="auto"/>
                      <w:szCs w:val="21"/>
                      <w:vertAlign w:val="superscript"/>
                    </w:rPr>
                    <w:t>2</w:t>
                  </w:r>
                  <w:r>
                    <w:rPr>
                      <w:rFonts w:hint="eastAsia" w:cs="Times New Roman"/>
                      <w:color w:val="auto"/>
                      <w:szCs w:val="21"/>
                    </w:rPr>
                    <w:t>，二层防水标养室，建筑面积约为12m</w:t>
                  </w:r>
                  <w:r>
                    <w:rPr>
                      <w:rFonts w:hint="eastAsia" w:cs="Times New Roman"/>
                      <w:color w:val="auto"/>
                      <w:szCs w:val="21"/>
                      <w:vertAlign w:val="superscript"/>
                    </w:rPr>
                    <w:t>2</w:t>
                  </w:r>
                  <w:r>
                    <w:rPr>
                      <w:rFonts w:hint="eastAsia" w:cs="Times New Roman"/>
                      <w:color w:val="auto"/>
                      <w:szCs w:val="21"/>
                    </w:rPr>
                    <w:t>，三层保温标养室，建筑面积约为10m</w:t>
                  </w:r>
                  <w:r>
                    <w:rPr>
                      <w:rFonts w:hint="eastAsia" w:cs="Times New Roman"/>
                      <w:color w:val="auto"/>
                      <w:szCs w:val="21"/>
                      <w:vertAlign w:val="superscript"/>
                    </w:rPr>
                    <w:t>2</w:t>
                  </w:r>
                  <w:r>
                    <w:rPr>
                      <w:rFonts w:hint="eastAsia" w:cs="Times New Roman"/>
                      <w:color w:val="auto"/>
                      <w:szCs w:val="21"/>
                    </w:rPr>
                    <w:t>。</w:t>
                  </w:r>
                </w:p>
              </w:tc>
              <w:tc>
                <w:tcPr>
                  <w:tcW w:w="870" w:type="dxa"/>
                  <w:tcBorders>
                    <w:top w:val="single" w:color="000000" w:sz="8" w:space="0"/>
                    <w:tl2br w:val="nil"/>
                    <w:tr2bl w:val="nil"/>
                  </w:tcBorders>
                  <w:vAlign w:val="center"/>
                </w:tcPr>
                <w:p w14:paraId="51C7CC49">
                  <w:pPr>
                    <w:pStyle w:val="26"/>
                    <w:adjustRightInd w:val="0"/>
                    <w:snapToGrid w:val="0"/>
                    <w:spacing w:line="240" w:lineRule="auto"/>
                    <w:rPr>
                      <w:rFonts w:hint="default" w:cs="Times New Roman"/>
                      <w:color w:val="auto"/>
                      <w:szCs w:val="21"/>
                      <w:lang w:val="en-US"/>
                    </w:rPr>
                  </w:pPr>
                  <w:r>
                    <w:rPr>
                      <w:rFonts w:hint="eastAsia" w:cs="Times New Roman"/>
                      <w:color w:val="auto"/>
                      <w:szCs w:val="21"/>
                      <w:lang w:val="en-US" w:eastAsia="zh-CN"/>
                    </w:rPr>
                    <w:t>1-3层</w:t>
                  </w:r>
                </w:p>
              </w:tc>
              <w:tc>
                <w:tcPr>
                  <w:tcW w:w="676" w:type="dxa"/>
                  <w:gridSpan w:val="2"/>
                  <w:tcBorders>
                    <w:top w:val="single" w:color="000000" w:sz="8" w:space="0"/>
                    <w:tl2br w:val="nil"/>
                    <w:tr2bl w:val="nil"/>
                  </w:tcBorders>
                  <w:vAlign w:val="center"/>
                </w:tcPr>
                <w:p w14:paraId="12F264F1">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新建</w:t>
                  </w:r>
                </w:p>
              </w:tc>
            </w:tr>
            <w:tr w14:paraId="5F79F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restart"/>
                  <w:tcBorders>
                    <w:tl2br w:val="nil"/>
                    <w:tr2bl w:val="nil"/>
                  </w:tcBorders>
                  <w:vAlign w:val="center"/>
                </w:tcPr>
                <w:p w14:paraId="4E0603DD">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辅助工程</w:t>
                  </w:r>
                </w:p>
              </w:tc>
              <w:tc>
                <w:tcPr>
                  <w:tcW w:w="1375" w:type="dxa"/>
                  <w:gridSpan w:val="2"/>
                  <w:tcBorders>
                    <w:tl2br w:val="nil"/>
                    <w:tr2bl w:val="nil"/>
                  </w:tcBorders>
                  <w:vAlign w:val="center"/>
                </w:tcPr>
                <w:p w14:paraId="7905D5FB">
                  <w:pPr>
                    <w:pStyle w:val="11"/>
                    <w:spacing w:line="240" w:lineRule="auto"/>
                    <w:ind w:firstLine="0" w:firstLineChars="0"/>
                    <w:jc w:val="center"/>
                    <w:rPr>
                      <w:rFonts w:cs="Times New Roman"/>
                      <w:color w:val="auto"/>
                      <w:sz w:val="21"/>
                      <w:szCs w:val="21"/>
                    </w:rPr>
                  </w:pPr>
                  <w:r>
                    <w:rPr>
                      <w:rFonts w:cs="Times New Roman"/>
                      <w:color w:val="auto"/>
                      <w:sz w:val="21"/>
                      <w:szCs w:val="21"/>
                    </w:rPr>
                    <w:t>办公室</w:t>
                  </w:r>
                </w:p>
              </w:tc>
              <w:tc>
                <w:tcPr>
                  <w:tcW w:w="4430" w:type="dxa"/>
                  <w:gridSpan w:val="2"/>
                  <w:tcBorders>
                    <w:tl2br w:val="nil"/>
                    <w:tr2bl w:val="nil"/>
                  </w:tcBorders>
                  <w:vAlign w:val="center"/>
                </w:tcPr>
                <w:p w14:paraId="4544CA95">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位于1-3层，包括会议室、办公室、办公大厅、档案室，建筑面积约为468m</w:t>
                  </w:r>
                  <w:r>
                    <w:rPr>
                      <w:rFonts w:hint="eastAsia" w:cs="Times New Roman"/>
                      <w:color w:val="auto"/>
                      <w:sz w:val="21"/>
                      <w:szCs w:val="21"/>
                      <w:vertAlign w:val="superscript"/>
                    </w:rPr>
                    <w:t>2</w:t>
                  </w:r>
                  <w:r>
                    <w:rPr>
                      <w:rFonts w:cs="Times New Roman"/>
                      <w:color w:val="auto"/>
                      <w:sz w:val="21"/>
                      <w:szCs w:val="21"/>
                    </w:rPr>
                    <w:t>，用于日常办公</w:t>
                  </w:r>
                  <w:r>
                    <w:rPr>
                      <w:rFonts w:hint="eastAsia" w:cs="Times New Roman"/>
                      <w:color w:val="auto"/>
                      <w:sz w:val="21"/>
                      <w:szCs w:val="21"/>
                    </w:rPr>
                    <w:t>。</w:t>
                  </w:r>
                </w:p>
              </w:tc>
              <w:tc>
                <w:tcPr>
                  <w:tcW w:w="870" w:type="dxa"/>
                  <w:tcBorders>
                    <w:tl2br w:val="nil"/>
                    <w:tr2bl w:val="nil"/>
                  </w:tcBorders>
                  <w:vAlign w:val="center"/>
                </w:tcPr>
                <w:p w14:paraId="0FC89F4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1-3层</w:t>
                  </w:r>
                </w:p>
              </w:tc>
              <w:tc>
                <w:tcPr>
                  <w:tcW w:w="676" w:type="dxa"/>
                  <w:gridSpan w:val="2"/>
                  <w:tcBorders>
                    <w:tl2br w:val="nil"/>
                    <w:tr2bl w:val="nil"/>
                  </w:tcBorders>
                  <w:vAlign w:val="center"/>
                </w:tcPr>
                <w:p w14:paraId="147C8D6A">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新建</w:t>
                  </w:r>
                </w:p>
              </w:tc>
            </w:tr>
            <w:tr w14:paraId="33260C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4FC21D2A">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5E327C96">
                  <w:pPr>
                    <w:pStyle w:val="11"/>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卫生</w:t>
                  </w:r>
                  <w:r>
                    <w:rPr>
                      <w:rFonts w:cs="Times New Roman"/>
                      <w:color w:val="auto"/>
                      <w:sz w:val="21"/>
                      <w:szCs w:val="21"/>
                    </w:rPr>
                    <w:t>间</w:t>
                  </w:r>
                </w:p>
              </w:tc>
              <w:tc>
                <w:tcPr>
                  <w:tcW w:w="4430" w:type="dxa"/>
                  <w:gridSpan w:val="2"/>
                  <w:tcBorders>
                    <w:tl2br w:val="nil"/>
                    <w:tr2bl w:val="nil"/>
                  </w:tcBorders>
                  <w:vAlign w:val="center"/>
                </w:tcPr>
                <w:p w14:paraId="413CB0AA">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位于1-3层，</w:t>
                  </w:r>
                  <w:r>
                    <w:rPr>
                      <w:rFonts w:cs="Times New Roman"/>
                      <w:color w:val="auto"/>
                      <w:sz w:val="21"/>
                      <w:szCs w:val="21"/>
                    </w:rPr>
                    <w:t>建筑面积约1</w:t>
                  </w:r>
                  <w:r>
                    <w:rPr>
                      <w:rFonts w:hint="eastAsia" w:cs="Times New Roman"/>
                      <w:color w:val="auto"/>
                      <w:sz w:val="21"/>
                      <w:szCs w:val="21"/>
                      <w:lang w:val="en-US" w:eastAsia="zh-CN"/>
                    </w:rPr>
                    <w:t>4</w:t>
                  </w:r>
                  <w:r>
                    <w:rPr>
                      <w:rFonts w:cs="Times New Roman"/>
                      <w:color w:val="auto"/>
                      <w:sz w:val="21"/>
                      <w:szCs w:val="21"/>
                    </w:rPr>
                    <w:t>0m</w:t>
                  </w:r>
                  <w:r>
                    <w:rPr>
                      <w:rFonts w:cs="Times New Roman"/>
                      <w:color w:val="auto"/>
                      <w:sz w:val="21"/>
                      <w:szCs w:val="21"/>
                      <w:vertAlign w:val="superscript"/>
                    </w:rPr>
                    <w:t>2</w:t>
                  </w:r>
                  <w:r>
                    <w:rPr>
                      <w:rFonts w:hint="eastAsia" w:cs="Times New Roman"/>
                      <w:color w:val="auto"/>
                      <w:sz w:val="21"/>
                      <w:szCs w:val="21"/>
                    </w:rPr>
                    <w:t>。</w:t>
                  </w:r>
                </w:p>
              </w:tc>
              <w:tc>
                <w:tcPr>
                  <w:tcW w:w="870" w:type="dxa"/>
                  <w:tcBorders>
                    <w:tl2br w:val="nil"/>
                    <w:tr2bl w:val="nil"/>
                  </w:tcBorders>
                  <w:vAlign w:val="center"/>
                </w:tcPr>
                <w:p w14:paraId="254EE65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1-3层</w:t>
                  </w:r>
                </w:p>
              </w:tc>
              <w:tc>
                <w:tcPr>
                  <w:tcW w:w="676" w:type="dxa"/>
                  <w:gridSpan w:val="2"/>
                  <w:tcBorders>
                    <w:tl2br w:val="nil"/>
                    <w:tr2bl w:val="nil"/>
                  </w:tcBorders>
                  <w:vAlign w:val="center"/>
                </w:tcPr>
                <w:p w14:paraId="5CCEC200">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新建</w:t>
                  </w:r>
                </w:p>
              </w:tc>
            </w:tr>
            <w:tr w14:paraId="3EECFF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restart"/>
                  <w:tcBorders>
                    <w:tl2br w:val="nil"/>
                    <w:tr2bl w:val="nil"/>
                  </w:tcBorders>
                  <w:vAlign w:val="center"/>
                </w:tcPr>
                <w:p w14:paraId="7443554F">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储运工程</w:t>
                  </w:r>
                </w:p>
              </w:tc>
              <w:tc>
                <w:tcPr>
                  <w:tcW w:w="1375" w:type="dxa"/>
                  <w:gridSpan w:val="2"/>
                  <w:tcBorders>
                    <w:tl2br w:val="nil"/>
                    <w:tr2bl w:val="nil"/>
                  </w:tcBorders>
                  <w:vAlign w:val="center"/>
                </w:tcPr>
                <w:p w14:paraId="567F3691">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存放区</w:t>
                  </w:r>
                </w:p>
              </w:tc>
              <w:tc>
                <w:tcPr>
                  <w:tcW w:w="4430" w:type="dxa"/>
                  <w:gridSpan w:val="2"/>
                  <w:tcBorders>
                    <w:tl2br w:val="nil"/>
                    <w:tr2bl w:val="nil"/>
                  </w:tcBorders>
                  <w:vAlign w:val="center"/>
                </w:tcPr>
                <w:p w14:paraId="009DBD64">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lang w:val="en-US" w:eastAsia="zh-CN"/>
                    </w:rPr>
                    <w:t>位于3层，</w:t>
                  </w:r>
                  <w:r>
                    <w:rPr>
                      <w:rFonts w:cs="Times New Roman"/>
                      <w:color w:val="auto"/>
                      <w:sz w:val="21"/>
                      <w:szCs w:val="21"/>
                    </w:rPr>
                    <w:t>建筑面积约</w:t>
                  </w:r>
                  <w:r>
                    <w:rPr>
                      <w:rFonts w:hint="eastAsia" w:cs="Times New Roman"/>
                      <w:color w:val="auto"/>
                      <w:sz w:val="21"/>
                      <w:szCs w:val="21"/>
                      <w:lang w:val="en-US" w:eastAsia="zh-CN"/>
                    </w:rPr>
                    <w:t>107</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，用于存放试验样品</w:t>
                  </w:r>
                  <w:r>
                    <w:rPr>
                      <w:rFonts w:hint="eastAsia" w:cs="Times New Roman"/>
                      <w:color w:val="auto"/>
                      <w:sz w:val="21"/>
                      <w:szCs w:val="21"/>
                    </w:rPr>
                    <w:t>。</w:t>
                  </w:r>
                </w:p>
              </w:tc>
              <w:tc>
                <w:tcPr>
                  <w:tcW w:w="870" w:type="dxa"/>
                  <w:tcBorders>
                    <w:tl2br w:val="nil"/>
                    <w:tr2bl w:val="nil"/>
                  </w:tcBorders>
                  <w:vAlign w:val="center"/>
                </w:tcPr>
                <w:p w14:paraId="38D56F8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3层</w:t>
                  </w:r>
                </w:p>
              </w:tc>
              <w:tc>
                <w:tcPr>
                  <w:tcW w:w="676" w:type="dxa"/>
                  <w:gridSpan w:val="2"/>
                  <w:tcBorders>
                    <w:tl2br w:val="nil"/>
                    <w:tr2bl w:val="nil"/>
                  </w:tcBorders>
                  <w:vAlign w:val="center"/>
                </w:tcPr>
                <w:p w14:paraId="2DD09EDC">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新建</w:t>
                  </w:r>
                </w:p>
              </w:tc>
            </w:tr>
            <w:tr w14:paraId="4E5F3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4F7A5C7E">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7F0F80A8">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留样区</w:t>
                  </w:r>
                </w:p>
              </w:tc>
              <w:tc>
                <w:tcPr>
                  <w:tcW w:w="4430" w:type="dxa"/>
                  <w:gridSpan w:val="2"/>
                  <w:tcBorders>
                    <w:tl2br w:val="nil"/>
                    <w:tr2bl w:val="nil"/>
                  </w:tcBorders>
                  <w:vAlign w:val="center"/>
                </w:tcPr>
                <w:p w14:paraId="3AEB79EB">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位于二层，建筑面积约为50m</w:t>
                  </w:r>
                  <w:r>
                    <w:rPr>
                      <w:rFonts w:hint="eastAsia" w:cs="Times New Roman"/>
                      <w:color w:val="auto"/>
                      <w:sz w:val="21"/>
                      <w:szCs w:val="21"/>
                      <w:vertAlign w:val="superscript"/>
                    </w:rPr>
                    <w:t>2</w:t>
                  </w:r>
                  <w:r>
                    <w:rPr>
                      <w:rFonts w:cs="Times New Roman"/>
                      <w:color w:val="auto"/>
                      <w:sz w:val="21"/>
                      <w:szCs w:val="21"/>
                    </w:rPr>
                    <w:t>，用于存放样品</w:t>
                  </w:r>
                  <w:r>
                    <w:rPr>
                      <w:rFonts w:hint="eastAsia" w:cs="Times New Roman"/>
                      <w:color w:val="auto"/>
                      <w:sz w:val="21"/>
                      <w:szCs w:val="21"/>
                    </w:rPr>
                    <w:t>。</w:t>
                  </w:r>
                </w:p>
              </w:tc>
              <w:tc>
                <w:tcPr>
                  <w:tcW w:w="870" w:type="dxa"/>
                  <w:tcBorders>
                    <w:tl2br w:val="nil"/>
                    <w:tr2bl w:val="nil"/>
                  </w:tcBorders>
                  <w:vAlign w:val="center"/>
                </w:tcPr>
                <w:p w14:paraId="66FFBE0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2层</w:t>
                  </w:r>
                </w:p>
              </w:tc>
              <w:tc>
                <w:tcPr>
                  <w:tcW w:w="676" w:type="dxa"/>
                  <w:gridSpan w:val="2"/>
                  <w:tcBorders>
                    <w:tl2br w:val="nil"/>
                    <w:tr2bl w:val="nil"/>
                  </w:tcBorders>
                  <w:vAlign w:val="center"/>
                </w:tcPr>
                <w:p w14:paraId="1687D8DF">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新建</w:t>
                  </w:r>
                </w:p>
              </w:tc>
            </w:tr>
            <w:tr w14:paraId="05500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restart"/>
                  <w:tcBorders>
                    <w:tl2br w:val="nil"/>
                    <w:tr2bl w:val="nil"/>
                  </w:tcBorders>
                  <w:vAlign w:val="center"/>
                </w:tcPr>
                <w:p w14:paraId="73E2D7A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公用工程</w:t>
                  </w:r>
                </w:p>
              </w:tc>
              <w:tc>
                <w:tcPr>
                  <w:tcW w:w="1375" w:type="dxa"/>
                  <w:gridSpan w:val="2"/>
                  <w:tcBorders>
                    <w:tl2br w:val="nil"/>
                    <w:tr2bl w:val="nil"/>
                  </w:tcBorders>
                  <w:vAlign w:val="center"/>
                </w:tcPr>
                <w:p w14:paraId="1727C713">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供水</w:t>
                  </w:r>
                </w:p>
              </w:tc>
              <w:tc>
                <w:tcPr>
                  <w:tcW w:w="4430" w:type="dxa"/>
                  <w:gridSpan w:val="2"/>
                  <w:tcBorders>
                    <w:tl2br w:val="nil"/>
                    <w:tr2bl w:val="nil"/>
                  </w:tcBorders>
                  <w:vAlign w:val="center"/>
                </w:tcPr>
                <w:p w14:paraId="51E739CB">
                  <w:pPr>
                    <w:adjustRightInd w:val="0"/>
                    <w:snapToGrid w:val="0"/>
                    <w:spacing w:line="240" w:lineRule="auto"/>
                    <w:ind w:firstLine="0" w:firstLineChars="0"/>
                    <w:rPr>
                      <w:rFonts w:cs="Times New Roman"/>
                      <w:color w:val="auto"/>
                      <w:sz w:val="21"/>
                      <w:szCs w:val="21"/>
                    </w:rPr>
                  </w:pPr>
                  <w:r>
                    <w:rPr>
                      <w:rFonts w:cs="Times New Roman"/>
                      <w:color w:val="auto"/>
                      <w:sz w:val="21"/>
                      <w:szCs w:val="21"/>
                    </w:rPr>
                    <w:t>当地市</w:t>
                  </w:r>
                  <w:r>
                    <w:rPr>
                      <w:rFonts w:hint="eastAsia" w:cs="Times New Roman"/>
                      <w:color w:val="auto"/>
                      <w:sz w:val="21"/>
                      <w:szCs w:val="21"/>
                    </w:rPr>
                    <w:t>政管网供水</w:t>
                  </w:r>
                  <w:r>
                    <w:rPr>
                      <w:rFonts w:cs="Times New Roman"/>
                      <w:color w:val="auto"/>
                      <w:sz w:val="21"/>
                      <w:szCs w:val="21"/>
                    </w:rPr>
                    <w:t>。</w:t>
                  </w:r>
                </w:p>
              </w:tc>
              <w:tc>
                <w:tcPr>
                  <w:tcW w:w="870" w:type="dxa"/>
                  <w:tcBorders>
                    <w:tl2br w:val="nil"/>
                    <w:tr2bl w:val="nil"/>
                  </w:tcBorders>
                  <w:vAlign w:val="center"/>
                </w:tcPr>
                <w:p w14:paraId="3F9994B9">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5E4C5B0C">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依托</w:t>
                  </w:r>
                </w:p>
              </w:tc>
            </w:tr>
            <w:tr w14:paraId="3ED85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7867DB69">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624CE39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排水</w:t>
                  </w:r>
                </w:p>
              </w:tc>
              <w:tc>
                <w:tcPr>
                  <w:tcW w:w="4430" w:type="dxa"/>
                  <w:gridSpan w:val="2"/>
                  <w:tcBorders>
                    <w:tl2br w:val="nil"/>
                    <w:tr2bl w:val="nil"/>
                  </w:tcBorders>
                  <w:vAlign w:val="center"/>
                </w:tcPr>
                <w:p w14:paraId="131835B0">
                  <w:pPr>
                    <w:adjustRightInd w:val="0"/>
                    <w:snapToGrid w:val="0"/>
                    <w:spacing w:line="240" w:lineRule="auto"/>
                    <w:ind w:firstLine="0" w:firstLineChars="0"/>
                    <w:rPr>
                      <w:rFonts w:cs="Times New Roman"/>
                      <w:color w:val="auto"/>
                      <w:sz w:val="21"/>
                      <w:szCs w:val="21"/>
                    </w:rPr>
                  </w:pPr>
                  <w:r>
                    <w:rPr>
                      <w:rFonts w:cs="Times New Roman"/>
                      <w:color w:val="auto"/>
                      <w:sz w:val="21"/>
                      <w:szCs w:val="21"/>
                    </w:rPr>
                    <w:t>生活污水排入园区内化粪池处理，</w:t>
                  </w:r>
                  <w:r>
                    <w:rPr>
                      <w:rFonts w:hint="eastAsia" w:cs="Times New Roman"/>
                      <w:color w:val="auto"/>
                      <w:sz w:val="21"/>
                      <w:szCs w:val="21"/>
                    </w:rPr>
                    <w:t>然后</w:t>
                  </w:r>
                  <w:r>
                    <w:rPr>
                      <w:rFonts w:cs="Times New Roman"/>
                      <w:color w:val="auto"/>
                      <w:sz w:val="21"/>
                      <w:szCs w:val="21"/>
                    </w:rPr>
                    <w:t>通过园区总排污口接入市政污水管网排往</w:t>
                  </w:r>
                  <w:r>
                    <w:rPr>
                      <w:rFonts w:hint="eastAsia" w:cs="Times New Roman"/>
                      <w:color w:val="auto"/>
                      <w:sz w:val="21"/>
                      <w:szCs w:val="21"/>
                      <w:lang w:eastAsia="zh-CN"/>
                    </w:rPr>
                    <w:t>北京轻纺服装产业基地应急污水处理站</w:t>
                  </w:r>
                  <w:r>
                    <w:rPr>
                      <w:rFonts w:hint="eastAsia" w:cs="Times New Roman"/>
                      <w:color w:val="auto"/>
                      <w:sz w:val="21"/>
                      <w:szCs w:val="21"/>
                    </w:rPr>
                    <w:t>进一步处理</w:t>
                  </w:r>
                  <w:r>
                    <w:rPr>
                      <w:rFonts w:cs="Times New Roman"/>
                      <w:color w:val="auto"/>
                      <w:sz w:val="21"/>
                      <w:szCs w:val="21"/>
                    </w:rPr>
                    <w:t>。</w:t>
                  </w:r>
                </w:p>
              </w:tc>
              <w:tc>
                <w:tcPr>
                  <w:tcW w:w="870" w:type="dxa"/>
                  <w:tcBorders>
                    <w:tl2br w:val="nil"/>
                    <w:tr2bl w:val="nil"/>
                  </w:tcBorders>
                  <w:vAlign w:val="center"/>
                </w:tcPr>
                <w:p w14:paraId="413D8906">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5880F913">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依托</w:t>
                  </w:r>
                </w:p>
              </w:tc>
            </w:tr>
            <w:tr w14:paraId="424E8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317B600E">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1AD13D99">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供电</w:t>
                  </w:r>
                </w:p>
              </w:tc>
              <w:tc>
                <w:tcPr>
                  <w:tcW w:w="4430" w:type="dxa"/>
                  <w:gridSpan w:val="2"/>
                  <w:tcBorders>
                    <w:tl2br w:val="nil"/>
                    <w:tr2bl w:val="nil"/>
                  </w:tcBorders>
                  <w:vAlign w:val="center"/>
                </w:tcPr>
                <w:p w14:paraId="73415639">
                  <w:pPr>
                    <w:adjustRightInd w:val="0"/>
                    <w:snapToGrid w:val="0"/>
                    <w:spacing w:line="240" w:lineRule="auto"/>
                    <w:ind w:firstLine="0" w:firstLineChars="0"/>
                    <w:rPr>
                      <w:rFonts w:cs="Times New Roman"/>
                      <w:color w:val="auto"/>
                      <w:sz w:val="21"/>
                      <w:szCs w:val="21"/>
                    </w:rPr>
                  </w:pPr>
                  <w:r>
                    <w:rPr>
                      <w:rFonts w:cs="Times New Roman"/>
                      <w:color w:val="auto"/>
                      <w:sz w:val="21"/>
                      <w:szCs w:val="21"/>
                    </w:rPr>
                    <w:t>项目用电由市政供电。</w:t>
                  </w:r>
                </w:p>
              </w:tc>
              <w:tc>
                <w:tcPr>
                  <w:tcW w:w="870" w:type="dxa"/>
                  <w:tcBorders>
                    <w:tl2br w:val="nil"/>
                    <w:tr2bl w:val="nil"/>
                  </w:tcBorders>
                  <w:vAlign w:val="center"/>
                </w:tcPr>
                <w:p w14:paraId="15B4BF9A">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7AC849AD">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依托</w:t>
                  </w:r>
                </w:p>
              </w:tc>
            </w:tr>
            <w:tr w14:paraId="7DD74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6624316E">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0D8DE298">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采暖</w:t>
                  </w:r>
                </w:p>
              </w:tc>
              <w:tc>
                <w:tcPr>
                  <w:tcW w:w="4430" w:type="dxa"/>
                  <w:gridSpan w:val="2"/>
                  <w:tcBorders>
                    <w:tl2br w:val="nil"/>
                    <w:tr2bl w:val="nil"/>
                  </w:tcBorders>
                  <w:vAlign w:val="center"/>
                </w:tcPr>
                <w:p w14:paraId="01464A19">
                  <w:pPr>
                    <w:adjustRightInd w:val="0"/>
                    <w:snapToGrid w:val="0"/>
                    <w:spacing w:line="240" w:lineRule="auto"/>
                    <w:ind w:firstLine="0" w:firstLineChars="0"/>
                    <w:rPr>
                      <w:rFonts w:cs="Times New Roman"/>
                      <w:color w:val="auto"/>
                      <w:sz w:val="21"/>
                      <w:szCs w:val="21"/>
                    </w:rPr>
                  </w:pPr>
                  <w:r>
                    <w:rPr>
                      <w:rFonts w:cs="Times New Roman"/>
                      <w:color w:val="auto"/>
                      <w:sz w:val="21"/>
                      <w:szCs w:val="21"/>
                    </w:rPr>
                    <w:t>市政集中供热</w:t>
                  </w:r>
                  <w:r>
                    <w:rPr>
                      <w:rFonts w:hint="eastAsia" w:cs="Times New Roman"/>
                      <w:color w:val="auto"/>
                      <w:sz w:val="21"/>
                      <w:szCs w:val="21"/>
                    </w:rPr>
                    <w:t>采暖</w:t>
                  </w:r>
                  <w:r>
                    <w:rPr>
                      <w:rFonts w:cs="Times New Roman"/>
                      <w:color w:val="auto"/>
                      <w:sz w:val="21"/>
                      <w:szCs w:val="21"/>
                    </w:rPr>
                    <w:t>。</w:t>
                  </w:r>
                </w:p>
              </w:tc>
              <w:tc>
                <w:tcPr>
                  <w:tcW w:w="870" w:type="dxa"/>
                  <w:tcBorders>
                    <w:tl2br w:val="nil"/>
                    <w:tr2bl w:val="nil"/>
                  </w:tcBorders>
                  <w:vAlign w:val="center"/>
                </w:tcPr>
                <w:p w14:paraId="40129137">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76B17832">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依托</w:t>
                  </w:r>
                </w:p>
              </w:tc>
            </w:tr>
            <w:tr w14:paraId="63286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3EB5D73F">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69A1878D">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制冷</w:t>
                  </w:r>
                </w:p>
              </w:tc>
              <w:tc>
                <w:tcPr>
                  <w:tcW w:w="4430" w:type="dxa"/>
                  <w:gridSpan w:val="2"/>
                  <w:tcBorders>
                    <w:tl2br w:val="nil"/>
                    <w:tr2bl w:val="nil"/>
                  </w:tcBorders>
                  <w:vAlign w:val="center"/>
                </w:tcPr>
                <w:p w14:paraId="1E8B1946">
                  <w:pPr>
                    <w:adjustRightInd w:val="0"/>
                    <w:snapToGrid w:val="0"/>
                    <w:spacing w:line="240" w:lineRule="auto"/>
                    <w:ind w:firstLine="0" w:firstLineChars="0"/>
                    <w:rPr>
                      <w:rFonts w:hint="eastAsia" w:eastAsia="宋体" w:cs="Times New Roman"/>
                      <w:color w:val="auto"/>
                      <w:sz w:val="21"/>
                      <w:szCs w:val="21"/>
                      <w:lang w:eastAsia="zh-CN"/>
                    </w:rPr>
                  </w:pPr>
                  <w:r>
                    <w:rPr>
                      <w:rFonts w:cs="Times New Roman"/>
                      <w:color w:val="auto"/>
                      <w:sz w:val="21"/>
                      <w:szCs w:val="21"/>
                    </w:rPr>
                    <w:t>空调制冷</w:t>
                  </w:r>
                  <w:r>
                    <w:rPr>
                      <w:rFonts w:hint="eastAsia" w:cs="Times New Roman"/>
                      <w:color w:val="auto"/>
                      <w:sz w:val="21"/>
                      <w:szCs w:val="21"/>
                      <w:lang w:eastAsia="zh-CN"/>
                    </w:rPr>
                    <w:t>。</w:t>
                  </w:r>
                </w:p>
              </w:tc>
              <w:tc>
                <w:tcPr>
                  <w:tcW w:w="870" w:type="dxa"/>
                  <w:tcBorders>
                    <w:tl2br w:val="nil"/>
                    <w:tr2bl w:val="nil"/>
                  </w:tcBorders>
                  <w:vAlign w:val="center"/>
                </w:tcPr>
                <w:p w14:paraId="3FE5A274">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676" w:type="dxa"/>
                  <w:gridSpan w:val="2"/>
                  <w:tcBorders>
                    <w:tl2br w:val="nil"/>
                    <w:tr2bl w:val="nil"/>
                  </w:tcBorders>
                  <w:vAlign w:val="center"/>
                </w:tcPr>
                <w:p w14:paraId="62A07802">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新建</w:t>
                  </w:r>
                </w:p>
              </w:tc>
            </w:tr>
            <w:tr w14:paraId="5889C6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restart"/>
                  <w:tcBorders>
                    <w:tl2br w:val="nil"/>
                    <w:tr2bl w:val="nil"/>
                  </w:tcBorders>
                  <w:vAlign w:val="center"/>
                </w:tcPr>
                <w:p w14:paraId="12055091">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环保工程</w:t>
                  </w:r>
                </w:p>
              </w:tc>
              <w:tc>
                <w:tcPr>
                  <w:tcW w:w="1375" w:type="dxa"/>
                  <w:gridSpan w:val="2"/>
                  <w:tcBorders>
                    <w:tl2br w:val="nil"/>
                    <w:tr2bl w:val="nil"/>
                  </w:tcBorders>
                  <w:vAlign w:val="center"/>
                </w:tcPr>
                <w:p w14:paraId="6994A603">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废气</w:t>
                  </w:r>
                </w:p>
              </w:tc>
              <w:tc>
                <w:tcPr>
                  <w:tcW w:w="4430" w:type="dxa"/>
                  <w:gridSpan w:val="2"/>
                  <w:tcBorders>
                    <w:tl2br w:val="nil"/>
                    <w:tr2bl w:val="nil"/>
                  </w:tcBorders>
                  <w:vAlign w:val="center"/>
                </w:tcPr>
                <w:p w14:paraId="30295C94">
                  <w:pPr>
                    <w:adjustRightInd w:val="0"/>
                    <w:snapToGrid w:val="0"/>
                    <w:spacing w:line="240" w:lineRule="auto"/>
                    <w:ind w:firstLine="0" w:firstLineChars="0"/>
                    <w:rPr>
                      <w:rFonts w:hint="eastAsia" w:eastAsia="宋体" w:cs="Times New Roman"/>
                      <w:color w:val="auto"/>
                      <w:sz w:val="21"/>
                      <w:szCs w:val="21"/>
                      <w:lang w:eastAsia="zh-CN"/>
                    </w:rPr>
                  </w:pPr>
                  <w:r>
                    <w:rPr>
                      <w:rFonts w:hint="eastAsia" w:cs="Times New Roman"/>
                      <w:color w:val="auto"/>
                      <w:sz w:val="21"/>
                      <w:szCs w:val="21"/>
                      <w:lang w:val="en-US" w:eastAsia="zh-CN"/>
                    </w:rPr>
                    <w:t>燃烧废气及实验废气</w:t>
                  </w:r>
                  <w:r>
                    <w:rPr>
                      <w:rFonts w:cs="Times New Roman"/>
                      <w:color w:val="auto"/>
                      <w:sz w:val="21"/>
                      <w:szCs w:val="21"/>
                    </w:rPr>
                    <w:t>经</w:t>
                  </w:r>
                  <w:r>
                    <w:rPr>
                      <w:rFonts w:hint="eastAsia" w:cs="Times New Roman"/>
                      <w:color w:val="auto"/>
                      <w:sz w:val="21"/>
                      <w:szCs w:val="21"/>
                      <w:lang w:val="en-US" w:eastAsia="zh-CN"/>
                    </w:rPr>
                    <w:t>1套</w:t>
                  </w:r>
                  <w:r>
                    <w:rPr>
                      <w:rFonts w:hint="eastAsia" w:cs="Times New Roman"/>
                      <w:color w:val="auto"/>
                      <w:sz w:val="21"/>
                      <w:szCs w:val="21"/>
                    </w:rPr>
                    <w:t>“</w:t>
                  </w:r>
                  <w:r>
                    <w:rPr>
                      <w:rFonts w:cs="Times New Roman"/>
                      <w:color w:val="auto"/>
                      <w:sz w:val="21"/>
                      <w:szCs w:val="21"/>
                    </w:rPr>
                    <w:t>布袋除尘器+活性炭吸附</w:t>
                  </w:r>
                  <w:r>
                    <w:rPr>
                      <w:rFonts w:hint="eastAsia" w:cs="Times New Roman"/>
                      <w:color w:val="auto"/>
                      <w:sz w:val="21"/>
                      <w:szCs w:val="21"/>
                    </w:rPr>
                    <w:t>”</w:t>
                  </w:r>
                  <w:r>
                    <w:rPr>
                      <w:rFonts w:cs="Times New Roman"/>
                      <w:color w:val="auto"/>
                      <w:sz w:val="21"/>
                      <w:szCs w:val="21"/>
                    </w:rPr>
                    <w:t>处理后经</w:t>
                  </w:r>
                  <w:r>
                    <w:rPr>
                      <w:rFonts w:hint="eastAsia" w:cs="Times New Roman"/>
                      <w:color w:val="auto"/>
                      <w:sz w:val="21"/>
                      <w:szCs w:val="21"/>
                      <w:lang w:val="en-US" w:eastAsia="zh-CN"/>
                    </w:rPr>
                    <w:t>20</w:t>
                  </w:r>
                  <w:r>
                    <w:rPr>
                      <w:rFonts w:cs="Times New Roman"/>
                      <w:color w:val="auto"/>
                      <w:sz w:val="21"/>
                      <w:szCs w:val="21"/>
                    </w:rPr>
                    <w:t>m排气筒DA001达标排放</w:t>
                  </w:r>
                  <w:r>
                    <w:rPr>
                      <w:rFonts w:hint="eastAsia" w:cs="Times New Roman"/>
                      <w:color w:val="auto"/>
                      <w:sz w:val="21"/>
                      <w:szCs w:val="21"/>
                      <w:lang w:eastAsia="zh-CN"/>
                    </w:rPr>
                    <w:t>。</w:t>
                  </w:r>
                </w:p>
              </w:tc>
              <w:tc>
                <w:tcPr>
                  <w:tcW w:w="870" w:type="dxa"/>
                  <w:tcBorders>
                    <w:tl2br w:val="nil"/>
                    <w:tr2bl w:val="nil"/>
                  </w:tcBorders>
                  <w:vAlign w:val="center"/>
                </w:tcPr>
                <w:p w14:paraId="5F357F5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1层</w:t>
                  </w:r>
                </w:p>
              </w:tc>
              <w:tc>
                <w:tcPr>
                  <w:tcW w:w="676" w:type="dxa"/>
                  <w:gridSpan w:val="2"/>
                  <w:tcBorders>
                    <w:tl2br w:val="nil"/>
                    <w:tr2bl w:val="nil"/>
                  </w:tcBorders>
                  <w:vAlign w:val="center"/>
                </w:tcPr>
                <w:p w14:paraId="054AB778">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新建</w:t>
                  </w:r>
                </w:p>
              </w:tc>
            </w:tr>
            <w:tr w14:paraId="22E0BB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5AEA818D">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3F6EB4B2">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废水</w:t>
                  </w:r>
                </w:p>
              </w:tc>
              <w:tc>
                <w:tcPr>
                  <w:tcW w:w="4430" w:type="dxa"/>
                  <w:gridSpan w:val="2"/>
                  <w:tcBorders>
                    <w:tl2br w:val="nil"/>
                    <w:tr2bl w:val="nil"/>
                  </w:tcBorders>
                  <w:vAlign w:val="center"/>
                </w:tcPr>
                <w:p w14:paraId="4074A107">
                  <w:pPr>
                    <w:adjustRightInd w:val="0"/>
                    <w:snapToGrid w:val="0"/>
                    <w:spacing w:line="240" w:lineRule="auto"/>
                    <w:ind w:firstLine="0" w:firstLineChars="0"/>
                    <w:rPr>
                      <w:rFonts w:cs="Times New Roman"/>
                      <w:color w:val="auto"/>
                      <w:sz w:val="21"/>
                      <w:szCs w:val="21"/>
                    </w:rPr>
                  </w:pPr>
                  <w:r>
                    <w:rPr>
                      <w:rFonts w:cs="Times New Roman"/>
                      <w:color w:val="auto"/>
                      <w:sz w:val="21"/>
                      <w:szCs w:val="21"/>
                    </w:rPr>
                    <w:t>生活污水排入园区内化粪池处理，</w:t>
                  </w:r>
                  <w:r>
                    <w:rPr>
                      <w:rFonts w:hint="eastAsia" w:cs="Times New Roman"/>
                      <w:color w:val="auto"/>
                      <w:sz w:val="21"/>
                      <w:szCs w:val="21"/>
                    </w:rPr>
                    <w:t>然后</w:t>
                  </w:r>
                  <w:r>
                    <w:rPr>
                      <w:rFonts w:cs="Times New Roman"/>
                      <w:color w:val="auto"/>
                      <w:sz w:val="21"/>
                      <w:szCs w:val="21"/>
                    </w:rPr>
                    <w:t>通过园区总排污口接入市政污水管网排往</w:t>
                  </w:r>
                  <w:r>
                    <w:rPr>
                      <w:rFonts w:hint="eastAsia" w:cs="Times New Roman"/>
                      <w:color w:val="auto"/>
                      <w:sz w:val="21"/>
                      <w:szCs w:val="21"/>
                      <w:lang w:eastAsia="zh-CN"/>
                    </w:rPr>
                    <w:t>北京轻纺服装产业基地应急污水处理站</w:t>
                  </w:r>
                  <w:r>
                    <w:rPr>
                      <w:rFonts w:hint="eastAsia" w:cs="Times New Roman"/>
                      <w:color w:val="auto"/>
                      <w:sz w:val="21"/>
                      <w:szCs w:val="21"/>
                    </w:rPr>
                    <w:t>进一步处理</w:t>
                  </w:r>
                  <w:r>
                    <w:rPr>
                      <w:rFonts w:cs="Times New Roman"/>
                      <w:color w:val="auto"/>
                      <w:sz w:val="21"/>
                      <w:szCs w:val="21"/>
                    </w:rPr>
                    <w:t>。</w:t>
                  </w:r>
                </w:p>
              </w:tc>
              <w:tc>
                <w:tcPr>
                  <w:tcW w:w="870" w:type="dxa"/>
                  <w:tcBorders>
                    <w:tl2br w:val="nil"/>
                    <w:tr2bl w:val="nil"/>
                  </w:tcBorders>
                  <w:vAlign w:val="center"/>
                </w:tcPr>
                <w:p w14:paraId="3AC6C12B">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11B3200F">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依托</w:t>
                  </w:r>
                </w:p>
              </w:tc>
            </w:tr>
            <w:tr w14:paraId="5C5DE3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jc w:val="center"/>
              </w:trPr>
              <w:tc>
                <w:tcPr>
                  <w:tcW w:w="672" w:type="dxa"/>
                  <w:vMerge w:val="continue"/>
                  <w:tcBorders>
                    <w:tl2br w:val="nil"/>
                    <w:tr2bl w:val="nil"/>
                  </w:tcBorders>
                  <w:vAlign w:val="center"/>
                </w:tcPr>
                <w:p w14:paraId="1F2E127D">
                  <w:pPr>
                    <w:adjustRightInd w:val="0"/>
                    <w:snapToGrid w:val="0"/>
                    <w:spacing w:line="240" w:lineRule="auto"/>
                    <w:ind w:firstLine="0" w:firstLineChars="0"/>
                    <w:jc w:val="center"/>
                    <w:rPr>
                      <w:rFonts w:cs="Times New Roman"/>
                      <w:color w:val="auto"/>
                      <w:sz w:val="21"/>
                      <w:szCs w:val="21"/>
                    </w:rPr>
                  </w:pPr>
                </w:p>
              </w:tc>
              <w:tc>
                <w:tcPr>
                  <w:tcW w:w="1375" w:type="dxa"/>
                  <w:gridSpan w:val="2"/>
                  <w:tcBorders>
                    <w:tl2br w:val="nil"/>
                    <w:tr2bl w:val="nil"/>
                  </w:tcBorders>
                  <w:vAlign w:val="center"/>
                </w:tcPr>
                <w:p w14:paraId="035928C5">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噪声</w:t>
                  </w:r>
                </w:p>
              </w:tc>
              <w:tc>
                <w:tcPr>
                  <w:tcW w:w="4430" w:type="dxa"/>
                  <w:gridSpan w:val="2"/>
                  <w:tcBorders>
                    <w:tl2br w:val="nil"/>
                    <w:tr2bl w:val="nil"/>
                  </w:tcBorders>
                  <w:vAlign w:val="center"/>
                </w:tcPr>
                <w:p w14:paraId="4DD50786">
                  <w:pPr>
                    <w:adjustRightInd w:val="0"/>
                    <w:snapToGrid w:val="0"/>
                    <w:spacing w:line="240" w:lineRule="auto"/>
                    <w:ind w:firstLine="0" w:firstLineChars="0"/>
                    <w:rPr>
                      <w:rFonts w:cs="Times New Roman"/>
                      <w:color w:val="auto"/>
                      <w:sz w:val="21"/>
                      <w:szCs w:val="21"/>
                    </w:rPr>
                  </w:pPr>
                  <w:r>
                    <w:rPr>
                      <w:rFonts w:cs="Times New Roman"/>
                      <w:color w:val="auto"/>
                      <w:sz w:val="21"/>
                      <w:szCs w:val="21"/>
                    </w:rPr>
                    <w:t>选用低噪声设备，基础减振、墙体隔声等降噪措施。</w:t>
                  </w:r>
                </w:p>
              </w:tc>
              <w:tc>
                <w:tcPr>
                  <w:tcW w:w="870" w:type="dxa"/>
                  <w:tcBorders>
                    <w:tl2br w:val="nil"/>
                    <w:tr2bl w:val="nil"/>
                  </w:tcBorders>
                  <w:vAlign w:val="center"/>
                </w:tcPr>
                <w:p w14:paraId="2795BFC5">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461CBC55">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新建</w:t>
                  </w:r>
                </w:p>
              </w:tc>
            </w:tr>
            <w:tr w14:paraId="08E62E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tcBorders>
                    <w:tl2br w:val="nil"/>
                    <w:tr2bl w:val="nil"/>
                  </w:tcBorders>
                  <w:vAlign w:val="center"/>
                </w:tcPr>
                <w:p w14:paraId="3ADF24BD">
                  <w:pPr>
                    <w:adjustRightInd w:val="0"/>
                    <w:snapToGrid w:val="0"/>
                    <w:spacing w:line="240" w:lineRule="auto"/>
                    <w:ind w:firstLine="0" w:firstLineChars="0"/>
                    <w:jc w:val="center"/>
                    <w:rPr>
                      <w:rFonts w:cs="Times New Roman"/>
                      <w:color w:val="auto"/>
                      <w:sz w:val="21"/>
                      <w:szCs w:val="21"/>
                    </w:rPr>
                  </w:pPr>
                </w:p>
              </w:tc>
              <w:tc>
                <w:tcPr>
                  <w:tcW w:w="799" w:type="dxa"/>
                  <w:vMerge w:val="restart"/>
                  <w:tcBorders>
                    <w:tl2br w:val="nil"/>
                    <w:tr2bl w:val="nil"/>
                  </w:tcBorders>
                  <w:vAlign w:val="center"/>
                </w:tcPr>
                <w:p w14:paraId="6F747DC4">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固体废物</w:t>
                  </w:r>
                </w:p>
              </w:tc>
              <w:tc>
                <w:tcPr>
                  <w:tcW w:w="587" w:type="dxa"/>
                  <w:gridSpan w:val="2"/>
                  <w:tcBorders>
                    <w:tl2br w:val="nil"/>
                    <w:tr2bl w:val="nil"/>
                  </w:tcBorders>
                  <w:vAlign w:val="center"/>
                </w:tcPr>
                <w:p w14:paraId="327C280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生活垃圾</w:t>
                  </w:r>
                </w:p>
              </w:tc>
              <w:tc>
                <w:tcPr>
                  <w:tcW w:w="4419" w:type="dxa"/>
                  <w:tcBorders>
                    <w:tl2br w:val="nil"/>
                    <w:tr2bl w:val="nil"/>
                  </w:tcBorders>
                  <w:vAlign w:val="center"/>
                </w:tcPr>
                <w:p w14:paraId="49EB384A">
                  <w:pPr>
                    <w:adjustRightInd w:val="0"/>
                    <w:snapToGrid w:val="0"/>
                    <w:spacing w:line="240" w:lineRule="auto"/>
                    <w:ind w:firstLine="0" w:firstLineChars="0"/>
                    <w:rPr>
                      <w:rFonts w:cs="Times New Roman"/>
                      <w:color w:val="auto"/>
                      <w:sz w:val="21"/>
                      <w:szCs w:val="21"/>
                    </w:rPr>
                  </w:pPr>
                  <w:r>
                    <w:rPr>
                      <w:rFonts w:cs="Times New Roman"/>
                      <w:color w:val="auto"/>
                      <w:sz w:val="21"/>
                      <w:szCs w:val="21"/>
                    </w:rPr>
                    <w:t>分类投放于园区指定位置，委托当地环卫部门清运；</w:t>
                  </w:r>
                </w:p>
              </w:tc>
              <w:tc>
                <w:tcPr>
                  <w:tcW w:w="892" w:type="dxa"/>
                  <w:gridSpan w:val="2"/>
                  <w:tcBorders>
                    <w:tl2br w:val="nil"/>
                    <w:tr2bl w:val="nil"/>
                  </w:tcBorders>
                  <w:vAlign w:val="center"/>
                </w:tcPr>
                <w:p w14:paraId="66B864FA">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w:t>
                  </w:r>
                </w:p>
              </w:tc>
              <w:tc>
                <w:tcPr>
                  <w:tcW w:w="676" w:type="dxa"/>
                  <w:gridSpan w:val="2"/>
                  <w:tcBorders>
                    <w:tl2br w:val="nil"/>
                    <w:tr2bl w:val="nil"/>
                  </w:tcBorders>
                  <w:vAlign w:val="center"/>
                </w:tcPr>
                <w:p w14:paraId="70A008A4">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新建</w:t>
                  </w:r>
                </w:p>
              </w:tc>
            </w:tr>
            <w:tr w14:paraId="56C2B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tcBorders>
                    <w:tl2br w:val="nil"/>
                    <w:tr2bl w:val="nil"/>
                  </w:tcBorders>
                  <w:vAlign w:val="center"/>
                </w:tcPr>
                <w:p w14:paraId="5374F060">
                  <w:pPr>
                    <w:adjustRightInd w:val="0"/>
                    <w:snapToGrid w:val="0"/>
                    <w:spacing w:line="240" w:lineRule="auto"/>
                    <w:ind w:firstLine="0" w:firstLineChars="0"/>
                    <w:jc w:val="center"/>
                    <w:rPr>
                      <w:rFonts w:cs="Times New Roman"/>
                      <w:color w:val="auto"/>
                      <w:sz w:val="21"/>
                      <w:szCs w:val="21"/>
                    </w:rPr>
                  </w:pPr>
                </w:p>
              </w:tc>
              <w:tc>
                <w:tcPr>
                  <w:tcW w:w="799" w:type="dxa"/>
                  <w:vMerge w:val="continue"/>
                  <w:tcBorders>
                    <w:tl2br w:val="nil"/>
                    <w:tr2bl w:val="nil"/>
                  </w:tcBorders>
                  <w:vAlign w:val="center"/>
                </w:tcPr>
                <w:p w14:paraId="61226380">
                  <w:pPr>
                    <w:adjustRightInd w:val="0"/>
                    <w:snapToGrid w:val="0"/>
                    <w:spacing w:line="240" w:lineRule="auto"/>
                    <w:ind w:firstLine="0" w:firstLineChars="0"/>
                    <w:jc w:val="center"/>
                    <w:rPr>
                      <w:rFonts w:cs="Times New Roman"/>
                      <w:color w:val="auto"/>
                      <w:sz w:val="21"/>
                      <w:szCs w:val="21"/>
                    </w:rPr>
                  </w:pPr>
                </w:p>
              </w:tc>
              <w:tc>
                <w:tcPr>
                  <w:tcW w:w="587" w:type="dxa"/>
                  <w:gridSpan w:val="2"/>
                  <w:tcBorders>
                    <w:tl2br w:val="nil"/>
                    <w:tr2bl w:val="nil"/>
                  </w:tcBorders>
                  <w:vAlign w:val="center"/>
                </w:tcPr>
                <w:p w14:paraId="5380203B">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一般</w:t>
                  </w:r>
                  <w:r>
                    <w:rPr>
                      <w:rFonts w:hint="eastAsia" w:cs="Times New Roman"/>
                      <w:color w:val="auto"/>
                      <w:sz w:val="21"/>
                      <w:szCs w:val="21"/>
                    </w:rPr>
                    <w:t>工业</w:t>
                  </w:r>
                  <w:r>
                    <w:rPr>
                      <w:rFonts w:hint="eastAsia" w:cs="Times New Roman"/>
                      <w:color w:val="auto"/>
                      <w:sz w:val="21"/>
                      <w:szCs w:val="21"/>
                      <w:lang w:val="en-US" w:eastAsia="zh-CN"/>
                    </w:rPr>
                    <w:t>固体</w:t>
                  </w:r>
                  <w:r>
                    <w:rPr>
                      <w:rFonts w:hint="eastAsia" w:cs="Times New Roman"/>
                      <w:color w:val="auto"/>
                      <w:sz w:val="21"/>
                      <w:szCs w:val="21"/>
                    </w:rPr>
                    <w:t>废物</w:t>
                  </w:r>
                </w:p>
              </w:tc>
              <w:tc>
                <w:tcPr>
                  <w:tcW w:w="4419" w:type="dxa"/>
                  <w:tcBorders>
                    <w:tl2br w:val="nil"/>
                    <w:tr2bl w:val="nil"/>
                  </w:tcBorders>
                  <w:vAlign w:val="center"/>
                </w:tcPr>
                <w:p w14:paraId="3825B5F6">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lang w:val="en-US" w:eastAsia="zh-CN"/>
                    </w:rPr>
                    <w:t>建设</w:t>
                  </w:r>
                  <w:r>
                    <w:rPr>
                      <w:rFonts w:hint="eastAsia" w:cs="Times New Roman"/>
                      <w:color w:val="auto"/>
                      <w:sz w:val="21"/>
                      <w:szCs w:val="21"/>
                    </w:rPr>
                    <w:t>一般工业固体废物</w:t>
                  </w:r>
                  <w:r>
                    <w:rPr>
                      <w:rFonts w:cs="Times New Roman"/>
                      <w:color w:val="auto"/>
                      <w:sz w:val="21"/>
                      <w:szCs w:val="21"/>
                    </w:rPr>
                    <w:t>暂存区1处，</w:t>
                  </w:r>
                  <w:r>
                    <w:rPr>
                      <w:rFonts w:hint="eastAsia" w:cs="Times New Roman"/>
                      <w:color w:val="auto"/>
                      <w:sz w:val="21"/>
                      <w:szCs w:val="21"/>
                      <w:lang w:val="en-US" w:eastAsia="zh-CN"/>
                    </w:rPr>
                    <w:t>设置在1层，</w:t>
                  </w:r>
                  <w:r>
                    <w:rPr>
                      <w:rFonts w:cs="Times New Roman"/>
                      <w:color w:val="auto"/>
                      <w:sz w:val="21"/>
                      <w:szCs w:val="21"/>
                    </w:rPr>
                    <w:t>建筑面积约</w:t>
                  </w:r>
                  <w:r>
                    <w:rPr>
                      <w:rFonts w:hint="eastAsia" w:cs="Times New Roman"/>
                      <w:color w:val="auto"/>
                      <w:sz w:val="21"/>
                      <w:szCs w:val="21"/>
                      <w:lang w:val="en-US" w:eastAsia="zh-CN"/>
                    </w:rPr>
                    <w:t>50</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，统一收集后分类存放，</w:t>
                  </w:r>
                  <w:r>
                    <w:rPr>
                      <w:rFonts w:hint="eastAsia" w:cs="Times New Roman"/>
                      <w:color w:val="auto"/>
                      <w:sz w:val="21"/>
                      <w:szCs w:val="21"/>
                    </w:rPr>
                    <w:t>委托协议单位处置</w:t>
                  </w:r>
                  <w:r>
                    <w:rPr>
                      <w:rFonts w:cs="Times New Roman"/>
                      <w:color w:val="auto"/>
                      <w:sz w:val="21"/>
                      <w:szCs w:val="21"/>
                    </w:rPr>
                    <w:t>。</w:t>
                  </w:r>
                </w:p>
              </w:tc>
              <w:tc>
                <w:tcPr>
                  <w:tcW w:w="892" w:type="dxa"/>
                  <w:gridSpan w:val="2"/>
                  <w:tcBorders>
                    <w:tl2br w:val="nil"/>
                    <w:tr2bl w:val="nil"/>
                  </w:tcBorders>
                  <w:shd w:val="clear" w:color="auto" w:fill="FFFFFF"/>
                  <w:vAlign w:val="center"/>
                </w:tcPr>
                <w:p w14:paraId="14EF2140">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1层</w:t>
                  </w:r>
                </w:p>
              </w:tc>
              <w:tc>
                <w:tcPr>
                  <w:tcW w:w="676" w:type="dxa"/>
                  <w:gridSpan w:val="2"/>
                  <w:tcBorders>
                    <w:tl2br w:val="nil"/>
                    <w:tr2bl w:val="nil"/>
                  </w:tcBorders>
                  <w:shd w:val="clear" w:color="auto" w:fill="auto"/>
                  <w:vAlign w:val="center"/>
                </w:tcPr>
                <w:p w14:paraId="0D19D7C4">
                  <w:pPr>
                    <w:adjustRightInd w:val="0"/>
                    <w:snapToGrid w:val="0"/>
                    <w:spacing w:line="240" w:lineRule="auto"/>
                    <w:ind w:firstLine="0" w:firstLineChars="0"/>
                    <w:rPr>
                      <w:rFonts w:cs="Times New Roman"/>
                      <w:color w:val="auto"/>
                      <w:sz w:val="21"/>
                      <w:szCs w:val="21"/>
                    </w:rPr>
                  </w:pPr>
                  <w:r>
                    <w:rPr>
                      <w:rFonts w:cs="Times New Roman"/>
                      <w:color w:val="auto"/>
                      <w:sz w:val="21"/>
                      <w:szCs w:val="21"/>
                    </w:rPr>
                    <w:t>新建</w:t>
                  </w:r>
                </w:p>
              </w:tc>
            </w:tr>
            <w:tr w14:paraId="628DC4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tcBorders>
                    <w:tl2br w:val="nil"/>
                    <w:tr2bl w:val="nil"/>
                  </w:tcBorders>
                  <w:vAlign w:val="center"/>
                </w:tcPr>
                <w:p w14:paraId="542DEB64">
                  <w:pPr>
                    <w:adjustRightInd w:val="0"/>
                    <w:snapToGrid w:val="0"/>
                    <w:spacing w:line="240" w:lineRule="auto"/>
                    <w:ind w:firstLine="0" w:firstLineChars="0"/>
                    <w:jc w:val="center"/>
                    <w:rPr>
                      <w:rFonts w:cs="Times New Roman"/>
                      <w:color w:val="auto"/>
                      <w:sz w:val="21"/>
                      <w:szCs w:val="21"/>
                    </w:rPr>
                  </w:pPr>
                </w:p>
              </w:tc>
              <w:tc>
                <w:tcPr>
                  <w:tcW w:w="799" w:type="dxa"/>
                  <w:vMerge w:val="continue"/>
                  <w:tcBorders>
                    <w:tl2br w:val="nil"/>
                    <w:tr2bl w:val="nil"/>
                  </w:tcBorders>
                  <w:vAlign w:val="center"/>
                </w:tcPr>
                <w:p w14:paraId="06DEB9B7">
                  <w:pPr>
                    <w:adjustRightInd w:val="0"/>
                    <w:snapToGrid w:val="0"/>
                    <w:spacing w:line="240" w:lineRule="auto"/>
                    <w:ind w:firstLine="0" w:firstLineChars="0"/>
                    <w:jc w:val="center"/>
                    <w:rPr>
                      <w:rFonts w:cs="Times New Roman"/>
                      <w:color w:val="auto"/>
                      <w:sz w:val="21"/>
                      <w:szCs w:val="21"/>
                    </w:rPr>
                  </w:pPr>
                </w:p>
              </w:tc>
              <w:tc>
                <w:tcPr>
                  <w:tcW w:w="587" w:type="dxa"/>
                  <w:gridSpan w:val="2"/>
                  <w:tcBorders>
                    <w:tl2br w:val="nil"/>
                    <w:tr2bl w:val="nil"/>
                  </w:tcBorders>
                  <w:vAlign w:val="center"/>
                </w:tcPr>
                <w:p w14:paraId="196DAF9D">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危险废物</w:t>
                  </w:r>
                </w:p>
              </w:tc>
              <w:tc>
                <w:tcPr>
                  <w:tcW w:w="4419" w:type="dxa"/>
                  <w:tcBorders>
                    <w:tl2br w:val="nil"/>
                    <w:tr2bl w:val="nil"/>
                  </w:tcBorders>
                  <w:vAlign w:val="center"/>
                </w:tcPr>
                <w:p w14:paraId="6CE6F763">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建设危险废物暂存间</w:t>
                  </w:r>
                  <w:r>
                    <w:rPr>
                      <w:rFonts w:cs="Times New Roman"/>
                      <w:color w:val="auto"/>
                      <w:sz w:val="21"/>
                      <w:szCs w:val="21"/>
                    </w:rPr>
                    <w:t>1处，</w:t>
                  </w:r>
                  <w:r>
                    <w:rPr>
                      <w:rFonts w:hint="eastAsia" w:cs="Times New Roman"/>
                      <w:color w:val="auto"/>
                      <w:sz w:val="21"/>
                      <w:szCs w:val="21"/>
                      <w:lang w:val="en-US" w:eastAsia="zh-CN"/>
                    </w:rPr>
                    <w:t>设置在3层，</w:t>
                  </w:r>
                  <w:r>
                    <w:rPr>
                      <w:rFonts w:cs="Times New Roman"/>
                      <w:color w:val="auto"/>
                      <w:sz w:val="21"/>
                      <w:szCs w:val="21"/>
                    </w:rPr>
                    <w:t>建筑面积</w:t>
                  </w:r>
                  <w:r>
                    <w:rPr>
                      <w:rFonts w:hint="eastAsia" w:cs="Times New Roman"/>
                      <w:color w:val="auto"/>
                      <w:sz w:val="21"/>
                      <w:szCs w:val="21"/>
                      <w:lang w:val="en-US" w:eastAsia="zh-CN"/>
                    </w:rPr>
                    <w:t>4.8</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，渗透系数≤10</w:t>
                  </w:r>
                  <w:r>
                    <w:rPr>
                      <w:rFonts w:cs="Times New Roman"/>
                      <w:color w:val="auto"/>
                      <w:sz w:val="21"/>
                      <w:szCs w:val="21"/>
                      <w:vertAlign w:val="superscript"/>
                    </w:rPr>
                    <w:t>-1</w:t>
                  </w:r>
                  <w:r>
                    <w:rPr>
                      <w:rFonts w:hint="eastAsia" w:cs="Times New Roman"/>
                      <w:color w:val="auto"/>
                      <w:sz w:val="21"/>
                      <w:szCs w:val="21"/>
                      <w:vertAlign w:val="superscript"/>
                    </w:rPr>
                    <w:t>0</w:t>
                  </w:r>
                  <w:r>
                    <w:rPr>
                      <w:rFonts w:cs="Times New Roman"/>
                      <w:color w:val="auto"/>
                      <w:sz w:val="21"/>
                      <w:szCs w:val="21"/>
                    </w:rPr>
                    <w:t>cm/s</w:t>
                  </w:r>
                  <w:r>
                    <w:rPr>
                      <w:rFonts w:hint="eastAsia" w:cs="Times New Roman"/>
                      <w:color w:val="auto"/>
                      <w:sz w:val="21"/>
                      <w:szCs w:val="21"/>
                    </w:rPr>
                    <w:t>，</w:t>
                  </w:r>
                  <w:r>
                    <w:rPr>
                      <w:rFonts w:cs="Times New Roman"/>
                      <w:color w:val="auto"/>
                      <w:sz w:val="21"/>
                      <w:szCs w:val="21"/>
                    </w:rPr>
                    <w:t>收集后</w:t>
                  </w:r>
                  <w:r>
                    <w:rPr>
                      <w:rFonts w:hint="eastAsia" w:cs="Times New Roman"/>
                      <w:color w:val="auto"/>
                      <w:sz w:val="21"/>
                      <w:szCs w:val="21"/>
                    </w:rPr>
                    <w:t>分类</w:t>
                  </w:r>
                  <w:r>
                    <w:rPr>
                      <w:rFonts w:cs="Times New Roman"/>
                      <w:color w:val="auto"/>
                      <w:sz w:val="21"/>
                      <w:szCs w:val="21"/>
                    </w:rPr>
                    <w:t>存放，定期委托资质单位处置</w:t>
                  </w:r>
                  <w:r>
                    <w:rPr>
                      <w:rFonts w:hint="eastAsia" w:cs="Times New Roman"/>
                      <w:color w:val="auto"/>
                      <w:sz w:val="21"/>
                      <w:szCs w:val="21"/>
                    </w:rPr>
                    <w:t>。</w:t>
                  </w:r>
                </w:p>
              </w:tc>
              <w:tc>
                <w:tcPr>
                  <w:tcW w:w="892" w:type="dxa"/>
                  <w:gridSpan w:val="2"/>
                  <w:tcBorders>
                    <w:tl2br w:val="nil"/>
                    <w:tr2bl w:val="nil"/>
                  </w:tcBorders>
                  <w:shd w:val="clear" w:color="auto" w:fill="FFFFFF"/>
                  <w:vAlign w:val="center"/>
                </w:tcPr>
                <w:p w14:paraId="310EEFCA">
                  <w:pPr>
                    <w:pStyle w:val="26"/>
                    <w:spacing w:line="240" w:lineRule="auto"/>
                    <w:rPr>
                      <w:rFonts w:hint="default" w:eastAsia="宋体" w:cs="Times New Roman"/>
                      <w:color w:val="auto"/>
                      <w:szCs w:val="21"/>
                      <w:lang w:val="en-US" w:eastAsia="zh-CN"/>
                    </w:rPr>
                  </w:pPr>
                  <w:r>
                    <w:rPr>
                      <w:rFonts w:hint="eastAsia" w:cs="Times New Roman"/>
                      <w:color w:val="auto"/>
                      <w:szCs w:val="21"/>
                      <w:lang w:val="en-US" w:eastAsia="zh-CN"/>
                    </w:rPr>
                    <w:t>3层</w:t>
                  </w:r>
                </w:p>
              </w:tc>
              <w:tc>
                <w:tcPr>
                  <w:tcW w:w="676" w:type="dxa"/>
                  <w:gridSpan w:val="2"/>
                  <w:tcBorders>
                    <w:tl2br w:val="nil"/>
                    <w:tr2bl w:val="nil"/>
                  </w:tcBorders>
                  <w:shd w:val="clear" w:color="auto" w:fill="auto"/>
                  <w:vAlign w:val="center"/>
                </w:tcPr>
                <w:p w14:paraId="07EEE884">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新建</w:t>
                  </w:r>
                </w:p>
              </w:tc>
            </w:tr>
          </w:tbl>
          <w:p w14:paraId="6A7D332D">
            <w:pPr>
              <w:ind w:firstLine="480"/>
              <w:rPr>
                <w:rFonts w:cs="Times New Roman"/>
                <w:color w:val="auto"/>
              </w:rPr>
            </w:pPr>
            <w:r>
              <w:rPr>
                <w:rFonts w:cs="Times New Roman"/>
                <w:color w:val="auto"/>
              </w:rPr>
              <w:t>（5）设备清单</w:t>
            </w:r>
          </w:p>
          <w:p w14:paraId="39718958">
            <w:pPr>
              <w:ind w:firstLine="480"/>
              <w:rPr>
                <w:rFonts w:cs="Times New Roman"/>
                <w:color w:val="auto"/>
              </w:rPr>
            </w:pPr>
            <w:r>
              <w:rPr>
                <w:rFonts w:cs="Times New Roman"/>
                <w:color w:val="auto"/>
              </w:rPr>
              <w:t>本项目主要设备清单具体见下表。</w:t>
            </w:r>
          </w:p>
          <w:p w14:paraId="4783E808">
            <w:pPr>
              <w:pStyle w:val="24"/>
              <w:rPr>
                <w:rFonts w:cs="Times New Roman"/>
                <w:color w:val="auto"/>
              </w:rPr>
            </w:pPr>
            <w:r>
              <w:rPr>
                <w:rFonts w:cs="Times New Roman"/>
                <w:color w:val="auto"/>
              </w:rPr>
              <w:t>表2-3 项目生产设备一览表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2169"/>
              <w:gridCol w:w="2686"/>
              <w:gridCol w:w="720"/>
              <w:gridCol w:w="855"/>
              <w:gridCol w:w="1141"/>
            </w:tblGrid>
            <w:tr w14:paraId="651E22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58964420">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序号</w:t>
                  </w:r>
                </w:p>
              </w:tc>
              <w:tc>
                <w:tcPr>
                  <w:tcW w:w="2169" w:type="dxa"/>
                  <w:tcBorders>
                    <w:tl2br w:val="nil"/>
                    <w:tr2bl w:val="nil"/>
                  </w:tcBorders>
                  <w:vAlign w:val="center"/>
                </w:tcPr>
                <w:p w14:paraId="650978E6">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设备名称</w:t>
                  </w:r>
                </w:p>
              </w:tc>
              <w:tc>
                <w:tcPr>
                  <w:tcW w:w="2686" w:type="dxa"/>
                  <w:tcBorders>
                    <w:tl2br w:val="nil"/>
                    <w:tr2bl w:val="nil"/>
                  </w:tcBorders>
                  <w:vAlign w:val="center"/>
                </w:tcPr>
                <w:p w14:paraId="3F015B3C">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型号</w:t>
                  </w:r>
                </w:p>
              </w:tc>
              <w:tc>
                <w:tcPr>
                  <w:tcW w:w="720" w:type="dxa"/>
                  <w:tcBorders>
                    <w:tl2br w:val="nil"/>
                    <w:tr2bl w:val="nil"/>
                  </w:tcBorders>
                  <w:vAlign w:val="center"/>
                </w:tcPr>
                <w:p w14:paraId="1C8F4821">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数量</w:t>
                  </w:r>
                </w:p>
                <w:p w14:paraId="2CECDE44">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台/套</w:t>
                  </w:r>
                </w:p>
              </w:tc>
              <w:tc>
                <w:tcPr>
                  <w:tcW w:w="855" w:type="dxa"/>
                  <w:tcBorders>
                    <w:tl2br w:val="nil"/>
                    <w:tr2bl w:val="nil"/>
                  </w:tcBorders>
                  <w:vAlign w:val="center"/>
                </w:tcPr>
                <w:p w14:paraId="686A077D">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位置</w:t>
                  </w:r>
                </w:p>
              </w:tc>
              <w:tc>
                <w:tcPr>
                  <w:tcW w:w="1141" w:type="dxa"/>
                  <w:tcBorders>
                    <w:tl2br w:val="nil"/>
                    <w:tr2bl w:val="nil"/>
                  </w:tcBorders>
                  <w:vAlign w:val="center"/>
                </w:tcPr>
                <w:p w14:paraId="301BAB39">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用途</w:t>
                  </w:r>
                </w:p>
              </w:tc>
            </w:tr>
            <w:tr w14:paraId="375AF4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511DB8EF">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2169" w:type="dxa"/>
                  <w:tcBorders>
                    <w:tl2br w:val="nil"/>
                    <w:tr2bl w:val="nil"/>
                  </w:tcBorders>
                  <w:shd w:val="clear" w:color="auto" w:fill="auto"/>
                  <w:vAlign w:val="center"/>
                </w:tcPr>
                <w:p w14:paraId="77B67166">
                  <w:pPr>
                    <w:pStyle w:val="26"/>
                    <w:adjustRightInd w:val="0"/>
                    <w:spacing w:line="240" w:lineRule="auto"/>
                    <w:rPr>
                      <w:rFonts w:cs="Times New Roman"/>
                      <w:color w:val="auto"/>
                      <w:szCs w:val="21"/>
                    </w:rPr>
                  </w:pPr>
                  <w:r>
                    <w:rPr>
                      <w:rFonts w:cs="Times New Roman"/>
                      <w:color w:val="auto"/>
                      <w:szCs w:val="21"/>
                    </w:rPr>
                    <w:t>建筑材料难燃性试验炉</w:t>
                  </w:r>
                </w:p>
              </w:tc>
              <w:tc>
                <w:tcPr>
                  <w:tcW w:w="2686" w:type="dxa"/>
                  <w:tcBorders>
                    <w:tl2br w:val="nil"/>
                    <w:tr2bl w:val="nil"/>
                  </w:tcBorders>
                  <w:shd w:val="clear" w:color="auto" w:fill="auto"/>
                  <w:vAlign w:val="center"/>
                </w:tcPr>
                <w:p w14:paraId="39FAA574">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IMJCN-2</w:t>
                  </w:r>
                </w:p>
                <w:p w14:paraId="374AD778">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30min</w:t>
                  </w:r>
                </w:p>
                <w:p w14:paraId="6A0E5A75">
                  <w:pPr>
                    <w:pStyle w:val="26"/>
                    <w:adjustRightInd w:val="0"/>
                    <w:snapToGrid w:val="0"/>
                    <w:spacing w:line="240" w:lineRule="auto"/>
                    <w:jc w:val="both"/>
                    <w:rPr>
                      <w:rFonts w:cs="Times New Roman"/>
                      <w:color w:val="auto"/>
                      <w:szCs w:val="21"/>
                    </w:rPr>
                  </w:pPr>
                  <w:r>
                    <w:rPr>
                      <w:rFonts w:cs="Times New Roman"/>
                      <w:color w:val="auto"/>
                      <w:szCs w:val="21"/>
                    </w:rPr>
                    <w:t>燃烧气体：甲烷</w:t>
                  </w:r>
                </w:p>
                <w:p w14:paraId="312E90C5">
                  <w:pPr>
                    <w:pStyle w:val="26"/>
                    <w:adjustRightInd w:val="0"/>
                    <w:snapToGrid w:val="0"/>
                    <w:spacing w:line="240" w:lineRule="auto"/>
                    <w:jc w:val="both"/>
                    <w:rPr>
                      <w:rFonts w:cs="Times New Roman"/>
                      <w:color w:val="auto"/>
                      <w:szCs w:val="21"/>
                    </w:rPr>
                  </w:pPr>
                  <w:r>
                    <w:rPr>
                      <w:rFonts w:cs="Times New Roman"/>
                      <w:color w:val="auto"/>
                      <w:szCs w:val="21"/>
                    </w:rPr>
                    <w:t>燃气流量：15L/min</w:t>
                  </w:r>
                </w:p>
                <w:p w14:paraId="57F12B11">
                  <w:pPr>
                    <w:pStyle w:val="26"/>
                    <w:adjustRightInd w:val="0"/>
                    <w:snapToGrid w:val="0"/>
                    <w:spacing w:line="240" w:lineRule="auto"/>
                    <w:jc w:val="both"/>
                    <w:rPr>
                      <w:rFonts w:cs="Times New Roman"/>
                      <w:color w:val="auto"/>
                      <w:szCs w:val="21"/>
                    </w:rPr>
                  </w:pPr>
                  <w:r>
                    <w:rPr>
                      <w:rFonts w:cs="Times New Roman"/>
                      <w:color w:val="auto"/>
                      <w:szCs w:val="21"/>
                    </w:rPr>
                    <w:t>废气流量：10m</w:t>
                  </w:r>
                  <w:r>
                    <w:rPr>
                      <w:rFonts w:cs="Times New Roman"/>
                      <w:color w:val="auto"/>
                      <w:szCs w:val="21"/>
                      <w:vertAlign w:val="superscript"/>
                    </w:rPr>
                    <w:t>3</w:t>
                  </w:r>
                  <w:r>
                    <w:rPr>
                      <w:rFonts w:cs="Times New Roman"/>
                      <w:color w:val="auto"/>
                      <w:szCs w:val="21"/>
                    </w:rPr>
                    <w:t>/min</w:t>
                  </w:r>
                </w:p>
                <w:p w14:paraId="1ECE6E6A">
                  <w:pPr>
                    <w:pStyle w:val="26"/>
                    <w:adjustRightInd w:val="0"/>
                    <w:snapToGrid w:val="0"/>
                    <w:spacing w:line="240" w:lineRule="auto"/>
                    <w:jc w:val="both"/>
                    <w:rPr>
                      <w:rFonts w:cs="Times New Roman"/>
                      <w:color w:val="auto"/>
                      <w:szCs w:val="21"/>
                    </w:rPr>
                  </w:pPr>
                  <w:r>
                    <w:rPr>
                      <w:rFonts w:cs="Times New Roman"/>
                      <w:color w:val="auto"/>
                      <w:szCs w:val="21"/>
                    </w:rPr>
                    <w:t>引风机总风量约：600m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05E8F762">
                  <w:pPr>
                    <w:pStyle w:val="26"/>
                    <w:adjustRightInd w:val="0"/>
                    <w:spacing w:line="240" w:lineRule="auto"/>
                    <w:rPr>
                      <w:rFonts w:cs="Times New Roman"/>
                      <w:color w:val="auto"/>
                      <w:szCs w:val="21"/>
                    </w:rPr>
                  </w:pPr>
                  <w:r>
                    <w:rPr>
                      <w:rFonts w:cs="Times New Roman"/>
                      <w:color w:val="auto"/>
                      <w:szCs w:val="21"/>
                    </w:rPr>
                    <w:t>1台</w:t>
                  </w:r>
                </w:p>
              </w:tc>
              <w:tc>
                <w:tcPr>
                  <w:tcW w:w="855" w:type="dxa"/>
                  <w:tcBorders>
                    <w:tl2br w:val="nil"/>
                    <w:tr2bl w:val="nil"/>
                  </w:tcBorders>
                  <w:shd w:val="clear" w:color="auto" w:fill="auto"/>
                  <w:vAlign w:val="center"/>
                </w:tcPr>
                <w:p w14:paraId="665A4F43">
                  <w:pPr>
                    <w:adjustRightInd w:val="0"/>
                    <w:snapToGrid w:val="0"/>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2层燃烧实验室</w:t>
                  </w:r>
                </w:p>
              </w:tc>
              <w:tc>
                <w:tcPr>
                  <w:tcW w:w="1141" w:type="dxa"/>
                  <w:tcBorders>
                    <w:tl2br w:val="nil"/>
                    <w:tr2bl w:val="nil"/>
                  </w:tcBorders>
                  <w:shd w:val="clear" w:color="auto" w:fill="auto"/>
                  <w:vAlign w:val="center"/>
                </w:tcPr>
                <w:p w14:paraId="1EF5C7F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建筑材料难燃性</w:t>
                  </w:r>
                  <w:r>
                    <w:rPr>
                      <w:rFonts w:hint="eastAsia" w:cs="Times New Roman"/>
                      <w:color w:val="auto"/>
                      <w:sz w:val="21"/>
                      <w:szCs w:val="21"/>
                    </w:rPr>
                    <w:t>试验</w:t>
                  </w:r>
                </w:p>
              </w:tc>
            </w:tr>
            <w:tr w14:paraId="7A8438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7C763774">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2</w:t>
                  </w:r>
                </w:p>
              </w:tc>
              <w:tc>
                <w:tcPr>
                  <w:tcW w:w="2169" w:type="dxa"/>
                  <w:tcBorders>
                    <w:tl2br w:val="nil"/>
                    <w:tr2bl w:val="nil"/>
                  </w:tcBorders>
                  <w:shd w:val="clear" w:color="auto" w:fill="auto"/>
                  <w:vAlign w:val="center"/>
                </w:tcPr>
                <w:p w14:paraId="4666D5A3">
                  <w:pPr>
                    <w:pStyle w:val="26"/>
                    <w:adjustRightInd w:val="0"/>
                    <w:spacing w:line="240" w:lineRule="auto"/>
                    <w:rPr>
                      <w:rFonts w:cs="Times New Roman"/>
                      <w:color w:val="auto"/>
                      <w:szCs w:val="21"/>
                    </w:rPr>
                  </w:pPr>
                  <w:r>
                    <w:rPr>
                      <w:rFonts w:cs="Times New Roman"/>
                      <w:color w:val="auto"/>
                      <w:szCs w:val="21"/>
                    </w:rPr>
                    <w:t>单体燃烧试验装置</w:t>
                  </w:r>
                </w:p>
              </w:tc>
              <w:tc>
                <w:tcPr>
                  <w:tcW w:w="2686" w:type="dxa"/>
                  <w:tcBorders>
                    <w:tl2br w:val="nil"/>
                    <w:tr2bl w:val="nil"/>
                  </w:tcBorders>
                  <w:shd w:val="clear" w:color="auto" w:fill="auto"/>
                  <w:vAlign w:val="center"/>
                </w:tcPr>
                <w:p w14:paraId="27EE5C92">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SBI-1</w:t>
                  </w:r>
                </w:p>
                <w:p w14:paraId="47C3C628">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4878S</w:t>
                  </w:r>
                </w:p>
                <w:p w14:paraId="717E62A4">
                  <w:pPr>
                    <w:pStyle w:val="26"/>
                    <w:adjustRightInd w:val="0"/>
                    <w:snapToGrid w:val="0"/>
                    <w:spacing w:line="240" w:lineRule="auto"/>
                    <w:jc w:val="both"/>
                    <w:rPr>
                      <w:rFonts w:cs="Times New Roman"/>
                      <w:color w:val="auto"/>
                      <w:szCs w:val="21"/>
                    </w:rPr>
                  </w:pPr>
                  <w:r>
                    <w:rPr>
                      <w:rFonts w:cs="Times New Roman"/>
                      <w:color w:val="auto"/>
                      <w:szCs w:val="21"/>
                    </w:rPr>
                    <w:t>燃烧气体：丙烷</w:t>
                  </w:r>
                </w:p>
                <w:p w14:paraId="2980F671">
                  <w:pPr>
                    <w:pStyle w:val="26"/>
                    <w:adjustRightInd w:val="0"/>
                    <w:snapToGrid w:val="0"/>
                    <w:spacing w:line="240" w:lineRule="auto"/>
                    <w:jc w:val="both"/>
                    <w:rPr>
                      <w:rFonts w:cs="Times New Roman"/>
                      <w:color w:val="auto"/>
                      <w:szCs w:val="21"/>
                    </w:rPr>
                  </w:pPr>
                  <w:r>
                    <w:rPr>
                      <w:rFonts w:cs="Times New Roman"/>
                      <w:color w:val="auto"/>
                      <w:szCs w:val="21"/>
                    </w:rPr>
                    <w:t>燃气流量：647mg/s</w:t>
                  </w:r>
                </w:p>
                <w:p w14:paraId="55AD454D">
                  <w:pPr>
                    <w:pStyle w:val="26"/>
                    <w:adjustRightInd w:val="0"/>
                    <w:snapToGrid w:val="0"/>
                    <w:spacing w:line="240" w:lineRule="auto"/>
                    <w:jc w:val="both"/>
                    <w:rPr>
                      <w:rFonts w:cs="Times New Roman"/>
                      <w:color w:val="auto"/>
                      <w:szCs w:val="21"/>
                    </w:rPr>
                  </w:pPr>
                  <w:r>
                    <w:rPr>
                      <w:rFonts w:cs="Times New Roman"/>
                      <w:color w:val="auto"/>
                      <w:szCs w:val="21"/>
                    </w:rPr>
                    <w:t>废气流量：0.60m</w:t>
                  </w:r>
                  <w:r>
                    <w:rPr>
                      <w:rFonts w:cs="Times New Roman"/>
                      <w:color w:val="auto"/>
                      <w:szCs w:val="21"/>
                      <w:vertAlign w:val="superscript"/>
                    </w:rPr>
                    <w:t>3</w:t>
                  </w:r>
                  <w:r>
                    <w:rPr>
                      <w:rFonts w:cs="Times New Roman"/>
                      <w:color w:val="auto"/>
                      <w:szCs w:val="21"/>
                    </w:rPr>
                    <w:t>/s</w:t>
                  </w:r>
                </w:p>
                <w:p w14:paraId="30B89CDF">
                  <w:pPr>
                    <w:pStyle w:val="26"/>
                    <w:adjustRightInd w:val="0"/>
                    <w:snapToGrid w:val="0"/>
                    <w:spacing w:line="240" w:lineRule="auto"/>
                    <w:jc w:val="both"/>
                    <w:rPr>
                      <w:rFonts w:cs="Times New Roman"/>
                      <w:color w:val="auto"/>
                      <w:szCs w:val="21"/>
                    </w:rPr>
                  </w:pPr>
                  <w:r>
                    <w:rPr>
                      <w:rFonts w:cs="Times New Roman"/>
                      <w:color w:val="auto"/>
                      <w:szCs w:val="21"/>
                    </w:rPr>
                    <w:t>引风机总风量约：2160m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74D7750F">
                  <w:pPr>
                    <w:pStyle w:val="26"/>
                    <w:adjustRightInd w:val="0"/>
                    <w:spacing w:line="240" w:lineRule="auto"/>
                    <w:rPr>
                      <w:rFonts w:cs="Times New Roman"/>
                      <w:color w:val="auto"/>
                      <w:szCs w:val="21"/>
                    </w:rPr>
                  </w:pPr>
                  <w:r>
                    <w:rPr>
                      <w:rFonts w:cs="Times New Roman"/>
                      <w:color w:val="auto"/>
                      <w:szCs w:val="21"/>
                    </w:rPr>
                    <w:t>1台</w:t>
                  </w:r>
                </w:p>
              </w:tc>
              <w:tc>
                <w:tcPr>
                  <w:tcW w:w="855" w:type="dxa"/>
                  <w:tcBorders>
                    <w:tl2br w:val="nil"/>
                    <w:tr2bl w:val="nil"/>
                  </w:tcBorders>
                  <w:vAlign w:val="center"/>
                </w:tcPr>
                <w:p w14:paraId="6D253FFD">
                  <w:pPr>
                    <w:adjustRightInd w:val="0"/>
                    <w:snapToGrid w:val="0"/>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1层燃烧实验室</w:t>
                  </w:r>
                </w:p>
              </w:tc>
              <w:tc>
                <w:tcPr>
                  <w:tcW w:w="1141" w:type="dxa"/>
                  <w:tcBorders>
                    <w:tl2br w:val="nil"/>
                    <w:tr2bl w:val="nil"/>
                  </w:tcBorders>
                  <w:vAlign w:val="center"/>
                </w:tcPr>
                <w:p w14:paraId="6AC8C55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单体燃烧试验</w:t>
                  </w:r>
                </w:p>
              </w:tc>
            </w:tr>
            <w:tr w14:paraId="7D81C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71ECEF1F">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c>
                <w:tcPr>
                  <w:tcW w:w="2169" w:type="dxa"/>
                  <w:tcBorders>
                    <w:tl2br w:val="nil"/>
                    <w:tr2bl w:val="nil"/>
                  </w:tcBorders>
                  <w:shd w:val="clear" w:color="auto" w:fill="auto"/>
                  <w:vAlign w:val="center"/>
                </w:tcPr>
                <w:p w14:paraId="46A82CB0">
                  <w:pPr>
                    <w:pStyle w:val="26"/>
                    <w:adjustRightInd w:val="0"/>
                    <w:spacing w:line="240" w:lineRule="auto"/>
                    <w:rPr>
                      <w:rFonts w:cs="Times New Roman"/>
                      <w:color w:val="auto"/>
                      <w:szCs w:val="21"/>
                    </w:rPr>
                  </w:pPr>
                  <w:r>
                    <w:rPr>
                      <w:rFonts w:cs="Times New Roman"/>
                      <w:color w:val="auto"/>
                      <w:szCs w:val="21"/>
                    </w:rPr>
                    <w:t>建筑材料可燃性试验机</w:t>
                  </w:r>
                </w:p>
              </w:tc>
              <w:tc>
                <w:tcPr>
                  <w:tcW w:w="2686" w:type="dxa"/>
                  <w:tcBorders>
                    <w:tl2br w:val="nil"/>
                    <w:tr2bl w:val="nil"/>
                  </w:tcBorders>
                  <w:shd w:val="clear" w:color="auto" w:fill="auto"/>
                  <w:vAlign w:val="center"/>
                </w:tcPr>
                <w:p w14:paraId="2487C4BF">
                  <w:pPr>
                    <w:pStyle w:val="26"/>
                    <w:adjustRightInd w:val="0"/>
                    <w:snapToGrid w:val="0"/>
                    <w:spacing w:line="240" w:lineRule="auto"/>
                    <w:jc w:val="both"/>
                    <w:rPr>
                      <w:rFonts w:cs="Times New Roman"/>
                      <w:color w:val="auto"/>
                      <w:szCs w:val="21"/>
                    </w:rPr>
                  </w:pPr>
                  <w:r>
                    <w:rPr>
                      <w:rFonts w:cs="Times New Roman"/>
                      <w:color w:val="auto"/>
                      <w:szCs w:val="21"/>
                    </w:rPr>
                    <w:t>型号：IMRS500</w:t>
                  </w:r>
                </w:p>
                <w:p w14:paraId="007A4EA3">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180S</w:t>
                  </w:r>
                </w:p>
                <w:p w14:paraId="1CB159D1">
                  <w:pPr>
                    <w:pStyle w:val="26"/>
                    <w:adjustRightInd w:val="0"/>
                    <w:snapToGrid w:val="0"/>
                    <w:spacing w:line="240" w:lineRule="auto"/>
                    <w:jc w:val="both"/>
                    <w:rPr>
                      <w:rFonts w:cs="Times New Roman"/>
                      <w:color w:val="auto"/>
                      <w:szCs w:val="21"/>
                    </w:rPr>
                  </w:pPr>
                  <w:r>
                    <w:rPr>
                      <w:rFonts w:cs="Times New Roman"/>
                      <w:color w:val="auto"/>
                      <w:szCs w:val="21"/>
                    </w:rPr>
                    <w:t>燃烧气体：丙烷</w:t>
                  </w:r>
                </w:p>
                <w:p w14:paraId="4F166DF2">
                  <w:pPr>
                    <w:pStyle w:val="26"/>
                    <w:adjustRightInd w:val="0"/>
                    <w:snapToGrid w:val="0"/>
                    <w:spacing w:line="240" w:lineRule="auto"/>
                    <w:jc w:val="both"/>
                    <w:rPr>
                      <w:rFonts w:cs="Times New Roman"/>
                      <w:color w:val="auto"/>
                      <w:szCs w:val="21"/>
                    </w:rPr>
                  </w:pPr>
                  <w:r>
                    <w:rPr>
                      <w:rFonts w:cs="Times New Roman"/>
                      <w:color w:val="auto"/>
                      <w:szCs w:val="21"/>
                    </w:rPr>
                    <w:t>燃气流量：/</w:t>
                  </w:r>
                </w:p>
                <w:p w14:paraId="29EF23E8">
                  <w:pPr>
                    <w:pStyle w:val="26"/>
                    <w:adjustRightInd w:val="0"/>
                    <w:snapToGrid w:val="0"/>
                    <w:spacing w:line="240" w:lineRule="auto"/>
                    <w:jc w:val="both"/>
                    <w:rPr>
                      <w:rFonts w:cs="Times New Roman"/>
                      <w:color w:val="auto"/>
                      <w:szCs w:val="21"/>
                    </w:rPr>
                  </w:pPr>
                  <w:r>
                    <w:rPr>
                      <w:rFonts w:cs="Times New Roman"/>
                      <w:color w:val="auto"/>
                      <w:szCs w:val="21"/>
                    </w:rPr>
                    <w:t>废气流量：</w:t>
                  </w:r>
                  <w:r>
                    <w:rPr>
                      <w:rFonts w:hint="eastAsia" w:cs="Times New Roman"/>
                      <w:color w:val="auto"/>
                      <w:szCs w:val="21"/>
                    </w:rPr>
                    <w:t>0.02</w:t>
                  </w:r>
                  <w:r>
                    <w:rPr>
                      <w:rFonts w:cs="Times New Roman"/>
                      <w:color w:val="auto"/>
                      <w:szCs w:val="21"/>
                    </w:rPr>
                    <w:t>m</w:t>
                  </w:r>
                  <w:r>
                    <w:rPr>
                      <w:rFonts w:cs="Times New Roman"/>
                      <w:color w:val="auto"/>
                      <w:szCs w:val="21"/>
                      <w:vertAlign w:val="superscript"/>
                    </w:rPr>
                    <w:t>3</w:t>
                  </w:r>
                  <w:r>
                    <w:rPr>
                      <w:rFonts w:cs="Times New Roman"/>
                      <w:color w:val="auto"/>
                      <w:szCs w:val="21"/>
                    </w:rPr>
                    <w:t>/s</w:t>
                  </w:r>
                </w:p>
                <w:p w14:paraId="51A695F8">
                  <w:pPr>
                    <w:pStyle w:val="26"/>
                    <w:adjustRightInd w:val="0"/>
                    <w:snapToGrid w:val="0"/>
                    <w:spacing w:line="240" w:lineRule="auto"/>
                    <w:jc w:val="both"/>
                    <w:rPr>
                      <w:rFonts w:cs="Times New Roman"/>
                      <w:color w:val="auto"/>
                      <w:szCs w:val="21"/>
                    </w:rPr>
                  </w:pPr>
                  <w:r>
                    <w:rPr>
                      <w:rFonts w:cs="Times New Roman"/>
                      <w:color w:val="auto"/>
                      <w:szCs w:val="21"/>
                    </w:rPr>
                    <w:t>引风机总风量约：</w:t>
                  </w:r>
                  <w:r>
                    <w:rPr>
                      <w:rFonts w:hint="eastAsia" w:cs="Times New Roman"/>
                      <w:color w:val="auto"/>
                      <w:szCs w:val="21"/>
                    </w:rPr>
                    <w:t>0.001</w:t>
                  </w:r>
                  <w:r>
                    <w:rPr>
                      <w:rFonts w:cs="Times New Roman"/>
                      <w:color w:val="auto"/>
                      <w:szCs w:val="21"/>
                    </w:rPr>
                    <w:t>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347299DC">
                  <w:pPr>
                    <w:pStyle w:val="26"/>
                    <w:adjustRightInd w:val="0"/>
                    <w:spacing w:line="240" w:lineRule="auto"/>
                    <w:rPr>
                      <w:rFonts w:cs="Times New Roman"/>
                      <w:color w:val="auto"/>
                      <w:szCs w:val="21"/>
                    </w:rPr>
                  </w:pPr>
                  <w:r>
                    <w:rPr>
                      <w:rFonts w:hint="eastAsia" w:cs="Times New Roman"/>
                      <w:color w:val="auto"/>
                      <w:szCs w:val="21"/>
                    </w:rPr>
                    <w:t>1台</w:t>
                  </w:r>
                </w:p>
              </w:tc>
              <w:tc>
                <w:tcPr>
                  <w:tcW w:w="855" w:type="dxa"/>
                  <w:vMerge w:val="restart"/>
                  <w:tcBorders>
                    <w:tl2br w:val="nil"/>
                    <w:tr2bl w:val="nil"/>
                  </w:tcBorders>
                  <w:vAlign w:val="center"/>
                </w:tcPr>
                <w:p w14:paraId="3C56D9F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2层燃烧实验室</w:t>
                  </w:r>
                </w:p>
              </w:tc>
              <w:tc>
                <w:tcPr>
                  <w:tcW w:w="1141" w:type="dxa"/>
                  <w:tcBorders>
                    <w:tl2br w:val="nil"/>
                    <w:tr2bl w:val="nil"/>
                  </w:tcBorders>
                  <w:vAlign w:val="center"/>
                </w:tcPr>
                <w:p w14:paraId="76DBBF2F">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可燃性</w:t>
                  </w:r>
                </w:p>
                <w:p w14:paraId="239E86F1">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w:t>
                  </w:r>
                </w:p>
              </w:tc>
            </w:tr>
            <w:tr w14:paraId="39EB4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64C8350B">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4</w:t>
                  </w:r>
                </w:p>
              </w:tc>
              <w:tc>
                <w:tcPr>
                  <w:tcW w:w="2169" w:type="dxa"/>
                  <w:tcBorders>
                    <w:tl2br w:val="nil"/>
                    <w:tr2bl w:val="nil"/>
                  </w:tcBorders>
                  <w:shd w:val="clear" w:color="auto" w:fill="auto"/>
                  <w:vAlign w:val="center"/>
                </w:tcPr>
                <w:p w14:paraId="241BF2DE">
                  <w:pPr>
                    <w:pStyle w:val="26"/>
                    <w:adjustRightInd w:val="0"/>
                    <w:spacing w:line="240" w:lineRule="auto"/>
                    <w:rPr>
                      <w:rFonts w:cs="Times New Roman"/>
                      <w:color w:val="auto"/>
                      <w:szCs w:val="21"/>
                    </w:rPr>
                  </w:pPr>
                  <w:r>
                    <w:rPr>
                      <w:rFonts w:cs="Times New Roman"/>
                      <w:color w:val="auto"/>
                      <w:szCs w:val="21"/>
                    </w:rPr>
                    <w:t>数字式氧指数测定仪</w:t>
                  </w:r>
                </w:p>
              </w:tc>
              <w:tc>
                <w:tcPr>
                  <w:tcW w:w="2686" w:type="dxa"/>
                  <w:tcBorders>
                    <w:tl2br w:val="nil"/>
                    <w:tr2bl w:val="nil"/>
                  </w:tcBorders>
                  <w:shd w:val="clear" w:color="auto" w:fill="auto"/>
                  <w:vAlign w:val="center"/>
                </w:tcPr>
                <w:p w14:paraId="0D71CDC9">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HC-2C</w:t>
                  </w:r>
                </w:p>
                <w:p w14:paraId="5C0F4CBE">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30min</w:t>
                  </w:r>
                </w:p>
                <w:p w14:paraId="57D01CDE">
                  <w:pPr>
                    <w:pStyle w:val="26"/>
                    <w:adjustRightInd w:val="0"/>
                    <w:snapToGrid w:val="0"/>
                    <w:spacing w:line="240" w:lineRule="auto"/>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引燃气体</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丙烷</w:t>
                  </w:r>
                </w:p>
                <w:p w14:paraId="0B01C806">
                  <w:pPr>
                    <w:pStyle w:val="26"/>
                    <w:adjustRightInd w:val="0"/>
                    <w:snapToGrid w:val="0"/>
                    <w:spacing w:line="240" w:lineRule="auto"/>
                    <w:jc w:val="both"/>
                    <w:rPr>
                      <w:rFonts w:ascii="Times New Roman" w:hAnsi="Times New Roman" w:eastAsia="宋体" w:cs="Times New Roman"/>
                      <w:color w:val="auto"/>
                      <w:szCs w:val="21"/>
                    </w:rPr>
                  </w:pPr>
                  <w:r>
                    <w:rPr>
                      <w:rFonts w:ascii="Times New Roman" w:hAnsi="Times New Roman" w:eastAsia="宋体" w:cs="Times New Roman"/>
                      <w:color w:val="auto"/>
                      <w:szCs w:val="21"/>
                    </w:rPr>
                    <w:t>燃气流量：/</w:t>
                  </w:r>
                </w:p>
                <w:p w14:paraId="48AF0F94">
                  <w:pPr>
                    <w:pStyle w:val="26"/>
                    <w:adjustRightInd w:val="0"/>
                    <w:snapToGrid w:val="0"/>
                    <w:spacing w:line="240" w:lineRule="auto"/>
                    <w:jc w:val="both"/>
                    <w:rPr>
                      <w:rFonts w:cs="Times New Roman"/>
                      <w:color w:val="auto"/>
                      <w:szCs w:val="21"/>
                    </w:rPr>
                  </w:pPr>
                  <w:r>
                    <w:rPr>
                      <w:rFonts w:cs="Times New Roman"/>
                      <w:color w:val="auto"/>
                      <w:szCs w:val="21"/>
                    </w:rPr>
                    <w:t>废气流量：1m</w:t>
                  </w:r>
                  <w:r>
                    <w:rPr>
                      <w:rFonts w:cs="Times New Roman"/>
                      <w:color w:val="auto"/>
                      <w:szCs w:val="21"/>
                      <w:vertAlign w:val="superscript"/>
                    </w:rPr>
                    <w:t>3</w:t>
                  </w:r>
                  <w:r>
                    <w:rPr>
                      <w:rFonts w:cs="Times New Roman"/>
                      <w:color w:val="auto"/>
                      <w:szCs w:val="21"/>
                    </w:rPr>
                    <w:t>/min</w:t>
                  </w:r>
                </w:p>
                <w:p w14:paraId="464E061B">
                  <w:pPr>
                    <w:pStyle w:val="26"/>
                    <w:adjustRightInd w:val="0"/>
                    <w:snapToGrid w:val="0"/>
                    <w:spacing w:line="240" w:lineRule="auto"/>
                    <w:jc w:val="both"/>
                    <w:rPr>
                      <w:rFonts w:cs="Times New Roman"/>
                      <w:color w:val="auto"/>
                      <w:szCs w:val="21"/>
                    </w:rPr>
                  </w:pPr>
                  <w:r>
                    <w:rPr>
                      <w:rFonts w:cs="Times New Roman"/>
                      <w:color w:val="auto"/>
                      <w:szCs w:val="21"/>
                    </w:rPr>
                    <w:t>引风机总风量约：60m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63795ED8">
                  <w:pPr>
                    <w:pStyle w:val="26"/>
                    <w:adjustRightInd w:val="0"/>
                    <w:spacing w:line="240" w:lineRule="auto"/>
                    <w:rPr>
                      <w:rFonts w:cs="Times New Roman"/>
                      <w:color w:val="auto"/>
                      <w:szCs w:val="21"/>
                    </w:rPr>
                  </w:pPr>
                  <w:r>
                    <w:rPr>
                      <w:rFonts w:cs="Times New Roman"/>
                      <w:color w:val="auto"/>
                      <w:szCs w:val="21"/>
                    </w:rPr>
                    <w:t>1台</w:t>
                  </w:r>
                </w:p>
              </w:tc>
              <w:tc>
                <w:tcPr>
                  <w:tcW w:w="855" w:type="dxa"/>
                  <w:vMerge w:val="continue"/>
                  <w:tcBorders>
                    <w:tl2br w:val="nil"/>
                    <w:tr2bl w:val="nil"/>
                  </w:tcBorders>
                  <w:shd w:val="clear" w:color="auto" w:fill="auto"/>
                  <w:vAlign w:val="center"/>
                </w:tcPr>
                <w:p w14:paraId="6592EF45">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shd w:val="clear" w:color="auto" w:fill="auto"/>
                  <w:vAlign w:val="center"/>
                </w:tcPr>
                <w:p w14:paraId="194F49A8">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氧指数</w:t>
                  </w:r>
                </w:p>
                <w:p w14:paraId="13BCCCCF">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w:t>
                  </w:r>
                </w:p>
              </w:tc>
            </w:tr>
            <w:tr w14:paraId="1BB4D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2B5C322B">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5</w:t>
                  </w:r>
                </w:p>
              </w:tc>
              <w:tc>
                <w:tcPr>
                  <w:tcW w:w="2169" w:type="dxa"/>
                  <w:tcBorders>
                    <w:tl2br w:val="nil"/>
                    <w:tr2bl w:val="nil"/>
                  </w:tcBorders>
                  <w:shd w:val="clear" w:color="auto" w:fill="auto"/>
                  <w:vAlign w:val="center"/>
                </w:tcPr>
                <w:p w14:paraId="19EF7D2E">
                  <w:pPr>
                    <w:pStyle w:val="26"/>
                    <w:adjustRightInd w:val="0"/>
                    <w:spacing w:line="240" w:lineRule="auto"/>
                    <w:rPr>
                      <w:rFonts w:cs="Times New Roman"/>
                      <w:color w:val="auto"/>
                      <w:szCs w:val="21"/>
                    </w:rPr>
                  </w:pPr>
                  <w:r>
                    <w:rPr>
                      <w:rFonts w:cs="Times New Roman"/>
                      <w:color w:val="auto"/>
                      <w:szCs w:val="21"/>
                    </w:rPr>
                    <w:t>建材制品燃烧热值试验装置</w:t>
                  </w:r>
                </w:p>
              </w:tc>
              <w:tc>
                <w:tcPr>
                  <w:tcW w:w="2686" w:type="dxa"/>
                  <w:tcBorders>
                    <w:tl2br w:val="nil"/>
                    <w:tr2bl w:val="nil"/>
                  </w:tcBorders>
                  <w:shd w:val="clear" w:color="auto" w:fill="auto"/>
                  <w:vAlign w:val="center"/>
                </w:tcPr>
                <w:p w14:paraId="11FDA4B0">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IMJCR-2</w:t>
                  </w:r>
                </w:p>
                <w:p w14:paraId="0D837B99">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2.5h</w:t>
                  </w:r>
                </w:p>
                <w:p w14:paraId="3B857BDF">
                  <w:pPr>
                    <w:pStyle w:val="26"/>
                    <w:adjustRightInd w:val="0"/>
                    <w:snapToGrid w:val="0"/>
                    <w:spacing w:line="240" w:lineRule="auto"/>
                    <w:jc w:val="both"/>
                    <w:rPr>
                      <w:rFonts w:hint="default" w:eastAsia="宋体" w:cs="Times New Roman"/>
                      <w:color w:val="auto"/>
                      <w:szCs w:val="21"/>
                      <w:lang w:val="en-US" w:eastAsia="zh-CN"/>
                    </w:rPr>
                  </w:pPr>
                  <w:r>
                    <w:rPr>
                      <w:rFonts w:hint="eastAsia" w:cs="Times New Roman"/>
                      <w:color w:val="auto"/>
                      <w:szCs w:val="21"/>
                      <w:lang w:val="en-US" w:eastAsia="zh-CN"/>
                    </w:rPr>
                    <w:t>能源：电</w:t>
                  </w:r>
                </w:p>
              </w:tc>
              <w:tc>
                <w:tcPr>
                  <w:tcW w:w="720" w:type="dxa"/>
                  <w:tcBorders>
                    <w:tl2br w:val="nil"/>
                    <w:tr2bl w:val="nil"/>
                  </w:tcBorders>
                  <w:shd w:val="clear" w:color="auto" w:fill="auto"/>
                  <w:vAlign w:val="center"/>
                </w:tcPr>
                <w:p w14:paraId="727E8DF9">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shd w:val="clear" w:color="auto" w:fill="auto"/>
                  <w:vAlign w:val="center"/>
                </w:tcPr>
                <w:p w14:paraId="51F92B0E">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shd w:val="clear" w:color="auto" w:fill="auto"/>
                  <w:vAlign w:val="center"/>
                </w:tcPr>
                <w:p w14:paraId="1BF73FD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热值</w:t>
                  </w:r>
                </w:p>
                <w:p w14:paraId="57C8261E">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w:t>
                  </w:r>
                </w:p>
              </w:tc>
            </w:tr>
            <w:tr w14:paraId="5B29D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44D11DC6">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6</w:t>
                  </w:r>
                </w:p>
              </w:tc>
              <w:tc>
                <w:tcPr>
                  <w:tcW w:w="2169" w:type="dxa"/>
                  <w:tcBorders>
                    <w:tl2br w:val="nil"/>
                    <w:tr2bl w:val="nil"/>
                  </w:tcBorders>
                  <w:shd w:val="clear" w:color="auto" w:fill="auto"/>
                  <w:vAlign w:val="center"/>
                </w:tcPr>
                <w:p w14:paraId="7AFBD3E4">
                  <w:pPr>
                    <w:pStyle w:val="26"/>
                    <w:adjustRightInd w:val="0"/>
                    <w:spacing w:line="240" w:lineRule="auto"/>
                    <w:rPr>
                      <w:rFonts w:cs="Times New Roman"/>
                      <w:color w:val="auto"/>
                      <w:szCs w:val="21"/>
                    </w:rPr>
                  </w:pPr>
                  <w:r>
                    <w:rPr>
                      <w:rFonts w:cs="Times New Roman"/>
                      <w:color w:val="auto"/>
                      <w:szCs w:val="21"/>
                    </w:rPr>
                    <w:t>建材不燃性试验炉</w:t>
                  </w:r>
                </w:p>
              </w:tc>
              <w:tc>
                <w:tcPr>
                  <w:tcW w:w="2686" w:type="dxa"/>
                  <w:tcBorders>
                    <w:tl2br w:val="nil"/>
                    <w:tr2bl w:val="nil"/>
                  </w:tcBorders>
                  <w:shd w:val="clear" w:color="auto" w:fill="auto"/>
                  <w:vAlign w:val="center"/>
                </w:tcPr>
                <w:p w14:paraId="4FFF8B7B">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IMJCB-2</w:t>
                  </w:r>
                </w:p>
                <w:p w14:paraId="107F04A8">
                  <w:pPr>
                    <w:pStyle w:val="26"/>
                    <w:adjustRightInd w:val="0"/>
                    <w:snapToGrid w:val="0"/>
                    <w:spacing w:line="240" w:lineRule="auto"/>
                    <w:jc w:val="both"/>
                    <w:rPr>
                      <w:rFonts w:hint="default" w:eastAsia="宋体" w:cs="Times New Roman"/>
                      <w:color w:val="auto"/>
                      <w:szCs w:val="21"/>
                      <w:lang w:val="en-US" w:eastAsia="zh-CN"/>
                    </w:rPr>
                  </w:pPr>
                  <w:r>
                    <w:rPr>
                      <w:rFonts w:cs="Times New Roman"/>
                      <w:color w:val="auto"/>
                      <w:szCs w:val="21"/>
                    </w:rPr>
                    <w:t>实验时间</w:t>
                  </w:r>
                  <w:r>
                    <w:rPr>
                      <w:rFonts w:hint="eastAsia" w:cs="Times New Roman"/>
                      <w:color w:val="auto"/>
                      <w:szCs w:val="21"/>
                      <w:lang w:eastAsia="zh-CN"/>
                    </w:rPr>
                    <w:t>：</w:t>
                  </w:r>
                  <w:r>
                    <w:rPr>
                      <w:rFonts w:cs="Times New Roman"/>
                      <w:color w:val="auto"/>
                      <w:szCs w:val="21"/>
                    </w:rPr>
                    <w:t>2.5h</w:t>
                  </w:r>
                </w:p>
                <w:p w14:paraId="3C982522">
                  <w:pPr>
                    <w:pStyle w:val="26"/>
                    <w:adjustRightInd w:val="0"/>
                    <w:snapToGrid w:val="0"/>
                    <w:spacing w:line="240" w:lineRule="auto"/>
                    <w:jc w:val="both"/>
                    <w:rPr>
                      <w:rFonts w:cs="Times New Roman"/>
                      <w:color w:val="auto"/>
                      <w:szCs w:val="21"/>
                    </w:rPr>
                  </w:pPr>
                  <w:r>
                    <w:rPr>
                      <w:rFonts w:cs="Times New Roman"/>
                      <w:color w:val="auto"/>
                      <w:szCs w:val="21"/>
                    </w:rPr>
                    <w:t>废气流量：1m</w:t>
                  </w:r>
                  <w:r>
                    <w:rPr>
                      <w:rFonts w:cs="Times New Roman"/>
                      <w:color w:val="auto"/>
                      <w:szCs w:val="21"/>
                      <w:vertAlign w:val="superscript"/>
                    </w:rPr>
                    <w:t>3</w:t>
                  </w:r>
                  <w:r>
                    <w:rPr>
                      <w:rFonts w:cs="Times New Roman"/>
                      <w:color w:val="auto"/>
                      <w:szCs w:val="21"/>
                    </w:rPr>
                    <w:t>/min</w:t>
                  </w:r>
                </w:p>
                <w:p w14:paraId="677C1AA3">
                  <w:pPr>
                    <w:pStyle w:val="26"/>
                    <w:adjustRightInd w:val="0"/>
                    <w:snapToGrid w:val="0"/>
                    <w:spacing w:line="240" w:lineRule="auto"/>
                    <w:jc w:val="both"/>
                    <w:rPr>
                      <w:rFonts w:cs="Times New Roman"/>
                      <w:color w:val="auto"/>
                      <w:szCs w:val="21"/>
                    </w:rPr>
                  </w:pPr>
                  <w:r>
                    <w:rPr>
                      <w:rFonts w:cs="Times New Roman"/>
                      <w:color w:val="auto"/>
                      <w:szCs w:val="21"/>
                    </w:rPr>
                    <w:t>引风机总风量约：60m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70AA2DDE">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05A5D3C7">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2F983D6B">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不燃性</w:t>
                  </w:r>
                </w:p>
                <w:p w14:paraId="102E183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w:t>
                  </w:r>
                </w:p>
              </w:tc>
            </w:tr>
            <w:tr w14:paraId="7A0A46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3E81EE09">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2169" w:type="dxa"/>
                  <w:tcBorders>
                    <w:tl2br w:val="nil"/>
                    <w:tr2bl w:val="nil"/>
                  </w:tcBorders>
                  <w:shd w:val="clear" w:color="auto" w:fill="auto"/>
                  <w:vAlign w:val="center"/>
                </w:tcPr>
                <w:p w14:paraId="0DCE5F78">
                  <w:pPr>
                    <w:pStyle w:val="26"/>
                    <w:adjustRightInd w:val="0"/>
                    <w:spacing w:line="240" w:lineRule="auto"/>
                    <w:rPr>
                      <w:rFonts w:cs="Times New Roman"/>
                      <w:color w:val="auto"/>
                      <w:szCs w:val="21"/>
                    </w:rPr>
                  </w:pPr>
                  <w:r>
                    <w:rPr>
                      <w:rFonts w:hint="eastAsia" w:cs="Times New Roman"/>
                      <w:color w:val="auto"/>
                      <w:szCs w:val="21"/>
                    </w:rPr>
                    <w:t>阴燃试验炉</w:t>
                  </w:r>
                </w:p>
              </w:tc>
              <w:tc>
                <w:tcPr>
                  <w:tcW w:w="2686" w:type="dxa"/>
                  <w:tcBorders>
                    <w:tl2br w:val="nil"/>
                    <w:tr2bl w:val="nil"/>
                  </w:tcBorders>
                  <w:shd w:val="clear" w:color="auto" w:fill="auto"/>
                  <w:vAlign w:val="center"/>
                </w:tcPr>
                <w:p w14:paraId="530349DF">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（0-1000）℃</w:t>
                  </w:r>
                </w:p>
                <w:p w14:paraId="3D5EC59E">
                  <w:pPr>
                    <w:pStyle w:val="26"/>
                    <w:adjustRightInd w:val="0"/>
                    <w:snapToGrid w:val="0"/>
                    <w:spacing w:line="240" w:lineRule="auto"/>
                    <w:jc w:val="both"/>
                    <w:rPr>
                      <w:rFonts w:cs="Times New Roman"/>
                      <w:color w:val="auto"/>
                      <w:szCs w:val="21"/>
                    </w:rPr>
                  </w:pPr>
                  <w:r>
                    <w:rPr>
                      <w:rFonts w:cs="Times New Roman"/>
                      <w:color w:val="auto"/>
                      <w:szCs w:val="21"/>
                    </w:rPr>
                    <w:t>实验时间</w:t>
                  </w:r>
                  <w:r>
                    <w:rPr>
                      <w:rFonts w:hint="eastAsia" w:cs="Times New Roman"/>
                      <w:color w:val="auto"/>
                      <w:szCs w:val="21"/>
                      <w:lang w:eastAsia="zh-CN"/>
                    </w:rPr>
                    <w:t>：</w:t>
                  </w:r>
                  <w:r>
                    <w:rPr>
                      <w:rFonts w:hint="eastAsia" w:cs="Times New Roman"/>
                      <w:color w:val="auto"/>
                      <w:szCs w:val="21"/>
                      <w:lang w:val="en-US" w:eastAsia="zh-CN"/>
                    </w:rPr>
                    <w:t>24</w:t>
                  </w:r>
                  <w:r>
                    <w:rPr>
                      <w:rFonts w:cs="Times New Roman"/>
                      <w:color w:val="auto"/>
                      <w:szCs w:val="21"/>
                    </w:rPr>
                    <w:t>h</w:t>
                  </w:r>
                </w:p>
                <w:p w14:paraId="610D00BF">
                  <w:pPr>
                    <w:pStyle w:val="26"/>
                    <w:adjustRightInd w:val="0"/>
                    <w:snapToGrid w:val="0"/>
                    <w:spacing w:line="240" w:lineRule="auto"/>
                    <w:jc w:val="both"/>
                    <w:rPr>
                      <w:rFonts w:cs="Times New Roman"/>
                      <w:color w:val="auto"/>
                      <w:szCs w:val="21"/>
                    </w:rPr>
                  </w:pPr>
                  <w:r>
                    <w:rPr>
                      <w:rFonts w:hint="eastAsia" w:cs="Times New Roman"/>
                      <w:color w:val="auto"/>
                      <w:szCs w:val="21"/>
                      <w:lang w:val="en-US" w:eastAsia="zh-CN"/>
                    </w:rPr>
                    <w:t>能源：电</w:t>
                  </w:r>
                </w:p>
                <w:p w14:paraId="43EDB938">
                  <w:pPr>
                    <w:pStyle w:val="26"/>
                    <w:adjustRightInd w:val="0"/>
                    <w:snapToGrid w:val="0"/>
                    <w:spacing w:line="240" w:lineRule="auto"/>
                    <w:jc w:val="both"/>
                    <w:rPr>
                      <w:rFonts w:cs="Times New Roman"/>
                      <w:color w:val="auto"/>
                      <w:szCs w:val="21"/>
                    </w:rPr>
                  </w:pPr>
                  <w:r>
                    <w:rPr>
                      <w:rFonts w:cs="Times New Roman"/>
                      <w:color w:val="auto"/>
                      <w:szCs w:val="21"/>
                    </w:rPr>
                    <w:t>废气流量：1m</w:t>
                  </w:r>
                  <w:r>
                    <w:rPr>
                      <w:rFonts w:cs="Times New Roman"/>
                      <w:color w:val="auto"/>
                      <w:szCs w:val="21"/>
                      <w:vertAlign w:val="superscript"/>
                    </w:rPr>
                    <w:t>3</w:t>
                  </w:r>
                  <w:r>
                    <w:rPr>
                      <w:rFonts w:cs="Times New Roman"/>
                      <w:color w:val="auto"/>
                      <w:szCs w:val="21"/>
                    </w:rPr>
                    <w:t>/min</w:t>
                  </w:r>
                </w:p>
                <w:p w14:paraId="3A290753">
                  <w:pPr>
                    <w:pStyle w:val="26"/>
                    <w:adjustRightInd w:val="0"/>
                    <w:snapToGrid w:val="0"/>
                    <w:spacing w:line="240" w:lineRule="auto"/>
                    <w:jc w:val="both"/>
                    <w:rPr>
                      <w:rFonts w:cs="Times New Roman"/>
                      <w:color w:val="auto"/>
                      <w:szCs w:val="21"/>
                    </w:rPr>
                  </w:pPr>
                  <w:r>
                    <w:rPr>
                      <w:rFonts w:cs="Times New Roman"/>
                      <w:color w:val="auto"/>
                      <w:szCs w:val="21"/>
                    </w:rPr>
                    <w:t>引风机总风量约：60m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2A1D3D63">
                  <w:pPr>
                    <w:pStyle w:val="26"/>
                    <w:adjustRightInd w:val="0"/>
                    <w:spacing w:line="240" w:lineRule="auto"/>
                    <w:rPr>
                      <w:rFonts w:hint="eastAsia" w:cs="Times New Roman"/>
                      <w:color w:val="auto"/>
                      <w:szCs w:val="21"/>
                      <w:lang w:val="en-US" w:eastAsia="zh-CN"/>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63B91ED0">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1DDD9B25">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阴燃试验</w:t>
                  </w:r>
                </w:p>
              </w:tc>
            </w:tr>
            <w:tr w14:paraId="3D6C5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2D16B55A">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2169" w:type="dxa"/>
                  <w:tcBorders>
                    <w:tl2br w:val="nil"/>
                    <w:tr2bl w:val="nil"/>
                  </w:tcBorders>
                  <w:shd w:val="clear" w:color="auto" w:fill="auto"/>
                  <w:vAlign w:val="center"/>
                </w:tcPr>
                <w:p w14:paraId="4D572DF1">
                  <w:pPr>
                    <w:pStyle w:val="26"/>
                    <w:adjustRightInd w:val="0"/>
                    <w:spacing w:line="240" w:lineRule="auto"/>
                    <w:rPr>
                      <w:rFonts w:cs="Times New Roman"/>
                      <w:color w:val="auto"/>
                      <w:szCs w:val="21"/>
                    </w:rPr>
                  </w:pPr>
                  <w:r>
                    <w:rPr>
                      <w:rFonts w:hint="eastAsia" w:cs="Times New Roman"/>
                      <w:color w:val="auto"/>
                      <w:szCs w:val="21"/>
                    </w:rPr>
                    <w:t>单根绝缘电线电缆垂直燃烧仪</w:t>
                  </w:r>
                </w:p>
              </w:tc>
              <w:tc>
                <w:tcPr>
                  <w:tcW w:w="2686" w:type="dxa"/>
                  <w:tcBorders>
                    <w:tl2br w:val="nil"/>
                    <w:tr2bl w:val="nil"/>
                  </w:tcBorders>
                  <w:shd w:val="clear" w:color="auto" w:fill="auto"/>
                  <w:vAlign w:val="center"/>
                </w:tcPr>
                <w:p w14:paraId="0A922DC9">
                  <w:pPr>
                    <w:pStyle w:val="26"/>
                    <w:adjustRightInd w:val="0"/>
                    <w:snapToGrid w:val="0"/>
                    <w:spacing w:line="240" w:lineRule="auto"/>
                    <w:jc w:val="both"/>
                    <w:rPr>
                      <w:rFonts w:hint="eastAsia" w:cs="Times New Roman"/>
                      <w:color w:val="auto"/>
                      <w:szCs w:val="21"/>
                      <w:lang w:val="en-US" w:eastAsia="zh-CN"/>
                    </w:rPr>
                  </w:pPr>
                  <w:r>
                    <w:rPr>
                      <w:rFonts w:cs="Times New Roman"/>
                      <w:color w:val="auto"/>
                      <w:szCs w:val="21"/>
                    </w:rPr>
                    <w:t>型号：</w:t>
                  </w:r>
                  <w:r>
                    <w:rPr>
                      <w:rFonts w:hint="eastAsia" w:cs="Times New Roman"/>
                      <w:color w:val="auto"/>
                      <w:szCs w:val="21"/>
                      <w:lang w:val="en-US" w:eastAsia="zh-CN"/>
                    </w:rPr>
                    <w:t>IMDJC-I</w:t>
                  </w:r>
                </w:p>
                <w:p w14:paraId="182C6FD7">
                  <w:pPr>
                    <w:pStyle w:val="26"/>
                    <w:adjustRightInd w:val="0"/>
                    <w:snapToGrid w:val="0"/>
                    <w:spacing w:line="240" w:lineRule="auto"/>
                    <w:jc w:val="both"/>
                    <w:rPr>
                      <w:rFonts w:hint="default" w:eastAsia="宋体" w:cs="Times New Roman"/>
                      <w:color w:val="auto"/>
                      <w:szCs w:val="21"/>
                      <w:lang w:val="en-US" w:eastAsia="zh-CN"/>
                    </w:rPr>
                  </w:pPr>
                  <w:r>
                    <w:rPr>
                      <w:rFonts w:cs="Times New Roman"/>
                      <w:color w:val="auto"/>
                      <w:szCs w:val="21"/>
                    </w:rPr>
                    <w:t>实验时间</w:t>
                  </w:r>
                  <w:r>
                    <w:rPr>
                      <w:rFonts w:hint="eastAsia" w:cs="Times New Roman"/>
                      <w:color w:val="auto"/>
                      <w:szCs w:val="21"/>
                      <w:lang w:eastAsia="zh-CN"/>
                    </w:rPr>
                    <w:t>：</w:t>
                  </w:r>
                  <w:r>
                    <w:rPr>
                      <w:rFonts w:hint="eastAsia" w:cs="Times New Roman"/>
                      <w:color w:val="auto"/>
                      <w:szCs w:val="21"/>
                      <w:lang w:val="en-US" w:eastAsia="zh-CN"/>
                    </w:rPr>
                    <w:t>60s</w:t>
                  </w:r>
                </w:p>
                <w:p w14:paraId="2B835117">
                  <w:pPr>
                    <w:pStyle w:val="26"/>
                    <w:adjustRightInd w:val="0"/>
                    <w:snapToGrid w:val="0"/>
                    <w:spacing w:line="240" w:lineRule="auto"/>
                    <w:jc w:val="both"/>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燃烧</w:t>
                  </w:r>
                  <w:r>
                    <w:rPr>
                      <w:rFonts w:hint="eastAsia" w:ascii="Times New Roman" w:hAnsi="Times New Roman" w:eastAsia="宋体" w:cs="Times New Roman"/>
                      <w:color w:val="auto"/>
                      <w:szCs w:val="21"/>
                      <w:lang w:val="en-US" w:eastAsia="zh-CN"/>
                    </w:rPr>
                    <w:t>气体</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丙烷</w:t>
                  </w:r>
                </w:p>
                <w:p w14:paraId="201BCDCA">
                  <w:pPr>
                    <w:pStyle w:val="26"/>
                    <w:adjustRightInd w:val="0"/>
                    <w:snapToGrid w:val="0"/>
                    <w:spacing w:line="240" w:lineRule="auto"/>
                    <w:jc w:val="both"/>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燃气流量：</w:t>
                  </w:r>
                  <w:r>
                    <w:rPr>
                      <w:rFonts w:hint="eastAsia" w:cs="Times New Roman"/>
                      <w:color w:val="auto"/>
                      <w:szCs w:val="21"/>
                      <w:lang w:val="en-US" w:eastAsia="zh-CN"/>
                    </w:rPr>
                    <w:t>650L/min</w:t>
                  </w:r>
                </w:p>
                <w:p w14:paraId="30A2D781">
                  <w:pPr>
                    <w:pStyle w:val="26"/>
                    <w:adjustRightInd w:val="0"/>
                    <w:snapToGrid w:val="0"/>
                    <w:spacing w:line="240" w:lineRule="auto"/>
                    <w:jc w:val="both"/>
                    <w:rPr>
                      <w:rFonts w:cs="Times New Roman"/>
                      <w:color w:val="auto"/>
                      <w:szCs w:val="21"/>
                    </w:rPr>
                  </w:pPr>
                  <w:r>
                    <w:rPr>
                      <w:rFonts w:cs="Times New Roman"/>
                      <w:color w:val="auto"/>
                      <w:szCs w:val="21"/>
                    </w:rPr>
                    <w:t>废气流量：</w:t>
                  </w:r>
                  <w:r>
                    <w:rPr>
                      <w:rFonts w:hint="eastAsia" w:cs="Times New Roman"/>
                      <w:color w:val="auto"/>
                      <w:szCs w:val="21"/>
                      <w:lang w:val="en-US" w:eastAsia="zh-CN"/>
                    </w:rPr>
                    <w:t>2</w:t>
                  </w:r>
                  <w:r>
                    <w:rPr>
                      <w:rFonts w:cs="Times New Roman"/>
                      <w:color w:val="auto"/>
                      <w:szCs w:val="21"/>
                    </w:rPr>
                    <w:t>m</w:t>
                  </w:r>
                  <w:r>
                    <w:rPr>
                      <w:rFonts w:cs="Times New Roman"/>
                      <w:color w:val="auto"/>
                      <w:szCs w:val="21"/>
                      <w:vertAlign w:val="superscript"/>
                    </w:rPr>
                    <w:t>3</w:t>
                  </w:r>
                  <w:r>
                    <w:rPr>
                      <w:rFonts w:cs="Times New Roman"/>
                      <w:color w:val="auto"/>
                      <w:szCs w:val="21"/>
                    </w:rPr>
                    <w:t>/min</w:t>
                  </w:r>
                </w:p>
                <w:p w14:paraId="4F9326AB">
                  <w:pPr>
                    <w:pStyle w:val="26"/>
                    <w:adjustRightInd w:val="0"/>
                    <w:snapToGrid w:val="0"/>
                    <w:spacing w:line="240" w:lineRule="auto"/>
                    <w:jc w:val="both"/>
                    <w:rPr>
                      <w:rFonts w:cs="Times New Roman"/>
                      <w:color w:val="auto"/>
                      <w:szCs w:val="21"/>
                    </w:rPr>
                  </w:pPr>
                  <w:r>
                    <w:rPr>
                      <w:rFonts w:cs="Times New Roman"/>
                      <w:color w:val="auto"/>
                      <w:szCs w:val="21"/>
                    </w:rPr>
                    <w:t>引风机总风量约：60m</w:t>
                  </w:r>
                  <w:r>
                    <w:rPr>
                      <w:rFonts w:cs="Times New Roman"/>
                      <w:color w:val="auto"/>
                      <w:szCs w:val="21"/>
                      <w:vertAlign w:val="superscript"/>
                    </w:rPr>
                    <w:t>3</w:t>
                  </w:r>
                  <w:r>
                    <w:rPr>
                      <w:rFonts w:cs="Times New Roman"/>
                      <w:color w:val="auto"/>
                      <w:szCs w:val="21"/>
                    </w:rPr>
                    <w:t>/h</w:t>
                  </w:r>
                </w:p>
              </w:tc>
              <w:tc>
                <w:tcPr>
                  <w:tcW w:w="720" w:type="dxa"/>
                  <w:tcBorders>
                    <w:tl2br w:val="nil"/>
                    <w:tr2bl w:val="nil"/>
                  </w:tcBorders>
                  <w:shd w:val="clear" w:color="auto" w:fill="auto"/>
                  <w:vAlign w:val="center"/>
                </w:tcPr>
                <w:p w14:paraId="23227D4D">
                  <w:pPr>
                    <w:pStyle w:val="26"/>
                    <w:adjustRightInd w:val="0"/>
                    <w:spacing w:line="240" w:lineRule="auto"/>
                    <w:rPr>
                      <w:rFonts w:hint="eastAsia" w:cs="Times New Roman"/>
                      <w:color w:val="auto"/>
                      <w:szCs w:val="21"/>
                      <w:lang w:val="en-US" w:eastAsia="zh-CN"/>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59EEA1A0">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6D6E6BC1">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电线垂直燃烧试验</w:t>
                  </w:r>
                </w:p>
              </w:tc>
            </w:tr>
            <w:tr w14:paraId="1340C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3F842D3E">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9</w:t>
                  </w:r>
                </w:p>
              </w:tc>
              <w:tc>
                <w:tcPr>
                  <w:tcW w:w="2169" w:type="dxa"/>
                  <w:tcBorders>
                    <w:tl2br w:val="nil"/>
                    <w:tr2bl w:val="nil"/>
                  </w:tcBorders>
                  <w:shd w:val="clear" w:color="auto" w:fill="auto"/>
                  <w:vAlign w:val="center"/>
                </w:tcPr>
                <w:p w14:paraId="6351087A">
                  <w:pPr>
                    <w:pStyle w:val="26"/>
                    <w:adjustRightIn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抗渗仪</w:t>
                  </w:r>
                </w:p>
              </w:tc>
              <w:tc>
                <w:tcPr>
                  <w:tcW w:w="2686" w:type="dxa"/>
                  <w:tcBorders>
                    <w:tl2br w:val="nil"/>
                    <w:tr2bl w:val="nil"/>
                  </w:tcBorders>
                  <w:shd w:val="clear" w:color="auto" w:fill="auto"/>
                  <w:vAlign w:val="center"/>
                </w:tcPr>
                <w:p w14:paraId="7C012082">
                  <w:pPr>
                    <w:pStyle w:val="26"/>
                    <w:adjustRightInd w:val="0"/>
                    <w:snapToGrid w:val="0"/>
                    <w:spacing w:line="240" w:lineRule="auto"/>
                    <w:rPr>
                      <w:rFonts w:cs="Times New Roman"/>
                      <w:color w:val="auto"/>
                      <w:szCs w:val="21"/>
                    </w:rPr>
                  </w:pPr>
                  <w:r>
                    <w:rPr>
                      <w:rFonts w:hint="eastAsia" w:cs="Times New Roman"/>
                      <w:color w:val="auto"/>
                      <w:szCs w:val="21"/>
                    </w:rPr>
                    <w:t>HP-40</w:t>
                  </w:r>
                </w:p>
              </w:tc>
              <w:tc>
                <w:tcPr>
                  <w:tcW w:w="720" w:type="dxa"/>
                  <w:tcBorders>
                    <w:tl2br w:val="nil"/>
                    <w:tr2bl w:val="nil"/>
                  </w:tcBorders>
                  <w:shd w:val="clear" w:color="auto" w:fill="auto"/>
                  <w:vAlign w:val="center"/>
                </w:tcPr>
                <w:p w14:paraId="3D4CBA6C">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3台</w:t>
                  </w:r>
                </w:p>
              </w:tc>
              <w:tc>
                <w:tcPr>
                  <w:tcW w:w="855" w:type="dxa"/>
                  <w:vMerge w:val="restart"/>
                  <w:tcBorders>
                    <w:tl2br w:val="nil"/>
                    <w:tr2bl w:val="nil"/>
                  </w:tcBorders>
                  <w:vAlign w:val="center"/>
                </w:tcPr>
                <w:p w14:paraId="199DA8C6">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1</w:t>
                  </w:r>
                  <w:r>
                    <w:rPr>
                      <w:rFonts w:hint="eastAsia" w:cs="Times New Roman"/>
                      <w:color w:val="auto"/>
                      <w:sz w:val="21"/>
                      <w:szCs w:val="21"/>
                    </w:rPr>
                    <w:t>层抗渗</w:t>
                  </w:r>
                  <w:r>
                    <w:rPr>
                      <w:rFonts w:hint="eastAsia" w:cs="Times New Roman"/>
                      <w:color w:val="auto"/>
                      <w:sz w:val="21"/>
                      <w:szCs w:val="21"/>
                      <w:lang w:val="en-US" w:eastAsia="zh-CN"/>
                    </w:rPr>
                    <w:t>实验室</w:t>
                  </w:r>
                </w:p>
              </w:tc>
              <w:tc>
                <w:tcPr>
                  <w:tcW w:w="1141" w:type="dxa"/>
                  <w:tcBorders>
                    <w:tl2br w:val="nil"/>
                    <w:tr2bl w:val="nil"/>
                  </w:tcBorders>
                  <w:vAlign w:val="center"/>
                </w:tcPr>
                <w:p w14:paraId="0CD53877">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抗渗检测</w:t>
                  </w:r>
                </w:p>
              </w:tc>
            </w:tr>
            <w:tr w14:paraId="3CFA5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vAlign w:val="center"/>
                </w:tcPr>
                <w:p w14:paraId="4E3BCD8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2169" w:type="dxa"/>
                  <w:tcBorders>
                    <w:tl2br w:val="nil"/>
                    <w:tr2bl w:val="nil"/>
                  </w:tcBorders>
                  <w:shd w:val="clear" w:color="auto" w:fill="auto"/>
                  <w:vAlign w:val="center"/>
                </w:tcPr>
                <w:p w14:paraId="162C37E4">
                  <w:pPr>
                    <w:pStyle w:val="26"/>
                    <w:adjustRightInd w:val="0"/>
                    <w:spacing w:line="240" w:lineRule="auto"/>
                    <w:rPr>
                      <w:rFonts w:cs="Times New Roman"/>
                      <w:color w:val="auto"/>
                      <w:szCs w:val="21"/>
                    </w:rPr>
                  </w:pPr>
                  <w:r>
                    <w:rPr>
                      <w:rFonts w:hint="eastAsia" w:cs="Times New Roman"/>
                      <w:color w:val="auto"/>
                      <w:szCs w:val="21"/>
                    </w:rPr>
                    <w:t>全自动混凝土抗渗仪</w:t>
                  </w:r>
                </w:p>
              </w:tc>
              <w:tc>
                <w:tcPr>
                  <w:tcW w:w="2686" w:type="dxa"/>
                  <w:tcBorders>
                    <w:tl2br w:val="nil"/>
                    <w:tr2bl w:val="nil"/>
                  </w:tcBorders>
                  <w:shd w:val="clear" w:color="auto" w:fill="auto"/>
                  <w:vAlign w:val="center"/>
                </w:tcPr>
                <w:p w14:paraId="21BC3231">
                  <w:pPr>
                    <w:pStyle w:val="26"/>
                    <w:adjustRightInd w:val="0"/>
                    <w:snapToGrid w:val="0"/>
                    <w:spacing w:line="240" w:lineRule="auto"/>
                    <w:rPr>
                      <w:rFonts w:cs="Times New Roman"/>
                      <w:color w:val="auto"/>
                      <w:szCs w:val="21"/>
                    </w:rPr>
                  </w:pPr>
                  <w:r>
                    <w:rPr>
                      <w:rFonts w:hint="eastAsia" w:cs="Times New Roman"/>
                      <w:color w:val="auto"/>
                      <w:szCs w:val="21"/>
                    </w:rPr>
                    <w:t>HS25Q-4A</w:t>
                  </w:r>
                </w:p>
              </w:tc>
              <w:tc>
                <w:tcPr>
                  <w:tcW w:w="720" w:type="dxa"/>
                  <w:tcBorders>
                    <w:tl2br w:val="nil"/>
                    <w:tr2bl w:val="nil"/>
                  </w:tcBorders>
                  <w:shd w:val="clear" w:color="auto" w:fill="auto"/>
                  <w:vAlign w:val="center"/>
                </w:tcPr>
                <w:p w14:paraId="4A422FD4">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2台</w:t>
                  </w:r>
                </w:p>
              </w:tc>
              <w:tc>
                <w:tcPr>
                  <w:tcW w:w="855" w:type="dxa"/>
                  <w:vMerge w:val="continue"/>
                  <w:tcBorders>
                    <w:tl2br w:val="nil"/>
                    <w:tr2bl w:val="nil"/>
                  </w:tcBorders>
                  <w:vAlign w:val="center"/>
                </w:tcPr>
                <w:p w14:paraId="4446168B">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45A134CA">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抗渗检测</w:t>
                  </w:r>
                </w:p>
              </w:tc>
            </w:tr>
            <w:tr w14:paraId="39E20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10892D2D">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2169" w:type="dxa"/>
                  <w:tcBorders>
                    <w:tl2br w:val="nil"/>
                    <w:tr2bl w:val="nil"/>
                  </w:tcBorders>
                  <w:shd w:val="clear" w:color="auto" w:fill="auto"/>
                  <w:vAlign w:val="center"/>
                </w:tcPr>
                <w:p w14:paraId="71FCBB9E">
                  <w:pPr>
                    <w:pStyle w:val="26"/>
                    <w:adjustRightInd w:val="0"/>
                    <w:spacing w:line="240" w:lineRule="auto"/>
                    <w:rPr>
                      <w:rFonts w:cs="Times New Roman"/>
                      <w:color w:val="auto"/>
                      <w:szCs w:val="21"/>
                    </w:rPr>
                  </w:pPr>
                  <w:r>
                    <w:rPr>
                      <w:rFonts w:hint="eastAsia" w:cs="Times New Roman"/>
                      <w:color w:val="auto"/>
                      <w:szCs w:val="21"/>
                    </w:rPr>
                    <w:t>万能试验机</w:t>
                  </w:r>
                </w:p>
              </w:tc>
              <w:tc>
                <w:tcPr>
                  <w:tcW w:w="2686" w:type="dxa"/>
                  <w:tcBorders>
                    <w:tl2br w:val="nil"/>
                    <w:tr2bl w:val="nil"/>
                  </w:tcBorders>
                  <w:shd w:val="clear" w:color="auto" w:fill="auto"/>
                  <w:vAlign w:val="center"/>
                </w:tcPr>
                <w:p w14:paraId="7CC5071F">
                  <w:pPr>
                    <w:pStyle w:val="26"/>
                    <w:adjustRightInd w:val="0"/>
                    <w:snapToGrid w:val="0"/>
                    <w:spacing w:line="240" w:lineRule="auto"/>
                    <w:rPr>
                      <w:rFonts w:cs="Times New Roman"/>
                      <w:color w:val="auto"/>
                      <w:szCs w:val="21"/>
                    </w:rPr>
                  </w:pPr>
                  <w:r>
                    <w:rPr>
                      <w:rFonts w:hint="eastAsia" w:cs="Times New Roman"/>
                      <w:color w:val="auto"/>
                      <w:szCs w:val="21"/>
                    </w:rPr>
                    <w:t>WA-1000B</w:t>
                  </w:r>
                </w:p>
              </w:tc>
              <w:tc>
                <w:tcPr>
                  <w:tcW w:w="720" w:type="dxa"/>
                  <w:tcBorders>
                    <w:tl2br w:val="nil"/>
                    <w:tr2bl w:val="nil"/>
                  </w:tcBorders>
                  <w:shd w:val="clear" w:color="auto" w:fill="auto"/>
                  <w:vAlign w:val="center"/>
                </w:tcPr>
                <w:p w14:paraId="12EF3FB6">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restart"/>
                  <w:tcBorders>
                    <w:tl2br w:val="nil"/>
                    <w:tr2bl w:val="nil"/>
                  </w:tcBorders>
                  <w:vAlign w:val="center"/>
                </w:tcPr>
                <w:p w14:paraId="74CF651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1层力学实验室</w:t>
                  </w:r>
                </w:p>
              </w:tc>
              <w:tc>
                <w:tcPr>
                  <w:tcW w:w="1141" w:type="dxa"/>
                  <w:tcBorders>
                    <w:tl2br w:val="nil"/>
                    <w:tr2bl w:val="nil"/>
                  </w:tcBorders>
                  <w:vAlign w:val="center"/>
                </w:tcPr>
                <w:p w14:paraId="3A8D2D0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混凝土抗压强度</w:t>
                  </w:r>
                </w:p>
              </w:tc>
            </w:tr>
            <w:tr w14:paraId="1E34F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4C2D1355">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169" w:type="dxa"/>
                  <w:tcBorders>
                    <w:tl2br w:val="nil"/>
                    <w:tr2bl w:val="nil"/>
                  </w:tcBorders>
                  <w:shd w:val="clear" w:color="auto" w:fill="auto"/>
                  <w:vAlign w:val="center"/>
                </w:tcPr>
                <w:p w14:paraId="4633008C">
                  <w:pPr>
                    <w:pStyle w:val="26"/>
                    <w:adjustRightInd w:val="0"/>
                    <w:spacing w:line="240" w:lineRule="auto"/>
                    <w:rPr>
                      <w:rFonts w:cs="Times New Roman"/>
                      <w:color w:val="auto"/>
                      <w:szCs w:val="21"/>
                    </w:rPr>
                  </w:pPr>
                  <w:r>
                    <w:rPr>
                      <w:rFonts w:hint="eastAsia" w:cs="Times New Roman"/>
                      <w:color w:val="auto"/>
                      <w:szCs w:val="21"/>
                    </w:rPr>
                    <w:t>脚手架扣件试验机</w:t>
                  </w:r>
                </w:p>
              </w:tc>
              <w:tc>
                <w:tcPr>
                  <w:tcW w:w="2686" w:type="dxa"/>
                  <w:tcBorders>
                    <w:tl2br w:val="nil"/>
                    <w:tr2bl w:val="nil"/>
                  </w:tcBorders>
                  <w:shd w:val="clear" w:color="auto" w:fill="auto"/>
                  <w:vAlign w:val="center"/>
                </w:tcPr>
                <w:p w14:paraId="13B228D7">
                  <w:pPr>
                    <w:pStyle w:val="26"/>
                    <w:adjustRightInd w:val="0"/>
                    <w:snapToGrid w:val="0"/>
                    <w:spacing w:line="240" w:lineRule="auto"/>
                    <w:rPr>
                      <w:rFonts w:cs="Times New Roman"/>
                      <w:color w:val="auto"/>
                      <w:szCs w:val="21"/>
                    </w:rPr>
                  </w:pPr>
                  <w:r>
                    <w:rPr>
                      <w:rFonts w:hint="eastAsia" w:cs="Times New Roman"/>
                      <w:color w:val="auto"/>
                      <w:szCs w:val="21"/>
                    </w:rPr>
                    <w:t>STM-200KN</w:t>
                  </w:r>
                </w:p>
              </w:tc>
              <w:tc>
                <w:tcPr>
                  <w:tcW w:w="720" w:type="dxa"/>
                  <w:tcBorders>
                    <w:tl2br w:val="nil"/>
                    <w:tr2bl w:val="nil"/>
                  </w:tcBorders>
                  <w:shd w:val="clear" w:color="auto" w:fill="auto"/>
                  <w:vAlign w:val="center"/>
                </w:tcPr>
                <w:p w14:paraId="03B45A19">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36F04DCD">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4DECA2C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扣件强度</w:t>
                  </w:r>
                </w:p>
              </w:tc>
            </w:tr>
            <w:tr w14:paraId="7B57D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27787BC">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2169" w:type="dxa"/>
                  <w:tcBorders>
                    <w:tl2br w:val="nil"/>
                    <w:tr2bl w:val="nil"/>
                  </w:tcBorders>
                  <w:shd w:val="clear" w:color="auto" w:fill="auto"/>
                  <w:vAlign w:val="center"/>
                </w:tcPr>
                <w:p w14:paraId="73E4747B">
                  <w:pPr>
                    <w:pStyle w:val="26"/>
                    <w:adjustRightInd w:val="0"/>
                    <w:spacing w:line="240" w:lineRule="auto"/>
                    <w:rPr>
                      <w:rFonts w:cs="Times New Roman"/>
                      <w:color w:val="auto"/>
                      <w:szCs w:val="21"/>
                    </w:rPr>
                  </w:pPr>
                  <w:r>
                    <w:rPr>
                      <w:rFonts w:hint="eastAsia" w:cs="Times New Roman"/>
                      <w:color w:val="auto"/>
                      <w:szCs w:val="21"/>
                    </w:rPr>
                    <w:t>微机控制电液伺服万能试验机</w:t>
                  </w:r>
                </w:p>
              </w:tc>
              <w:tc>
                <w:tcPr>
                  <w:tcW w:w="2686" w:type="dxa"/>
                  <w:tcBorders>
                    <w:tl2br w:val="nil"/>
                    <w:tr2bl w:val="nil"/>
                  </w:tcBorders>
                  <w:shd w:val="clear" w:color="auto" w:fill="auto"/>
                  <w:vAlign w:val="center"/>
                </w:tcPr>
                <w:p w14:paraId="740194AD">
                  <w:pPr>
                    <w:pStyle w:val="26"/>
                    <w:adjustRightInd w:val="0"/>
                    <w:snapToGrid w:val="0"/>
                    <w:spacing w:line="240" w:lineRule="auto"/>
                    <w:rPr>
                      <w:rFonts w:cs="Times New Roman"/>
                      <w:color w:val="auto"/>
                      <w:szCs w:val="21"/>
                    </w:rPr>
                  </w:pPr>
                  <w:r>
                    <w:rPr>
                      <w:rFonts w:hint="eastAsia" w:cs="Times New Roman"/>
                      <w:color w:val="auto"/>
                      <w:szCs w:val="21"/>
                    </w:rPr>
                    <w:t>MT81-1030</w:t>
                  </w:r>
                </w:p>
              </w:tc>
              <w:tc>
                <w:tcPr>
                  <w:tcW w:w="720" w:type="dxa"/>
                  <w:tcBorders>
                    <w:tl2br w:val="nil"/>
                    <w:tr2bl w:val="nil"/>
                  </w:tcBorders>
                  <w:shd w:val="clear" w:color="auto" w:fill="auto"/>
                  <w:vAlign w:val="center"/>
                </w:tcPr>
                <w:p w14:paraId="486FE8D5">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27EE53FC">
                  <w:pPr>
                    <w:adjustRightInd w:val="0"/>
                    <w:snapToGrid w:val="0"/>
                    <w:spacing w:line="240" w:lineRule="auto"/>
                    <w:ind w:firstLine="0" w:firstLineChars="0"/>
                    <w:jc w:val="center"/>
                    <w:rPr>
                      <w:rFonts w:cs="Times New Roman"/>
                      <w:color w:val="auto"/>
                      <w:sz w:val="21"/>
                      <w:szCs w:val="21"/>
                    </w:rPr>
                  </w:pPr>
                </w:p>
              </w:tc>
              <w:tc>
                <w:tcPr>
                  <w:tcW w:w="1141" w:type="dxa"/>
                  <w:vMerge w:val="restart"/>
                  <w:tcBorders>
                    <w:tl2br w:val="nil"/>
                    <w:tr2bl w:val="nil"/>
                  </w:tcBorders>
                  <w:vAlign w:val="center"/>
                </w:tcPr>
                <w:p w14:paraId="28B80520">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钢筋拉伸强度</w:t>
                  </w:r>
                </w:p>
              </w:tc>
            </w:tr>
            <w:tr w14:paraId="26D8F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649E88A1">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2169" w:type="dxa"/>
                  <w:tcBorders>
                    <w:tl2br w:val="nil"/>
                    <w:tr2bl w:val="nil"/>
                  </w:tcBorders>
                  <w:shd w:val="clear" w:color="auto" w:fill="auto"/>
                  <w:vAlign w:val="center"/>
                </w:tcPr>
                <w:p w14:paraId="5C7D8700">
                  <w:pPr>
                    <w:pStyle w:val="26"/>
                    <w:adjustRightInd w:val="0"/>
                    <w:spacing w:line="240" w:lineRule="auto"/>
                    <w:rPr>
                      <w:rFonts w:cs="Times New Roman"/>
                      <w:color w:val="auto"/>
                      <w:szCs w:val="21"/>
                    </w:rPr>
                  </w:pPr>
                  <w:r>
                    <w:rPr>
                      <w:rFonts w:hint="eastAsia" w:cs="Times New Roman"/>
                      <w:color w:val="auto"/>
                      <w:szCs w:val="21"/>
                    </w:rPr>
                    <w:t>微机控制电液伺服压力试验机</w:t>
                  </w:r>
                </w:p>
              </w:tc>
              <w:tc>
                <w:tcPr>
                  <w:tcW w:w="2686" w:type="dxa"/>
                  <w:tcBorders>
                    <w:tl2br w:val="nil"/>
                    <w:tr2bl w:val="nil"/>
                  </w:tcBorders>
                  <w:shd w:val="clear" w:color="auto" w:fill="auto"/>
                  <w:vAlign w:val="center"/>
                </w:tcPr>
                <w:p w14:paraId="2C79B481">
                  <w:pPr>
                    <w:pStyle w:val="26"/>
                    <w:adjustRightInd w:val="0"/>
                    <w:snapToGrid w:val="0"/>
                    <w:spacing w:line="240" w:lineRule="auto"/>
                    <w:rPr>
                      <w:rFonts w:cs="Times New Roman"/>
                      <w:color w:val="auto"/>
                      <w:szCs w:val="21"/>
                    </w:rPr>
                  </w:pPr>
                  <w:r>
                    <w:rPr>
                      <w:rFonts w:hint="eastAsia" w:cs="Times New Roman"/>
                      <w:color w:val="auto"/>
                      <w:szCs w:val="21"/>
                    </w:rPr>
                    <w:t>YAW4306</w:t>
                  </w:r>
                </w:p>
              </w:tc>
              <w:tc>
                <w:tcPr>
                  <w:tcW w:w="720" w:type="dxa"/>
                  <w:tcBorders>
                    <w:tl2br w:val="nil"/>
                    <w:tr2bl w:val="nil"/>
                  </w:tcBorders>
                  <w:shd w:val="clear" w:color="auto" w:fill="auto"/>
                  <w:vAlign w:val="center"/>
                </w:tcPr>
                <w:p w14:paraId="010690D2">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06E394AF">
                  <w:pPr>
                    <w:adjustRightInd w:val="0"/>
                    <w:snapToGrid w:val="0"/>
                    <w:spacing w:line="240" w:lineRule="auto"/>
                    <w:ind w:firstLine="0" w:firstLineChars="0"/>
                    <w:jc w:val="center"/>
                    <w:rPr>
                      <w:rFonts w:cs="Times New Roman"/>
                      <w:color w:val="auto"/>
                      <w:sz w:val="21"/>
                      <w:szCs w:val="21"/>
                    </w:rPr>
                  </w:pPr>
                </w:p>
              </w:tc>
              <w:tc>
                <w:tcPr>
                  <w:tcW w:w="1141" w:type="dxa"/>
                  <w:vMerge w:val="continue"/>
                  <w:tcBorders>
                    <w:tl2br w:val="nil"/>
                    <w:tr2bl w:val="nil"/>
                  </w:tcBorders>
                  <w:vAlign w:val="center"/>
                </w:tcPr>
                <w:p w14:paraId="2A0CCB6F">
                  <w:pPr>
                    <w:adjustRightInd w:val="0"/>
                    <w:snapToGrid w:val="0"/>
                    <w:spacing w:line="240" w:lineRule="auto"/>
                    <w:ind w:firstLine="0" w:firstLineChars="0"/>
                    <w:jc w:val="center"/>
                    <w:rPr>
                      <w:rFonts w:cs="Times New Roman"/>
                      <w:color w:val="auto"/>
                      <w:sz w:val="21"/>
                      <w:szCs w:val="21"/>
                    </w:rPr>
                  </w:pPr>
                </w:p>
              </w:tc>
            </w:tr>
            <w:tr w14:paraId="6B2DAF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7FF3C334">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2169" w:type="dxa"/>
                  <w:tcBorders>
                    <w:tl2br w:val="nil"/>
                    <w:tr2bl w:val="nil"/>
                  </w:tcBorders>
                  <w:shd w:val="clear" w:color="auto" w:fill="auto"/>
                  <w:vAlign w:val="center"/>
                </w:tcPr>
                <w:p w14:paraId="702EB268">
                  <w:pPr>
                    <w:pStyle w:val="26"/>
                    <w:adjustRightInd w:val="0"/>
                    <w:spacing w:line="240" w:lineRule="auto"/>
                    <w:rPr>
                      <w:rFonts w:cs="Times New Roman"/>
                      <w:color w:val="auto"/>
                      <w:szCs w:val="21"/>
                    </w:rPr>
                  </w:pPr>
                  <w:r>
                    <w:rPr>
                      <w:rFonts w:hint="eastAsia" w:cs="Times New Roman"/>
                      <w:color w:val="auto"/>
                      <w:szCs w:val="21"/>
                    </w:rPr>
                    <w:t>微机控制电液伺服万能试验机</w:t>
                  </w:r>
                </w:p>
              </w:tc>
              <w:tc>
                <w:tcPr>
                  <w:tcW w:w="2686" w:type="dxa"/>
                  <w:tcBorders>
                    <w:tl2br w:val="nil"/>
                    <w:tr2bl w:val="nil"/>
                  </w:tcBorders>
                  <w:shd w:val="clear" w:color="auto" w:fill="auto"/>
                  <w:vAlign w:val="center"/>
                </w:tcPr>
                <w:p w14:paraId="695B0364">
                  <w:pPr>
                    <w:pStyle w:val="26"/>
                    <w:adjustRightInd w:val="0"/>
                    <w:snapToGrid w:val="0"/>
                    <w:spacing w:line="240" w:lineRule="auto"/>
                    <w:rPr>
                      <w:rFonts w:cs="Times New Roman"/>
                      <w:color w:val="auto"/>
                      <w:szCs w:val="21"/>
                    </w:rPr>
                  </w:pPr>
                  <w:r>
                    <w:rPr>
                      <w:rFonts w:hint="eastAsia" w:cs="Times New Roman"/>
                      <w:color w:val="auto"/>
                      <w:szCs w:val="21"/>
                    </w:rPr>
                    <w:t>SHT4106</w:t>
                  </w:r>
                  <w:r>
                    <w:rPr>
                      <w:rFonts w:hint="eastAsia" w:cs="Times New Roman"/>
                      <w:color w:val="auto"/>
                      <w:szCs w:val="21"/>
                      <w:lang w:val="en-US" w:eastAsia="zh-CN"/>
                    </w:rPr>
                    <w:t>-</w:t>
                  </w:r>
                  <w:r>
                    <w:rPr>
                      <w:rFonts w:hint="eastAsia" w:cs="Times New Roman"/>
                      <w:color w:val="auto"/>
                      <w:szCs w:val="21"/>
                    </w:rPr>
                    <w:t>G</w:t>
                  </w:r>
                </w:p>
              </w:tc>
              <w:tc>
                <w:tcPr>
                  <w:tcW w:w="720" w:type="dxa"/>
                  <w:tcBorders>
                    <w:tl2br w:val="nil"/>
                    <w:tr2bl w:val="nil"/>
                  </w:tcBorders>
                  <w:shd w:val="clear" w:color="auto" w:fill="auto"/>
                  <w:vAlign w:val="center"/>
                </w:tcPr>
                <w:p w14:paraId="4019AA1D">
                  <w:pPr>
                    <w:pStyle w:val="26"/>
                    <w:adjustRightInd w:val="0"/>
                    <w:spacing w:line="240" w:lineRule="auto"/>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74CC9AB2">
                  <w:pPr>
                    <w:adjustRightInd w:val="0"/>
                    <w:snapToGrid w:val="0"/>
                    <w:spacing w:line="240" w:lineRule="auto"/>
                    <w:ind w:firstLine="0" w:firstLineChars="0"/>
                    <w:jc w:val="center"/>
                    <w:rPr>
                      <w:rFonts w:cs="Times New Roman"/>
                      <w:color w:val="auto"/>
                      <w:sz w:val="21"/>
                      <w:szCs w:val="21"/>
                    </w:rPr>
                  </w:pPr>
                </w:p>
              </w:tc>
              <w:tc>
                <w:tcPr>
                  <w:tcW w:w="1141" w:type="dxa"/>
                  <w:vMerge w:val="continue"/>
                  <w:tcBorders>
                    <w:tl2br w:val="nil"/>
                    <w:tr2bl w:val="nil"/>
                  </w:tcBorders>
                  <w:vAlign w:val="center"/>
                </w:tcPr>
                <w:p w14:paraId="41B38D5E">
                  <w:pPr>
                    <w:adjustRightInd w:val="0"/>
                    <w:snapToGrid w:val="0"/>
                    <w:spacing w:line="240" w:lineRule="auto"/>
                    <w:ind w:firstLine="0" w:firstLineChars="0"/>
                    <w:jc w:val="center"/>
                    <w:rPr>
                      <w:rFonts w:cs="Times New Roman"/>
                      <w:color w:val="auto"/>
                      <w:sz w:val="21"/>
                      <w:szCs w:val="21"/>
                    </w:rPr>
                  </w:pPr>
                </w:p>
              </w:tc>
            </w:tr>
            <w:tr w14:paraId="7C26BB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D0CC73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16</w:t>
                  </w:r>
                </w:p>
              </w:tc>
              <w:tc>
                <w:tcPr>
                  <w:tcW w:w="2169" w:type="dxa"/>
                  <w:tcBorders>
                    <w:tl2br w:val="nil"/>
                    <w:tr2bl w:val="nil"/>
                  </w:tcBorders>
                  <w:shd w:val="clear" w:color="auto" w:fill="auto"/>
                  <w:vAlign w:val="center"/>
                </w:tcPr>
                <w:p w14:paraId="7AF2E0E2">
                  <w:pPr>
                    <w:pStyle w:val="26"/>
                    <w:adjustRightInd w:val="0"/>
                    <w:spacing w:line="240" w:lineRule="auto"/>
                    <w:rPr>
                      <w:rFonts w:cs="Times New Roman"/>
                      <w:color w:val="auto"/>
                      <w:szCs w:val="21"/>
                    </w:rPr>
                  </w:pPr>
                  <w:r>
                    <w:rPr>
                      <w:rFonts w:hint="eastAsia" w:cs="Times New Roman"/>
                      <w:color w:val="auto"/>
                      <w:szCs w:val="21"/>
                    </w:rPr>
                    <w:t>门窗保温性能试验机</w:t>
                  </w:r>
                </w:p>
              </w:tc>
              <w:tc>
                <w:tcPr>
                  <w:tcW w:w="2686" w:type="dxa"/>
                  <w:tcBorders>
                    <w:tl2br w:val="nil"/>
                    <w:tr2bl w:val="nil"/>
                  </w:tcBorders>
                  <w:shd w:val="clear" w:color="auto" w:fill="auto"/>
                  <w:vAlign w:val="center"/>
                </w:tcPr>
                <w:p w14:paraId="2D2CCB87">
                  <w:pPr>
                    <w:pStyle w:val="26"/>
                    <w:adjustRightInd w:val="0"/>
                    <w:snapToGrid w:val="0"/>
                    <w:spacing w:line="240" w:lineRule="auto"/>
                    <w:rPr>
                      <w:rFonts w:cs="Times New Roman"/>
                      <w:color w:val="auto"/>
                      <w:szCs w:val="21"/>
                    </w:rPr>
                  </w:pPr>
                  <w:r>
                    <w:rPr>
                      <w:rFonts w:hint="eastAsia" w:cs="Times New Roman"/>
                      <w:color w:val="auto"/>
                      <w:szCs w:val="21"/>
                    </w:rPr>
                    <w:t>MW-BD1824</w:t>
                  </w:r>
                </w:p>
              </w:tc>
              <w:tc>
                <w:tcPr>
                  <w:tcW w:w="720" w:type="dxa"/>
                  <w:tcBorders>
                    <w:tl2br w:val="nil"/>
                    <w:tr2bl w:val="nil"/>
                  </w:tcBorders>
                  <w:shd w:val="clear" w:color="auto" w:fill="auto"/>
                  <w:vAlign w:val="center"/>
                </w:tcPr>
                <w:p w14:paraId="46D9984E">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1台</w:t>
                  </w:r>
                </w:p>
              </w:tc>
              <w:tc>
                <w:tcPr>
                  <w:tcW w:w="855" w:type="dxa"/>
                  <w:vMerge w:val="restart"/>
                  <w:tcBorders>
                    <w:tl2br w:val="nil"/>
                    <w:tr2bl w:val="nil"/>
                  </w:tcBorders>
                  <w:vAlign w:val="center"/>
                </w:tcPr>
                <w:p w14:paraId="004C13A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1层门窗实验室</w:t>
                  </w:r>
                </w:p>
              </w:tc>
              <w:tc>
                <w:tcPr>
                  <w:tcW w:w="1141" w:type="dxa"/>
                  <w:vMerge w:val="restart"/>
                  <w:tcBorders>
                    <w:tl2br w:val="nil"/>
                    <w:tr2bl w:val="nil"/>
                  </w:tcBorders>
                  <w:vAlign w:val="center"/>
                </w:tcPr>
                <w:p w14:paraId="0A81444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门窗性能检测</w:t>
                  </w:r>
                </w:p>
              </w:tc>
            </w:tr>
            <w:tr w14:paraId="7665DB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6850BAD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17</w:t>
                  </w:r>
                </w:p>
              </w:tc>
              <w:tc>
                <w:tcPr>
                  <w:tcW w:w="2169" w:type="dxa"/>
                  <w:tcBorders>
                    <w:tl2br w:val="nil"/>
                    <w:tr2bl w:val="nil"/>
                  </w:tcBorders>
                  <w:shd w:val="clear" w:color="auto" w:fill="auto"/>
                  <w:vAlign w:val="center"/>
                </w:tcPr>
                <w:p w14:paraId="709CDCC4">
                  <w:pPr>
                    <w:pStyle w:val="26"/>
                    <w:adjustRightInd w:val="0"/>
                    <w:spacing w:line="240" w:lineRule="auto"/>
                    <w:rPr>
                      <w:rFonts w:cs="Times New Roman"/>
                      <w:color w:val="auto"/>
                      <w:szCs w:val="21"/>
                    </w:rPr>
                  </w:pPr>
                  <w:r>
                    <w:rPr>
                      <w:rFonts w:hint="eastAsia" w:cs="Times New Roman"/>
                      <w:color w:val="auto"/>
                      <w:szCs w:val="21"/>
                    </w:rPr>
                    <w:t>门窗物理性能检测仪</w:t>
                  </w:r>
                </w:p>
              </w:tc>
              <w:tc>
                <w:tcPr>
                  <w:tcW w:w="2686" w:type="dxa"/>
                  <w:tcBorders>
                    <w:tl2br w:val="nil"/>
                    <w:tr2bl w:val="nil"/>
                  </w:tcBorders>
                  <w:shd w:val="clear" w:color="auto" w:fill="auto"/>
                  <w:vAlign w:val="center"/>
                </w:tcPr>
                <w:p w14:paraId="0486BA6D">
                  <w:pPr>
                    <w:pStyle w:val="26"/>
                    <w:adjustRightInd w:val="0"/>
                    <w:snapToGrid w:val="0"/>
                    <w:spacing w:line="240" w:lineRule="auto"/>
                    <w:rPr>
                      <w:rFonts w:cs="Times New Roman"/>
                      <w:color w:val="auto"/>
                      <w:szCs w:val="21"/>
                    </w:rPr>
                  </w:pPr>
                  <w:r>
                    <w:rPr>
                      <w:rFonts w:hint="eastAsia" w:cs="Times New Roman"/>
                      <w:color w:val="auto"/>
                      <w:szCs w:val="21"/>
                    </w:rPr>
                    <w:t>IMMCS-2024X</w:t>
                  </w:r>
                </w:p>
              </w:tc>
              <w:tc>
                <w:tcPr>
                  <w:tcW w:w="720" w:type="dxa"/>
                  <w:tcBorders>
                    <w:tl2br w:val="nil"/>
                    <w:tr2bl w:val="nil"/>
                  </w:tcBorders>
                  <w:shd w:val="clear" w:color="auto" w:fill="auto"/>
                  <w:vAlign w:val="center"/>
                </w:tcPr>
                <w:p w14:paraId="05C6B548">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2台</w:t>
                  </w:r>
                </w:p>
              </w:tc>
              <w:tc>
                <w:tcPr>
                  <w:tcW w:w="855" w:type="dxa"/>
                  <w:vMerge w:val="continue"/>
                  <w:tcBorders>
                    <w:tl2br w:val="nil"/>
                    <w:tr2bl w:val="nil"/>
                  </w:tcBorders>
                  <w:vAlign w:val="center"/>
                </w:tcPr>
                <w:p w14:paraId="76ADBBB7">
                  <w:pPr>
                    <w:adjustRightInd w:val="0"/>
                    <w:snapToGrid w:val="0"/>
                    <w:spacing w:line="240" w:lineRule="auto"/>
                    <w:ind w:firstLine="0" w:firstLineChars="0"/>
                    <w:jc w:val="center"/>
                    <w:rPr>
                      <w:rFonts w:cs="Times New Roman"/>
                      <w:color w:val="auto"/>
                      <w:sz w:val="21"/>
                      <w:szCs w:val="21"/>
                    </w:rPr>
                  </w:pPr>
                </w:p>
              </w:tc>
              <w:tc>
                <w:tcPr>
                  <w:tcW w:w="1141" w:type="dxa"/>
                  <w:vMerge w:val="continue"/>
                  <w:tcBorders>
                    <w:tl2br w:val="nil"/>
                    <w:tr2bl w:val="nil"/>
                  </w:tcBorders>
                  <w:vAlign w:val="center"/>
                </w:tcPr>
                <w:p w14:paraId="325F2B82">
                  <w:pPr>
                    <w:adjustRightInd w:val="0"/>
                    <w:snapToGrid w:val="0"/>
                    <w:spacing w:line="240" w:lineRule="auto"/>
                    <w:ind w:firstLine="0" w:firstLineChars="0"/>
                    <w:jc w:val="center"/>
                    <w:rPr>
                      <w:rFonts w:cs="Times New Roman"/>
                      <w:color w:val="auto"/>
                      <w:sz w:val="21"/>
                      <w:szCs w:val="21"/>
                    </w:rPr>
                  </w:pPr>
                </w:p>
              </w:tc>
            </w:tr>
            <w:tr w14:paraId="78ED29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694E62F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18</w:t>
                  </w:r>
                </w:p>
              </w:tc>
              <w:tc>
                <w:tcPr>
                  <w:tcW w:w="2169" w:type="dxa"/>
                  <w:tcBorders>
                    <w:tl2br w:val="nil"/>
                    <w:tr2bl w:val="nil"/>
                  </w:tcBorders>
                  <w:shd w:val="clear" w:color="auto" w:fill="auto"/>
                  <w:vAlign w:val="center"/>
                </w:tcPr>
                <w:p w14:paraId="178421AB">
                  <w:pPr>
                    <w:pStyle w:val="26"/>
                    <w:adjustRightInd w:val="0"/>
                    <w:spacing w:line="240" w:lineRule="auto"/>
                    <w:rPr>
                      <w:rFonts w:cs="Times New Roman"/>
                      <w:color w:val="auto"/>
                      <w:szCs w:val="21"/>
                    </w:rPr>
                  </w:pPr>
                  <w:r>
                    <w:rPr>
                      <w:rFonts w:hint="eastAsia" w:cs="Times New Roman"/>
                      <w:color w:val="auto"/>
                      <w:szCs w:val="21"/>
                    </w:rPr>
                    <w:t>智能型稳态热传递性质测定系统</w:t>
                  </w:r>
                </w:p>
              </w:tc>
              <w:tc>
                <w:tcPr>
                  <w:tcW w:w="2686" w:type="dxa"/>
                  <w:tcBorders>
                    <w:tl2br w:val="nil"/>
                    <w:tr2bl w:val="nil"/>
                  </w:tcBorders>
                  <w:shd w:val="clear" w:color="auto" w:fill="auto"/>
                  <w:vAlign w:val="center"/>
                </w:tcPr>
                <w:p w14:paraId="482A6626">
                  <w:pPr>
                    <w:pStyle w:val="26"/>
                    <w:adjustRightInd w:val="0"/>
                    <w:snapToGrid w:val="0"/>
                    <w:spacing w:line="240" w:lineRule="auto"/>
                    <w:rPr>
                      <w:rFonts w:cs="Times New Roman"/>
                      <w:color w:val="auto"/>
                      <w:szCs w:val="21"/>
                    </w:rPr>
                  </w:pPr>
                  <w:r>
                    <w:rPr>
                      <w:rFonts w:hint="eastAsia" w:cs="Times New Roman"/>
                      <w:color w:val="auto"/>
                      <w:szCs w:val="21"/>
                    </w:rPr>
                    <w:t>IMWT-1515</w:t>
                  </w:r>
                </w:p>
              </w:tc>
              <w:tc>
                <w:tcPr>
                  <w:tcW w:w="720" w:type="dxa"/>
                  <w:tcBorders>
                    <w:tl2br w:val="nil"/>
                    <w:tr2bl w:val="nil"/>
                  </w:tcBorders>
                  <w:shd w:val="clear" w:color="auto" w:fill="auto"/>
                  <w:vAlign w:val="center"/>
                </w:tcPr>
                <w:p w14:paraId="05D59984">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1台</w:t>
                  </w:r>
                </w:p>
              </w:tc>
              <w:tc>
                <w:tcPr>
                  <w:tcW w:w="855" w:type="dxa"/>
                  <w:vMerge w:val="continue"/>
                  <w:tcBorders>
                    <w:tl2br w:val="nil"/>
                    <w:tr2bl w:val="nil"/>
                  </w:tcBorders>
                  <w:vAlign w:val="center"/>
                </w:tcPr>
                <w:p w14:paraId="6F872247">
                  <w:pPr>
                    <w:adjustRightInd w:val="0"/>
                    <w:snapToGrid w:val="0"/>
                    <w:spacing w:line="240" w:lineRule="auto"/>
                    <w:ind w:firstLine="0" w:firstLineChars="0"/>
                    <w:jc w:val="center"/>
                    <w:rPr>
                      <w:rFonts w:cs="Times New Roman"/>
                      <w:color w:val="auto"/>
                      <w:sz w:val="21"/>
                      <w:szCs w:val="21"/>
                    </w:rPr>
                  </w:pPr>
                </w:p>
              </w:tc>
              <w:tc>
                <w:tcPr>
                  <w:tcW w:w="1141" w:type="dxa"/>
                  <w:vMerge w:val="continue"/>
                  <w:tcBorders>
                    <w:tl2br w:val="nil"/>
                    <w:tr2bl w:val="nil"/>
                  </w:tcBorders>
                  <w:vAlign w:val="center"/>
                </w:tcPr>
                <w:p w14:paraId="15F43CC0">
                  <w:pPr>
                    <w:adjustRightInd w:val="0"/>
                    <w:snapToGrid w:val="0"/>
                    <w:spacing w:line="240" w:lineRule="auto"/>
                    <w:ind w:firstLine="0" w:firstLineChars="0"/>
                    <w:jc w:val="center"/>
                    <w:rPr>
                      <w:rFonts w:cs="Times New Roman"/>
                      <w:color w:val="auto"/>
                      <w:sz w:val="21"/>
                      <w:szCs w:val="21"/>
                    </w:rPr>
                  </w:pPr>
                </w:p>
              </w:tc>
            </w:tr>
            <w:tr w14:paraId="740F01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18B6F5D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19</w:t>
                  </w:r>
                </w:p>
              </w:tc>
              <w:tc>
                <w:tcPr>
                  <w:tcW w:w="2169" w:type="dxa"/>
                  <w:tcBorders>
                    <w:tl2br w:val="nil"/>
                    <w:tr2bl w:val="nil"/>
                  </w:tcBorders>
                  <w:shd w:val="clear" w:color="auto" w:fill="auto"/>
                  <w:vAlign w:val="center"/>
                </w:tcPr>
                <w:p w14:paraId="2DAB08B9">
                  <w:pPr>
                    <w:pStyle w:val="26"/>
                    <w:adjustRightInd w:val="0"/>
                    <w:spacing w:line="240" w:lineRule="auto"/>
                    <w:rPr>
                      <w:rFonts w:cs="Times New Roman"/>
                      <w:color w:val="auto"/>
                      <w:szCs w:val="21"/>
                    </w:rPr>
                  </w:pPr>
                  <w:r>
                    <w:rPr>
                      <w:rFonts w:hint="eastAsia" w:cs="Times New Roman"/>
                      <w:color w:val="auto"/>
                      <w:szCs w:val="21"/>
                    </w:rPr>
                    <w:t>电子万能试验机</w:t>
                  </w:r>
                </w:p>
              </w:tc>
              <w:tc>
                <w:tcPr>
                  <w:tcW w:w="2686" w:type="dxa"/>
                  <w:tcBorders>
                    <w:tl2br w:val="nil"/>
                    <w:tr2bl w:val="nil"/>
                  </w:tcBorders>
                  <w:shd w:val="clear" w:color="auto" w:fill="auto"/>
                  <w:vAlign w:val="center"/>
                </w:tcPr>
                <w:p w14:paraId="59FD5571">
                  <w:pPr>
                    <w:pStyle w:val="26"/>
                    <w:adjustRightInd w:val="0"/>
                    <w:snapToGrid w:val="0"/>
                    <w:spacing w:line="240" w:lineRule="auto"/>
                    <w:rPr>
                      <w:rFonts w:cs="Times New Roman"/>
                      <w:color w:val="auto"/>
                      <w:szCs w:val="21"/>
                    </w:rPr>
                  </w:pPr>
                  <w:r>
                    <w:rPr>
                      <w:rFonts w:hint="eastAsia" w:cs="Times New Roman"/>
                      <w:color w:val="auto"/>
                      <w:szCs w:val="21"/>
                    </w:rPr>
                    <w:t>WDT-W-20kN</w:t>
                  </w:r>
                </w:p>
              </w:tc>
              <w:tc>
                <w:tcPr>
                  <w:tcW w:w="720" w:type="dxa"/>
                  <w:tcBorders>
                    <w:tl2br w:val="nil"/>
                    <w:tr2bl w:val="nil"/>
                  </w:tcBorders>
                  <w:shd w:val="clear" w:color="auto" w:fill="auto"/>
                  <w:vAlign w:val="center"/>
                </w:tcPr>
                <w:p w14:paraId="74800943">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restart"/>
                  <w:tcBorders>
                    <w:tl2br w:val="nil"/>
                    <w:tr2bl w:val="nil"/>
                  </w:tcBorders>
                  <w:vAlign w:val="center"/>
                </w:tcPr>
                <w:p w14:paraId="14E5B971">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2</w:t>
                  </w:r>
                  <w:r>
                    <w:rPr>
                      <w:rFonts w:hint="eastAsia" w:cs="Times New Roman"/>
                      <w:color w:val="auto"/>
                      <w:sz w:val="21"/>
                      <w:szCs w:val="21"/>
                    </w:rPr>
                    <w:t>层管材</w:t>
                  </w:r>
                  <w:r>
                    <w:rPr>
                      <w:rFonts w:hint="eastAsia" w:cs="Times New Roman"/>
                      <w:color w:val="auto"/>
                      <w:sz w:val="21"/>
                      <w:szCs w:val="21"/>
                      <w:lang w:val="en-US" w:eastAsia="zh-CN"/>
                    </w:rPr>
                    <w:t>实验室</w:t>
                  </w:r>
                </w:p>
              </w:tc>
              <w:tc>
                <w:tcPr>
                  <w:tcW w:w="1141" w:type="dxa"/>
                  <w:tcBorders>
                    <w:tl2br w:val="nil"/>
                    <w:tr2bl w:val="nil"/>
                  </w:tcBorders>
                  <w:vAlign w:val="center"/>
                </w:tcPr>
                <w:p w14:paraId="1684552E">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拉伸试验</w:t>
                  </w:r>
                </w:p>
              </w:tc>
            </w:tr>
            <w:tr w14:paraId="6040D9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621723C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2169" w:type="dxa"/>
                  <w:tcBorders>
                    <w:tl2br w:val="nil"/>
                    <w:tr2bl w:val="nil"/>
                  </w:tcBorders>
                  <w:shd w:val="clear" w:color="auto" w:fill="auto"/>
                  <w:vAlign w:val="center"/>
                </w:tcPr>
                <w:p w14:paraId="15785D0A">
                  <w:pPr>
                    <w:pStyle w:val="26"/>
                    <w:adjustRightInd w:val="0"/>
                    <w:spacing w:line="240" w:lineRule="auto"/>
                    <w:rPr>
                      <w:rFonts w:cs="Times New Roman"/>
                      <w:color w:val="auto"/>
                      <w:szCs w:val="21"/>
                    </w:rPr>
                  </w:pPr>
                  <w:r>
                    <w:rPr>
                      <w:rFonts w:hint="eastAsia" w:cs="Times New Roman"/>
                      <w:color w:val="auto"/>
                      <w:szCs w:val="21"/>
                    </w:rPr>
                    <w:t>管材耐压爆破试验机</w:t>
                  </w:r>
                </w:p>
              </w:tc>
              <w:tc>
                <w:tcPr>
                  <w:tcW w:w="2686" w:type="dxa"/>
                  <w:tcBorders>
                    <w:tl2br w:val="nil"/>
                    <w:tr2bl w:val="nil"/>
                  </w:tcBorders>
                  <w:shd w:val="clear" w:color="auto" w:fill="auto"/>
                  <w:vAlign w:val="center"/>
                </w:tcPr>
                <w:p w14:paraId="1CF67863">
                  <w:pPr>
                    <w:pStyle w:val="26"/>
                    <w:adjustRightInd w:val="0"/>
                    <w:snapToGrid w:val="0"/>
                    <w:spacing w:line="240" w:lineRule="auto"/>
                    <w:rPr>
                      <w:rFonts w:cs="Times New Roman"/>
                      <w:color w:val="auto"/>
                      <w:szCs w:val="21"/>
                    </w:rPr>
                  </w:pPr>
                  <w:r>
                    <w:rPr>
                      <w:rFonts w:hint="eastAsia" w:cs="Times New Roman"/>
                      <w:color w:val="auto"/>
                      <w:szCs w:val="21"/>
                    </w:rPr>
                    <w:t>XGNB-N-B</w:t>
                  </w:r>
                </w:p>
              </w:tc>
              <w:tc>
                <w:tcPr>
                  <w:tcW w:w="720" w:type="dxa"/>
                  <w:tcBorders>
                    <w:tl2br w:val="nil"/>
                    <w:tr2bl w:val="nil"/>
                  </w:tcBorders>
                  <w:shd w:val="clear" w:color="auto" w:fill="auto"/>
                  <w:vAlign w:val="center"/>
                </w:tcPr>
                <w:p w14:paraId="44B57ED1">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6654BF8A">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581D0CDC">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静液压试验</w:t>
                  </w:r>
                </w:p>
              </w:tc>
            </w:tr>
            <w:tr w14:paraId="0C1A3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7ADCA57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21</w:t>
                  </w:r>
                </w:p>
              </w:tc>
              <w:tc>
                <w:tcPr>
                  <w:tcW w:w="2169" w:type="dxa"/>
                  <w:tcBorders>
                    <w:tl2br w:val="nil"/>
                    <w:tr2bl w:val="nil"/>
                  </w:tcBorders>
                  <w:shd w:val="clear" w:color="auto" w:fill="auto"/>
                  <w:vAlign w:val="center"/>
                </w:tcPr>
                <w:p w14:paraId="0307B90B">
                  <w:pPr>
                    <w:pStyle w:val="26"/>
                    <w:adjustRightInd w:val="0"/>
                    <w:spacing w:line="240" w:lineRule="auto"/>
                    <w:rPr>
                      <w:rFonts w:cs="Times New Roman"/>
                      <w:color w:val="auto"/>
                      <w:szCs w:val="21"/>
                    </w:rPr>
                  </w:pPr>
                  <w:r>
                    <w:rPr>
                      <w:rFonts w:hint="eastAsia" w:cs="Times New Roman"/>
                      <w:color w:val="auto"/>
                      <w:szCs w:val="21"/>
                    </w:rPr>
                    <w:t>落锤冲击试验机</w:t>
                  </w:r>
                </w:p>
              </w:tc>
              <w:tc>
                <w:tcPr>
                  <w:tcW w:w="2686" w:type="dxa"/>
                  <w:tcBorders>
                    <w:tl2br w:val="nil"/>
                    <w:tr2bl w:val="nil"/>
                  </w:tcBorders>
                  <w:shd w:val="clear" w:color="auto" w:fill="auto"/>
                  <w:vAlign w:val="center"/>
                </w:tcPr>
                <w:p w14:paraId="78114A5E">
                  <w:pPr>
                    <w:pStyle w:val="26"/>
                    <w:adjustRightInd w:val="0"/>
                    <w:snapToGrid w:val="0"/>
                    <w:spacing w:line="240" w:lineRule="auto"/>
                    <w:rPr>
                      <w:rFonts w:cs="Times New Roman"/>
                      <w:color w:val="auto"/>
                      <w:szCs w:val="21"/>
                    </w:rPr>
                  </w:pPr>
                  <w:r>
                    <w:rPr>
                      <w:rFonts w:hint="eastAsia" w:cs="Times New Roman"/>
                      <w:color w:val="auto"/>
                      <w:szCs w:val="21"/>
                    </w:rPr>
                    <w:t>LC-300B</w:t>
                  </w:r>
                </w:p>
              </w:tc>
              <w:tc>
                <w:tcPr>
                  <w:tcW w:w="720" w:type="dxa"/>
                  <w:tcBorders>
                    <w:tl2br w:val="nil"/>
                    <w:tr2bl w:val="nil"/>
                  </w:tcBorders>
                  <w:shd w:val="clear" w:color="auto" w:fill="auto"/>
                  <w:vAlign w:val="center"/>
                </w:tcPr>
                <w:p w14:paraId="2C67BFF0">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continue"/>
                  <w:tcBorders>
                    <w:tl2br w:val="nil"/>
                    <w:tr2bl w:val="nil"/>
                  </w:tcBorders>
                  <w:vAlign w:val="center"/>
                </w:tcPr>
                <w:p w14:paraId="0061B269">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63AD3FCA">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冲击试验</w:t>
                  </w:r>
                </w:p>
              </w:tc>
            </w:tr>
            <w:tr w14:paraId="31359E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03958D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22</w:t>
                  </w:r>
                </w:p>
              </w:tc>
              <w:tc>
                <w:tcPr>
                  <w:tcW w:w="2169" w:type="dxa"/>
                  <w:tcBorders>
                    <w:tl2br w:val="nil"/>
                    <w:tr2bl w:val="nil"/>
                  </w:tcBorders>
                  <w:shd w:val="clear" w:color="auto" w:fill="auto"/>
                  <w:vAlign w:val="center"/>
                </w:tcPr>
                <w:p w14:paraId="13429FA5">
                  <w:pPr>
                    <w:pStyle w:val="26"/>
                    <w:adjustRightInd w:val="0"/>
                    <w:spacing w:line="240" w:lineRule="auto"/>
                    <w:rPr>
                      <w:rFonts w:cs="Times New Roman"/>
                      <w:color w:val="auto"/>
                      <w:szCs w:val="21"/>
                    </w:rPr>
                  </w:pPr>
                  <w:r>
                    <w:rPr>
                      <w:rFonts w:hint="eastAsia" w:cs="Times New Roman"/>
                      <w:color w:val="auto"/>
                      <w:szCs w:val="21"/>
                    </w:rPr>
                    <w:t>管材冲击试验机</w:t>
                  </w:r>
                </w:p>
              </w:tc>
              <w:tc>
                <w:tcPr>
                  <w:tcW w:w="2686" w:type="dxa"/>
                  <w:tcBorders>
                    <w:tl2br w:val="nil"/>
                    <w:tr2bl w:val="nil"/>
                  </w:tcBorders>
                  <w:shd w:val="clear" w:color="auto" w:fill="auto"/>
                  <w:vAlign w:val="center"/>
                </w:tcPr>
                <w:p w14:paraId="09B70A2E">
                  <w:pPr>
                    <w:pStyle w:val="26"/>
                    <w:adjustRightInd w:val="0"/>
                    <w:snapToGrid w:val="0"/>
                    <w:spacing w:line="240" w:lineRule="auto"/>
                    <w:rPr>
                      <w:rFonts w:cs="Times New Roman"/>
                      <w:color w:val="auto"/>
                      <w:szCs w:val="21"/>
                    </w:rPr>
                  </w:pPr>
                  <w:r>
                    <w:rPr>
                      <w:rFonts w:hint="eastAsia" w:cs="Times New Roman"/>
                      <w:color w:val="auto"/>
                      <w:szCs w:val="21"/>
                    </w:rPr>
                    <w:t>GJC-15</w:t>
                  </w:r>
                </w:p>
              </w:tc>
              <w:tc>
                <w:tcPr>
                  <w:tcW w:w="720" w:type="dxa"/>
                  <w:tcBorders>
                    <w:tl2br w:val="nil"/>
                    <w:tr2bl w:val="nil"/>
                  </w:tcBorders>
                  <w:shd w:val="clear" w:color="auto" w:fill="auto"/>
                  <w:vAlign w:val="center"/>
                </w:tcPr>
                <w:p w14:paraId="19E4D1CB">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1台</w:t>
                  </w:r>
                </w:p>
              </w:tc>
              <w:tc>
                <w:tcPr>
                  <w:tcW w:w="855" w:type="dxa"/>
                  <w:vMerge w:val="continue"/>
                  <w:tcBorders>
                    <w:tl2br w:val="nil"/>
                    <w:tr2bl w:val="nil"/>
                  </w:tcBorders>
                  <w:vAlign w:val="center"/>
                </w:tcPr>
                <w:p w14:paraId="39D48482">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4BCCD373">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冲击试验</w:t>
                  </w:r>
                </w:p>
              </w:tc>
            </w:tr>
            <w:tr w14:paraId="64E83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21215FD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23</w:t>
                  </w:r>
                </w:p>
              </w:tc>
              <w:tc>
                <w:tcPr>
                  <w:tcW w:w="2169" w:type="dxa"/>
                  <w:tcBorders>
                    <w:tl2br w:val="nil"/>
                    <w:tr2bl w:val="nil"/>
                  </w:tcBorders>
                  <w:shd w:val="clear" w:color="auto" w:fill="auto"/>
                  <w:vAlign w:val="center"/>
                </w:tcPr>
                <w:p w14:paraId="05E32E33">
                  <w:pPr>
                    <w:pStyle w:val="26"/>
                    <w:adjustRightInd w:val="0"/>
                    <w:spacing w:line="240" w:lineRule="auto"/>
                    <w:rPr>
                      <w:rFonts w:cs="Times New Roman"/>
                      <w:color w:val="auto"/>
                      <w:szCs w:val="21"/>
                    </w:rPr>
                  </w:pPr>
                  <w:r>
                    <w:rPr>
                      <w:rFonts w:hint="eastAsia" w:cs="Times New Roman"/>
                      <w:color w:val="auto"/>
                      <w:szCs w:val="21"/>
                    </w:rPr>
                    <w:t>马歇尔电动击实仪</w:t>
                  </w:r>
                </w:p>
              </w:tc>
              <w:tc>
                <w:tcPr>
                  <w:tcW w:w="2686" w:type="dxa"/>
                  <w:tcBorders>
                    <w:tl2br w:val="nil"/>
                    <w:tr2bl w:val="nil"/>
                  </w:tcBorders>
                  <w:shd w:val="clear" w:color="auto" w:fill="auto"/>
                  <w:vAlign w:val="center"/>
                </w:tcPr>
                <w:p w14:paraId="2EC846CA">
                  <w:pPr>
                    <w:pStyle w:val="26"/>
                    <w:adjustRightInd w:val="0"/>
                    <w:snapToGrid w:val="0"/>
                    <w:spacing w:line="240" w:lineRule="auto"/>
                    <w:rPr>
                      <w:rFonts w:cs="Times New Roman"/>
                      <w:color w:val="auto"/>
                      <w:szCs w:val="21"/>
                    </w:rPr>
                  </w:pPr>
                  <w:r>
                    <w:rPr>
                      <w:rFonts w:hint="eastAsia" w:cs="Times New Roman"/>
                      <w:color w:val="auto"/>
                      <w:szCs w:val="21"/>
                    </w:rPr>
                    <w:t>ZMJ-IIC</w:t>
                  </w:r>
                </w:p>
              </w:tc>
              <w:tc>
                <w:tcPr>
                  <w:tcW w:w="720" w:type="dxa"/>
                  <w:tcBorders>
                    <w:tl2br w:val="nil"/>
                    <w:tr2bl w:val="nil"/>
                  </w:tcBorders>
                  <w:shd w:val="clear" w:color="auto" w:fill="auto"/>
                  <w:vAlign w:val="center"/>
                </w:tcPr>
                <w:p w14:paraId="6D26A989">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w:t>
                  </w:r>
                  <w:r>
                    <w:rPr>
                      <w:rFonts w:cs="Times New Roman"/>
                      <w:color w:val="auto"/>
                      <w:szCs w:val="21"/>
                    </w:rPr>
                    <w:t>台</w:t>
                  </w:r>
                </w:p>
              </w:tc>
              <w:tc>
                <w:tcPr>
                  <w:tcW w:w="855" w:type="dxa"/>
                  <w:vMerge w:val="restart"/>
                  <w:tcBorders>
                    <w:tl2br w:val="nil"/>
                    <w:tr2bl w:val="nil"/>
                  </w:tcBorders>
                  <w:vAlign w:val="center"/>
                </w:tcPr>
                <w:p w14:paraId="30C6A4CF">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2</w:t>
                  </w:r>
                  <w:r>
                    <w:rPr>
                      <w:rFonts w:hint="eastAsia" w:cs="Times New Roman"/>
                      <w:color w:val="auto"/>
                      <w:sz w:val="21"/>
                      <w:szCs w:val="21"/>
                    </w:rPr>
                    <w:t>层市政</w:t>
                  </w:r>
                  <w:r>
                    <w:rPr>
                      <w:rFonts w:hint="eastAsia" w:cs="Times New Roman"/>
                      <w:color w:val="auto"/>
                      <w:sz w:val="21"/>
                      <w:szCs w:val="21"/>
                      <w:lang w:val="en-US" w:eastAsia="zh-CN"/>
                    </w:rPr>
                    <w:t>实验室</w:t>
                  </w:r>
                </w:p>
              </w:tc>
              <w:tc>
                <w:tcPr>
                  <w:tcW w:w="1141" w:type="dxa"/>
                  <w:tcBorders>
                    <w:tl2br w:val="nil"/>
                    <w:tr2bl w:val="nil"/>
                  </w:tcBorders>
                  <w:vAlign w:val="center"/>
                </w:tcPr>
                <w:p w14:paraId="5F6144F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马歇尔击实试验</w:t>
                  </w:r>
                </w:p>
              </w:tc>
            </w:tr>
            <w:tr w14:paraId="07FBFB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7A707D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w:t>
                  </w:r>
                </w:p>
              </w:tc>
              <w:tc>
                <w:tcPr>
                  <w:tcW w:w="2169" w:type="dxa"/>
                  <w:tcBorders>
                    <w:tl2br w:val="nil"/>
                    <w:tr2bl w:val="nil"/>
                  </w:tcBorders>
                  <w:shd w:val="clear" w:color="auto" w:fill="auto"/>
                  <w:vAlign w:val="center"/>
                </w:tcPr>
                <w:p w14:paraId="6807652F">
                  <w:pPr>
                    <w:pStyle w:val="26"/>
                    <w:adjustRightInd w:val="0"/>
                    <w:spacing w:line="240" w:lineRule="auto"/>
                    <w:rPr>
                      <w:rFonts w:cs="Times New Roman"/>
                      <w:color w:val="auto"/>
                      <w:szCs w:val="21"/>
                    </w:rPr>
                  </w:pPr>
                  <w:r>
                    <w:rPr>
                      <w:rFonts w:hint="eastAsia" w:cs="Times New Roman"/>
                      <w:color w:val="auto"/>
                      <w:szCs w:val="21"/>
                    </w:rPr>
                    <w:t>马歇尔稳定度测定仪</w:t>
                  </w:r>
                </w:p>
              </w:tc>
              <w:tc>
                <w:tcPr>
                  <w:tcW w:w="2686" w:type="dxa"/>
                  <w:tcBorders>
                    <w:tl2br w:val="nil"/>
                    <w:tr2bl w:val="nil"/>
                  </w:tcBorders>
                  <w:shd w:val="clear" w:color="auto" w:fill="auto"/>
                  <w:vAlign w:val="center"/>
                </w:tcPr>
                <w:p w14:paraId="5A30F867">
                  <w:pPr>
                    <w:pStyle w:val="26"/>
                    <w:adjustRightInd w:val="0"/>
                    <w:snapToGrid w:val="0"/>
                    <w:spacing w:line="240" w:lineRule="auto"/>
                    <w:rPr>
                      <w:rFonts w:cs="Times New Roman"/>
                      <w:color w:val="auto"/>
                      <w:szCs w:val="21"/>
                    </w:rPr>
                  </w:pPr>
                  <w:r>
                    <w:rPr>
                      <w:rFonts w:hint="eastAsia" w:cs="Times New Roman"/>
                      <w:color w:val="auto"/>
                      <w:szCs w:val="21"/>
                    </w:rPr>
                    <w:t>LWD-5C</w:t>
                  </w:r>
                </w:p>
              </w:tc>
              <w:tc>
                <w:tcPr>
                  <w:tcW w:w="720" w:type="dxa"/>
                  <w:tcBorders>
                    <w:tl2br w:val="nil"/>
                    <w:tr2bl w:val="nil"/>
                  </w:tcBorders>
                  <w:shd w:val="clear" w:color="auto" w:fill="auto"/>
                  <w:vAlign w:val="center"/>
                </w:tcPr>
                <w:p w14:paraId="0BEC17E7">
                  <w:pPr>
                    <w:pStyle w:val="26"/>
                    <w:adjustRightInd w:val="0"/>
                    <w:spacing w:line="240" w:lineRule="auto"/>
                    <w:ind w:firstLine="0" w:firstLineChars="0"/>
                    <w:rPr>
                      <w:rFonts w:cs="Times New Roman"/>
                      <w:color w:val="auto"/>
                      <w:szCs w:val="21"/>
                    </w:rPr>
                  </w:pPr>
                  <w:r>
                    <w:rPr>
                      <w:rFonts w:hint="eastAsia" w:cs="Times New Roman"/>
                      <w:color w:val="auto"/>
                      <w:szCs w:val="21"/>
                      <w:lang w:val="en-US" w:eastAsia="zh-CN"/>
                    </w:rPr>
                    <w:t>1台</w:t>
                  </w:r>
                </w:p>
              </w:tc>
              <w:tc>
                <w:tcPr>
                  <w:tcW w:w="855" w:type="dxa"/>
                  <w:vMerge w:val="continue"/>
                  <w:tcBorders>
                    <w:tl2br w:val="nil"/>
                    <w:tr2bl w:val="nil"/>
                  </w:tcBorders>
                  <w:vAlign w:val="center"/>
                </w:tcPr>
                <w:p w14:paraId="53706CDF">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52845C13">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马歇尔稳定度试验</w:t>
                  </w:r>
                </w:p>
              </w:tc>
            </w:tr>
            <w:tr w14:paraId="2164DE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BD2923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w:t>
                  </w:r>
                </w:p>
              </w:tc>
              <w:tc>
                <w:tcPr>
                  <w:tcW w:w="2169" w:type="dxa"/>
                  <w:tcBorders>
                    <w:tl2br w:val="nil"/>
                    <w:tr2bl w:val="nil"/>
                  </w:tcBorders>
                  <w:shd w:val="clear" w:color="auto" w:fill="auto"/>
                  <w:vAlign w:val="center"/>
                </w:tcPr>
                <w:p w14:paraId="3EA59633">
                  <w:pPr>
                    <w:pStyle w:val="26"/>
                    <w:adjustRightInd w:val="0"/>
                    <w:spacing w:line="240" w:lineRule="auto"/>
                    <w:rPr>
                      <w:rFonts w:cs="Times New Roman"/>
                      <w:color w:val="auto"/>
                      <w:szCs w:val="21"/>
                    </w:rPr>
                  </w:pPr>
                  <w:r>
                    <w:rPr>
                      <w:rFonts w:hint="eastAsia" w:cs="Times New Roman"/>
                      <w:color w:val="auto"/>
                      <w:szCs w:val="21"/>
                    </w:rPr>
                    <w:t>气相色谱仪</w:t>
                  </w:r>
                </w:p>
              </w:tc>
              <w:tc>
                <w:tcPr>
                  <w:tcW w:w="2686" w:type="dxa"/>
                  <w:tcBorders>
                    <w:tl2br w:val="nil"/>
                    <w:tr2bl w:val="nil"/>
                  </w:tcBorders>
                  <w:shd w:val="clear" w:color="auto" w:fill="auto"/>
                  <w:vAlign w:val="center"/>
                </w:tcPr>
                <w:p w14:paraId="7093A522">
                  <w:pPr>
                    <w:pStyle w:val="26"/>
                    <w:adjustRightInd w:val="0"/>
                    <w:snapToGrid w:val="0"/>
                    <w:spacing w:line="240" w:lineRule="auto"/>
                    <w:rPr>
                      <w:rFonts w:cs="Times New Roman"/>
                      <w:color w:val="auto"/>
                      <w:szCs w:val="21"/>
                    </w:rPr>
                  </w:pPr>
                  <w:r>
                    <w:rPr>
                      <w:rFonts w:hint="eastAsia" w:cs="Times New Roman"/>
                      <w:color w:val="auto"/>
                      <w:szCs w:val="21"/>
                    </w:rPr>
                    <w:t>GC112-A</w:t>
                  </w:r>
                </w:p>
              </w:tc>
              <w:tc>
                <w:tcPr>
                  <w:tcW w:w="720" w:type="dxa"/>
                  <w:tcBorders>
                    <w:tl2br w:val="nil"/>
                    <w:tr2bl w:val="nil"/>
                  </w:tcBorders>
                  <w:shd w:val="clear" w:color="auto" w:fill="auto"/>
                  <w:vAlign w:val="center"/>
                </w:tcPr>
                <w:p w14:paraId="2F9BC4F4">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3台</w:t>
                  </w:r>
                </w:p>
              </w:tc>
              <w:tc>
                <w:tcPr>
                  <w:tcW w:w="855" w:type="dxa"/>
                  <w:vMerge w:val="restart"/>
                  <w:tcBorders>
                    <w:tl2br w:val="nil"/>
                    <w:tr2bl w:val="nil"/>
                  </w:tcBorders>
                  <w:vAlign w:val="center"/>
                </w:tcPr>
                <w:p w14:paraId="24E0633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3层环境实验室</w:t>
                  </w:r>
                </w:p>
              </w:tc>
              <w:tc>
                <w:tcPr>
                  <w:tcW w:w="1141" w:type="dxa"/>
                  <w:tcBorders>
                    <w:tl2br w:val="nil"/>
                    <w:tr2bl w:val="nil"/>
                  </w:tcBorders>
                  <w:vAlign w:val="center"/>
                </w:tcPr>
                <w:p w14:paraId="19494882">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室内空气检测</w:t>
                  </w:r>
                </w:p>
              </w:tc>
            </w:tr>
            <w:tr w14:paraId="78D839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42D8597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26</w:t>
                  </w:r>
                </w:p>
              </w:tc>
              <w:tc>
                <w:tcPr>
                  <w:tcW w:w="2169" w:type="dxa"/>
                  <w:tcBorders>
                    <w:tl2br w:val="nil"/>
                    <w:tr2bl w:val="nil"/>
                  </w:tcBorders>
                  <w:shd w:val="clear" w:color="auto" w:fill="auto"/>
                  <w:vAlign w:val="center"/>
                </w:tcPr>
                <w:p w14:paraId="075BBDAF">
                  <w:pPr>
                    <w:pStyle w:val="26"/>
                    <w:adjustRightInd w:val="0"/>
                    <w:spacing w:line="240" w:lineRule="auto"/>
                    <w:rPr>
                      <w:rFonts w:cs="Times New Roman"/>
                      <w:color w:val="auto"/>
                      <w:szCs w:val="21"/>
                    </w:rPr>
                  </w:pPr>
                  <w:r>
                    <w:rPr>
                      <w:rFonts w:hint="eastAsia" w:cs="Times New Roman"/>
                      <w:color w:val="auto"/>
                      <w:szCs w:val="21"/>
                    </w:rPr>
                    <w:t>气相色谱仪</w:t>
                  </w:r>
                </w:p>
              </w:tc>
              <w:tc>
                <w:tcPr>
                  <w:tcW w:w="2686" w:type="dxa"/>
                  <w:tcBorders>
                    <w:tl2br w:val="nil"/>
                    <w:tr2bl w:val="nil"/>
                  </w:tcBorders>
                  <w:shd w:val="clear" w:color="auto" w:fill="auto"/>
                  <w:vAlign w:val="center"/>
                </w:tcPr>
                <w:p w14:paraId="16C97A76">
                  <w:pPr>
                    <w:pStyle w:val="26"/>
                    <w:adjustRightInd w:val="0"/>
                    <w:snapToGrid w:val="0"/>
                    <w:spacing w:line="240" w:lineRule="auto"/>
                    <w:rPr>
                      <w:rFonts w:cs="Times New Roman"/>
                      <w:color w:val="auto"/>
                      <w:szCs w:val="21"/>
                    </w:rPr>
                  </w:pPr>
                  <w:r>
                    <w:rPr>
                      <w:rFonts w:hint="eastAsia" w:cs="Times New Roman"/>
                      <w:color w:val="auto"/>
                      <w:szCs w:val="21"/>
                    </w:rPr>
                    <w:t>GC126</w:t>
                  </w:r>
                </w:p>
              </w:tc>
              <w:tc>
                <w:tcPr>
                  <w:tcW w:w="720" w:type="dxa"/>
                  <w:tcBorders>
                    <w:tl2br w:val="nil"/>
                    <w:tr2bl w:val="nil"/>
                  </w:tcBorders>
                  <w:shd w:val="clear" w:color="auto" w:fill="auto"/>
                  <w:vAlign w:val="center"/>
                </w:tcPr>
                <w:p w14:paraId="0DEB413D">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2台</w:t>
                  </w:r>
                </w:p>
              </w:tc>
              <w:tc>
                <w:tcPr>
                  <w:tcW w:w="855" w:type="dxa"/>
                  <w:vMerge w:val="continue"/>
                  <w:tcBorders>
                    <w:tl2br w:val="nil"/>
                    <w:tr2bl w:val="nil"/>
                  </w:tcBorders>
                  <w:vAlign w:val="center"/>
                </w:tcPr>
                <w:p w14:paraId="2D01F8FE">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276BE01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涂料检测</w:t>
                  </w:r>
                </w:p>
              </w:tc>
            </w:tr>
            <w:tr w14:paraId="26C55D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142587C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27</w:t>
                  </w:r>
                </w:p>
              </w:tc>
              <w:tc>
                <w:tcPr>
                  <w:tcW w:w="2169" w:type="dxa"/>
                  <w:tcBorders>
                    <w:tl2br w:val="nil"/>
                    <w:tr2bl w:val="nil"/>
                  </w:tcBorders>
                  <w:shd w:val="clear" w:color="auto" w:fill="auto"/>
                  <w:vAlign w:val="center"/>
                </w:tcPr>
                <w:p w14:paraId="347A431C">
                  <w:pPr>
                    <w:pStyle w:val="26"/>
                    <w:adjustRightInd w:val="0"/>
                    <w:spacing w:line="240" w:lineRule="auto"/>
                    <w:rPr>
                      <w:rFonts w:cs="Times New Roman"/>
                      <w:color w:val="auto"/>
                      <w:szCs w:val="21"/>
                    </w:rPr>
                  </w:pPr>
                  <w:r>
                    <w:rPr>
                      <w:rFonts w:hint="eastAsia" w:cs="Times New Roman"/>
                      <w:color w:val="auto"/>
                      <w:szCs w:val="21"/>
                    </w:rPr>
                    <w:t>气相色谱仪</w:t>
                  </w:r>
                </w:p>
              </w:tc>
              <w:tc>
                <w:tcPr>
                  <w:tcW w:w="2686" w:type="dxa"/>
                  <w:tcBorders>
                    <w:tl2br w:val="nil"/>
                    <w:tr2bl w:val="nil"/>
                  </w:tcBorders>
                  <w:shd w:val="clear" w:color="auto" w:fill="auto"/>
                  <w:vAlign w:val="center"/>
                </w:tcPr>
                <w:p w14:paraId="7BEC1BDC">
                  <w:pPr>
                    <w:pStyle w:val="26"/>
                    <w:adjustRightInd w:val="0"/>
                    <w:snapToGrid w:val="0"/>
                    <w:spacing w:line="240" w:lineRule="auto"/>
                    <w:rPr>
                      <w:rFonts w:cs="Times New Roman"/>
                      <w:color w:val="auto"/>
                      <w:szCs w:val="21"/>
                    </w:rPr>
                  </w:pPr>
                  <w:r>
                    <w:rPr>
                      <w:rFonts w:hint="eastAsia" w:cs="Times New Roman"/>
                      <w:color w:val="auto"/>
                      <w:szCs w:val="21"/>
                    </w:rPr>
                    <w:t>C112N</w:t>
                  </w:r>
                </w:p>
              </w:tc>
              <w:tc>
                <w:tcPr>
                  <w:tcW w:w="720" w:type="dxa"/>
                  <w:tcBorders>
                    <w:tl2br w:val="nil"/>
                    <w:tr2bl w:val="nil"/>
                  </w:tcBorders>
                  <w:shd w:val="clear" w:color="auto" w:fill="auto"/>
                  <w:vAlign w:val="center"/>
                </w:tcPr>
                <w:p w14:paraId="2007A069">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2台</w:t>
                  </w:r>
                </w:p>
              </w:tc>
              <w:tc>
                <w:tcPr>
                  <w:tcW w:w="855" w:type="dxa"/>
                  <w:vMerge w:val="continue"/>
                  <w:tcBorders>
                    <w:tl2br w:val="nil"/>
                    <w:tr2bl w:val="nil"/>
                  </w:tcBorders>
                  <w:vAlign w:val="center"/>
                </w:tcPr>
                <w:p w14:paraId="1A819AEF">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0CA7945C">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室内空气检测</w:t>
                  </w:r>
                </w:p>
              </w:tc>
            </w:tr>
            <w:tr w14:paraId="7A9E3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0EAF31B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28</w:t>
                  </w:r>
                </w:p>
              </w:tc>
              <w:tc>
                <w:tcPr>
                  <w:tcW w:w="2169" w:type="dxa"/>
                  <w:tcBorders>
                    <w:tl2br w:val="nil"/>
                    <w:tr2bl w:val="nil"/>
                  </w:tcBorders>
                  <w:shd w:val="clear" w:color="auto" w:fill="auto"/>
                  <w:vAlign w:val="center"/>
                </w:tcPr>
                <w:p w14:paraId="45DCF64F">
                  <w:pPr>
                    <w:pStyle w:val="26"/>
                    <w:adjustRightInd w:val="0"/>
                    <w:spacing w:line="240" w:lineRule="auto"/>
                    <w:rPr>
                      <w:rFonts w:cs="Times New Roman"/>
                      <w:color w:val="auto"/>
                      <w:szCs w:val="21"/>
                    </w:rPr>
                  </w:pPr>
                  <w:r>
                    <w:rPr>
                      <w:rFonts w:hint="eastAsia" w:cs="Times New Roman"/>
                      <w:color w:val="auto"/>
                      <w:szCs w:val="21"/>
                    </w:rPr>
                    <w:t>可见分光光度计</w:t>
                  </w:r>
                </w:p>
              </w:tc>
              <w:tc>
                <w:tcPr>
                  <w:tcW w:w="2686" w:type="dxa"/>
                  <w:tcBorders>
                    <w:tl2br w:val="nil"/>
                    <w:tr2bl w:val="nil"/>
                  </w:tcBorders>
                  <w:shd w:val="clear" w:color="auto" w:fill="auto"/>
                  <w:vAlign w:val="center"/>
                </w:tcPr>
                <w:p w14:paraId="19A366D8">
                  <w:pPr>
                    <w:pStyle w:val="26"/>
                    <w:adjustRightInd w:val="0"/>
                    <w:snapToGrid w:val="0"/>
                    <w:spacing w:line="240" w:lineRule="auto"/>
                    <w:rPr>
                      <w:rFonts w:cs="Times New Roman"/>
                      <w:color w:val="auto"/>
                      <w:szCs w:val="21"/>
                    </w:rPr>
                  </w:pPr>
                  <w:r>
                    <w:rPr>
                      <w:rFonts w:hint="eastAsia" w:cs="Times New Roman"/>
                      <w:color w:val="auto"/>
                      <w:szCs w:val="21"/>
                    </w:rPr>
                    <w:t>VIS7220</w:t>
                  </w:r>
                </w:p>
              </w:tc>
              <w:tc>
                <w:tcPr>
                  <w:tcW w:w="720" w:type="dxa"/>
                  <w:tcBorders>
                    <w:tl2br w:val="nil"/>
                    <w:tr2bl w:val="nil"/>
                  </w:tcBorders>
                  <w:shd w:val="clear" w:color="auto" w:fill="auto"/>
                  <w:vAlign w:val="center"/>
                </w:tcPr>
                <w:p w14:paraId="7C10789B">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1台</w:t>
                  </w:r>
                </w:p>
              </w:tc>
              <w:tc>
                <w:tcPr>
                  <w:tcW w:w="855" w:type="dxa"/>
                  <w:vMerge w:val="restart"/>
                  <w:tcBorders>
                    <w:tl2br w:val="nil"/>
                    <w:tr2bl w:val="nil"/>
                  </w:tcBorders>
                  <w:vAlign w:val="center"/>
                </w:tcPr>
                <w:p w14:paraId="6B78A59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3层化学实验室</w:t>
                  </w:r>
                </w:p>
              </w:tc>
              <w:tc>
                <w:tcPr>
                  <w:tcW w:w="1141" w:type="dxa"/>
                  <w:tcBorders>
                    <w:tl2br w:val="nil"/>
                    <w:tr2bl w:val="nil"/>
                  </w:tcBorders>
                  <w:vAlign w:val="center"/>
                </w:tcPr>
                <w:p w14:paraId="278F1A9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板材甲醛检测</w:t>
                  </w:r>
                </w:p>
              </w:tc>
            </w:tr>
            <w:tr w14:paraId="73A09C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6B66D9D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29</w:t>
                  </w:r>
                </w:p>
              </w:tc>
              <w:tc>
                <w:tcPr>
                  <w:tcW w:w="2169" w:type="dxa"/>
                  <w:tcBorders>
                    <w:tl2br w:val="nil"/>
                    <w:tr2bl w:val="nil"/>
                  </w:tcBorders>
                  <w:shd w:val="clear" w:color="auto" w:fill="auto"/>
                  <w:vAlign w:val="center"/>
                </w:tcPr>
                <w:p w14:paraId="4118E682">
                  <w:pPr>
                    <w:pStyle w:val="26"/>
                    <w:adjustRightInd w:val="0"/>
                    <w:spacing w:line="240" w:lineRule="auto"/>
                    <w:rPr>
                      <w:rFonts w:hint="eastAsia" w:cs="Times New Roman"/>
                      <w:color w:val="auto"/>
                      <w:szCs w:val="21"/>
                    </w:rPr>
                  </w:pPr>
                  <w:r>
                    <w:rPr>
                      <w:rFonts w:hint="eastAsia" w:cs="Times New Roman"/>
                      <w:color w:val="auto"/>
                      <w:szCs w:val="21"/>
                    </w:rPr>
                    <w:t>可见分光光度计</w:t>
                  </w:r>
                </w:p>
              </w:tc>
              <w:tc>
                <w:tcPr>
                  <w:tcW w:w="2686" w:type="dxa"/>
                  <w:tcBorders>
                    <w:tl2br w:val="nil"/>
                    <w:tr2bl w:val="nil"/>
                  </w:tcBorders>
                  <w:shd w:val="clear" w:color="auto" w:fill="auto"/>
                  <w:vAlign w:val="center"/>
                </w:tcPr>
                <w:p w14:paraId="009E783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L3</w:t>
                  </w:r>
                </w:p>
              </w:tc>
              <w:tc>
                <w:tcPr>
                  <w:tcW w:w="720" w:type="dxa"/>
                  <w:tcBorders>
                    <w:tl2br w:val="nil"/>
                    <w:tr2bl w:val="nil"/>
                  </w:tcBorders>
                  <w:shd w:val="clear" w:color="auto" w:fill="auto"/>
                  <w:vAlign w:val="center"/>
                </w:tcPr>
                <w:p w14:paraId="056FCDD1">
                  <w:pPr>
                    <w:pStyle w:val="26"/>
                    <w:adjustRightInd w:val="0"/>
                    <w:spacing w:line="240" w:lineRule="auto"/>
                    <w:rPr>
                      <w:rFonts w:hint="eastAsia" w:cs="Times New Roman"/>
                      <w:color w:val="auto"/>
                      <w:szCs w:val="21"/>
                      <w:lang w:val="en-US" w:eastAsia="zh-CN"/>
                    </w:rPr>
                  </w:pPr>
                  <w:r>
                    <w:rPr>
                      <w:rFonts w:hint="eastAsia" w:cs="Times New Roman"/>
                      <w:color w:val="auto"/>
                      <w:szCs w:val="21"/>
                      <w:lang w:val="en-US" w:eastAsia="zh-CN"/>
                    </w:rPr>
                    <w:t>1台</w:t>
                  </w:r>
                </w:p>
              </w:tc>
              <w:tc>
                <w:tcPr>
                  <w:tcW w:w="855" w:type="dxa"/>
                  <w:vMerge w:val="continue"/>
                  <w:tcBorders>
                    <w:tl2br w:val="nil"/>
                    <w:tr2bl w:val="nil"/>
                  </w:tcBorders>
                  <w:vAlign w:val="center"/>
                </w:tcPr>
                <w:p w14:paraId="68C0B7F3">
                  <w:pPr>
                    <w:adjustRightInd w:val="0"/>
                    <w:snapToGrid w:val="0"/>
                    <w:spacing w:line="240" w:lineRule="auto"/>
                    <w:ind w:firstLine="0" w:firstLineChars="0"/>
                    <w:jc w:val="center"/>
                    <w:rPr>
                      <w:rFonts w:hint="eastAsia" w:cs="Times New Roman"/>
                      <w:color w:val="auto"/>
                      <w:sz w:val="21"/>
                      <w:szCs w:val="21"/>
                      <w:lang w:val="en-US" w:eastAsia="zh-CN"/>
                    </w:rPr>
                  </w:pPr>
                </w:p>
              </w:tc>
              <w:tc>
                <w:tcPr>
                  <w:tcW w:w="1141" w:type="dxa"/>
                  <w:tcBorders>
                    <w:tl2br w:val="nil"/>
                    <w:tr2bl w:val="nil"/>
                  </w:tcBorders>
                  <w:vAlign w:val="center"/>
                </w:tcPr>
                <w:p w14:paraId="7127541A">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板材甲醛/室内空气检测</w:t>
                  </w:r>
                </w:p>
              </w:tc>
            </w:tr>
            <w:tr w14:paraId="35193C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74E3BAB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30</w:t>
                  </w:r>
                </w:p>
              </w:tc>
              <w:tc>
                <w:tcPr>
                  <w:tcW w:w="2169" w:type="dxa"/>
                  <w:tcBorders>
                    <w:tl2br w:val="nil"/>
                    <w:tr2bl w:val="nil"/>
                  </w:tcBorders>
                  <w:shd w:val="clear" w:color="auto" w:fill="auto"/>
                  <w:vAlign w:val="center"/>
                </w:tcPr>
                <w:p w14:paraId="2D540C77">
                  <w:pPr>
                    <w:pStyle w:val="26"/>
                    <w:adjustRightInd w:val="0"/>
                    <w:spacing w:line="240" w:lineRule="auto"/>
                    <w:rPr>
                      <w:rFonts w:cs="Times New Roman"/>
                      <w:color w:val="auto"/>
                      <w:szCs w:val="21"/>
                    </w:rPr>
                  </w:pPr>
                  <w:r>
                    <w:rPr>
                      <w:rFonts w:hint="eastAsia" w:cs="Times New Roman"/>
                      <w:color w:val="auto"/>
                      <w:szCs w:val="21"/>
                    </w:rPr>
                    <w:t>环境气候箱</w:t>
                  </w:r>
                </w:p>
              </w:tc>
              <w:tc>
                <w:tcPr>
                  <w:tcW w:w="2686" w:type="dxa"/>
                  <w:tcBorders>
                    <w:tl2br w:val="nil"/>
                    <w:tr2bl w:val="nil"/>
                  </w:tcBorders>
                  <w:shd w:val="clear" w:color="auto" w:fill="auto"/>
                  <w:vAlign w:val="center"/>
                </w:tcPr>
                <w:p w14:paraId="7475D2AB">
                  <w:pPr>
                    <w:pStyle w:val="26"/>
                    <w:adjustRightInd w:val="0"/>
                    <w:snapToGrid w:val="0"/>
                    <w:spacing w:line="240" w:lineRule="auto"/>
                    <w:rPr>
                      <w:rFonts w:cs="Times New Roman"/>
                      <w:color w:val="auto"/>
                      <w:szCs w:val="21"/>
                    </w:rPr>
                  </w:pPr>
                  <w:r>
                    <w:rPr>
                      <w:rFonts w:hint="eastAsia" w:cs="Times New Roman"/>
                      <w:color w:val="auto"/>
                      <w:szCs w:val="21"/>
                    </w:rPr>
                    <w:t>VEOUS-E</w:t>
                  </w:r>
                </w:p>
              </w:tc>
              <w:tc>
                <w:tcPr>
                  <w:tcW w:w="720" w:type="dxa"/>
                  <w:tcBorders>
                    <w:tl2br w:val="nil"/>
                    <w:tr2bl w:val="nil"/>
                  </w:tcBorders>
                  <w:shd w:val="clear" w:color="auto" w:fill="auto"/>
                  <w:vAlign w:val="center"/>
                </w:tcPr>
                <w:p w14:paraId="5D35D57C">
                  <w:pPr>
                    <w:pStyle w:val="26"/>
                    <w:adjustRightInd w:val="0"/>
                    <w:spacing w:line="240" w:lineRule="auto"/>
                    <w:rPr>
                      <w:rFonts w:cs="Times New Roman"/>
                      <w:color w:val="auto"/>
                      <w:szCs w:val="21"/>
                    </w:rPr>
                  </w:pPr>
                  <w:r>
                    <w:rPr>
                      <w:rFonts w:hint="eastAsia" w:cs="Times New Roman"/>
                      <w:color w:val="auto"/>
                      <w:szCs w:val="21"/>
                      <w:lang w:val="en-US" w:eastAsia="zh-CN"/>
                    </w:rPr>
                    <w:t>1台</w:t>
                  </w:r>
                </w:p>
              </w:tc>
              <w:tc>
                <w:tcPr>
                  <w:tcW w:w="855" w:type="dxa"/>
                  <w:tcBorders>
                    <w:tl2br w:val="nil"/>
                    <w:tr2bl w:val="nil"/>
                  </w:tcBorders>
                  <w:vAlign w:val="center"/>
                </w:tcPr>
                <w:p w14:paraId="49878B9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板材实验室</w:t>
                  </w:r>
                </w:p>
              </w:tc>
              <w:tc>
                <w:tcPr>
                  <w:tcW w:w="1141" w:type="dxa"/>
                  <w:tcBorders>
                    <w:tl2br w:val="nil"/>
                    <w:tr2bl w:val="nil"/>
                  </w:tcBorders>
                  <w:vAlign w:val="center"/>
                </w:tcPr>
                <w:p w14:paraId="159D6AF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板材甲醛检测</w:t>
                  </w:r>
                </w:p>
              </w:tc>
            </w:tr>
            <w:tr w14:paraId="35A61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EFB5B7A">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31</w:t>
                  </w:r>
                </w:p>
              </w:tc>
              <w:tc>
                <w:tcPr>
                  <w:tcW w:w="2169" w:type="dxa"/>
                  <w:tcBorders>
                    <w:tl2br w:val="nil"/>
                    <w:tr2bl w:val="nil"/>
                  </w:tcBorders>
                  <w:shd w:val="clear" w:color="auto" w:fill="auto"/>
                  <w:vAlign w:val="center"/>
                </w:tcPr>
                <w:p w14:paraId="00589C08">
                  <w:pPr>
                    <w:pStyle w:val="26"/>
                    <w:adjustRightInd w:val="0"/>
                    <w:spacing w:line="240" w:lineRule="auto"/>
                    <w:rPr>
                      <w:rFonts w:cs="Times New Roman"/>
                      <w:color w:val="auto"/>
                      <w:szCs w:val="21"/>
                    </w:rPr>
                  </w:pPr>
                  <w:r>
                    <w:rPr>
                      <w:rFonts w:hint="eastAsia" w:cs="Times New Roman"/>
                      <w:color w:val="auto"/>
                      <w:szCs w:val="21"/>
                    </w:rPr>
                    <w:t>微机控制压力试验机</w:t>
                  </w:r>
                </w:p>
              </w:tc>
              <w:tc>
                <w:tcPr>
                  <w:tcW w:w="2686" w:type="dxa"/>
                  <w:tcBorders>
                    <w:tl2br w:val="nil"/>
                    <w:tr2bl w:val="nil"/>
                  </w:tcBorders>
                  <w:shd w:val="clear" w:color="auto" w:fill="auto"/>
                  <w:vAlign w:val="center"/>
                </w:tcPr>
                <w:p w14:paraId="24E4D043">
                  <w:pPr>
                    <w:pStyle w:val="26"/>
                    <w:adjustRightInd w:val="0"/>
                    <w:snapToGrid w:val="0"/>
                    <w:spacing w:line="240" w:lineRule="auto"/>
                    <w:rPr>
                      <w:rFonts w:cs="Times New Roman"/>
                      <w:color w:val="auto"/>
                      <w:szCs w:val="21"/>
                    </w:rPr>
                  </w:pPr>
                  <w:r>
                    <w:rPr>
                      <w:rFonts w:hint="eastAsia" w:cs="Times New Roman"/>
                      <w:color w:val="auto"/>
                      <w:szCs w:val="21"/>
                    </w:rPr>
                    <w:t>（0-300）kN</w:t>
                  </w:r>
                </w:p>
              </w:tc>
              <w:tc>
                <w:tcPr>
                  <w:tcW w:w="720" w:type="dxa"/>
                  <w:tcBorders>
                    <w:tl2br w:val="nil"/>
                    <w:tr2bl w:val="nil"/>
                  </w:tcBorders>
                  <w:shd w:val="clear" w:color="auto" w:fill="auto"/>
                  <w:vAlign w:val="center"/>
                </w:tcPr>
                <w:p w14:paraId="0A2A99D5">
                  <w:pPr>
                    <w:pStyle w:val="26"/>
                    <w:adjustRightInd w:val="0"/>
                    <w:spacing w:line="240" w:lineRule="auto"/>
                    <w:rPr>
                      <w:rFonts w:cs="Times New Roman"/>
                      <w:color w:val="auto"/>
                      <w:szCs w:val="21"/>
                    </w:rPr>
                  </w:pPr>
                  <w:r>
                    <w:rPr>
                      <w:rFonts w:hint="eastAsia" w:cs="Times New Roman"/>
                      <w:color w:val="auto"/>
                      <w:szCs w:val="21"/>
                      <w:lang w:val="en-US" w:eastAsia="zh-CN"/>
                    </w:rPr>
                    <w:t>1台</w:t>
                  </w:r>
                </w:p>
              </w:tc>
              <w:tc>
                <w:tcPr>
                  <w:tcW w:w="855" w:type="dxa"/>
                  <w:tcBorders>
                    <w:tl2br w:val="nil"/>
                    <w:tr2bl w:val="nil"/>
                  </w:tcBorders>
                  <w:vAlign w:val="center"/>
                </w:tcPr>
                <w:p w14:paraId="0597D0AA">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2层水泥实验室</w:t>
                  </w:r>
                </w:p>
              </w:tc>
              <w:tc>
                <w:tcPr>
                  <w:tcW w:w="1141" w:type="dxa"/>
                  <w:tcBorders>
                    <w:tl2br w:val="nil"/>
                    <w:tr2bl w:val="nil"/>
                  </w:tcBorders>
                  <w:vAlign w:val="center"/>
                </w:tcPr>
                <w:p w14:paraId="4D858BCD">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rPr>
                    <w:t>水泥胶砂强度</w:t>
                  </w:r>
                  <w:r>
                    <w:rPr>
                      <w:rFonts w:hint="eastAsia" w:cs="Times New Roman"/>
                      <w:color w:val="auto"/>
                      <w:sz w:val="21"/>
                      <w:szCs w:val="21"/>
                      <w:lang w:val="en-US" w:eastAsia="zh-CN"/>
                    </w:rPr>
                    <w:t>检测</w:t>
                  </w:r>
                </w:p>
              </w:tc>
            </w:tr>
            <w:tr w14:paraId="782B6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78B8DA9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32</w:t>
                  </w:r>
                </w:p>
              </w:tc>
              <w:tc>
                <w:tcPr>
                  <w:tcW w:w="2169" w:type="dxa"/>
                  <w:tcBorders>
                    <w:tl2br w:val="nil"/>
                    <w:tr2bl w:val="nil"/>
                  </w:tcBorders>
                  <w:shd w:val="clear" w:color="auto" w:fill="auto"/>
                  <w:vAlign w:val="center"/>
                </w:tcPr>
                <w:p w14:paraId="798C722A">
                  <w:pPr>
                    <w:pStyle w:val="26"/>
                    <w:adjustRightInd w:val="0"/>
                    <w:spacing w:line="240" w:lineRule="auto"/>
                    <w:rPr>
                      <w:rFonts w:cs="Times New Roman"/>
                      <w:color w:val="auto"/>
                      <w:szCs w:val="21"/>
                    </w:rPr>
                  </w:pPr>
                  <w:r>
                    <w:rPr>
                      <w:rFonts w:hint="eastAsia" w:cs="Times New Roman"/>
                      <w:color w:val="auto"/>
                      <w:szCs w:val="21"/>
                    </w:rPr>
                    <w:t>微机控制电子万能试验机</w:t>
                  </w:r>
                </w:p>
              </w:tc>
              <w:tc>
                <w:tcPr>
                  <w:tcW w:w="2686" w:type="dxa"/>
                  <w:tcBorders>
                    <w:tl2br w:val="nil"/>
                    <w:tr2bl w:val="nil"/>
                  </w:tcBorders>
                  <w:shd w:val="clear" w:color="auto" w:fill="auto"/>
                  <w:vAlign w:val="center"/>
                </w:tcPr>
                <w:p w14:paraId="1DCE4638">
                  <w:pPr>
                    <w:pStyle w:val="26"/>
                    <w:adjustRightInd w:val="0"/>
                    <w:snapToGrid w:val="0"/>
                    <w:spacing w:line="240" w:lineRule="auto"/>
                    <w:rPr>
                      <w:rFonts w:cs="Times New Roman"/>
                      <w:color w:val="auto"/>
                      <w:szCs w:val="21"/>
                    </w:rPr>
                  </w:pPr>
                  <w:r>
                    <w:rPr>
                      <w:rFonts w:hint="eastAsia" w:cs="Times New Roman"/>
                      <w:color w:val="auto"/>
                      <w:szCs w:val="21"/>
                    </w:rPr>
                    <w:t>WDW-0.2C</w:t>
                  </w:r>
                </w:p>
              </w:tc>
              <w:tc>
                <w:tcPr>
                  <w:tcW w:w="720" w:type="dxa"/>
                  <w:tcBorders>
                    <w:tl2br w:val="nil"/>
                    <w:tr2bl w:val="nil"/>
                  </w:tcBorders>
                  <w:shd w:val="clear" w:color="auto" w:fill="auto"/>
                  <w:vAlign w:val="center"/>
                </w:tcPr>
                <w:p w14:paraId="0F0D7FB5">
                  <w:pPr>
                    <w:pStyle w:val="26"/>
                    <w:adjustRightInd w:val="0"/>
                    <w:spacing w:line="240" w:lineRule="auto"/>
                    <w:rPr>
                      <w:rFonts w:cs="Times New Roman"/>
                      <w:color w:val="auto"/>
                      <w:szCs w:val="21"/>
                    </w:rPr>
                  </w:pPr>
                  <w:r>
                    <w:rPr>
                      <w:rFonts w:hint="eastAsia" w:cs="Times New Roman"/>
                      <w:color w:val="auto"/>
                      <w:szCs w:val="21"/>
                      <w:lang w:val="en-US" w:eastAsia="zh-CN"/>
                    </w:rPr>
                    <w:t>1台</w:t>
                  </w:r>
                </w:p>
              </w:tc>
              <w:tc>
                <w:tcPr>
                  <w:tcW w:w="855" w:type="dxa"/>
                  <w:vMerge w:val="restart"/>
                  <w:tcBorders>
                    <w:tl2br w:val="nil"/>
                    <w:tr2bl w:val="nil"/>
                  </w:tcBorders>
                  <w:vAlign w:val="center"/>
                </w:tcPr>
                <w:p w14:paraId="3C42264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2层防水实验室</w:t>
                  </w:r>
                </w:p>
              </w:tc>
              <w:tc>
                <w:tcPr>
                  <w:tcW w:w="1141" w:type="dxa"/>
                  <w:tcBorders>
                    <w:tl2br w:val="nil"/>
                    <w:tr2bl w:val="nil"/>
                  </w:tcBorders>
                  <w:vAlign w:val="center"/>
                </w:tcPr>
                <w:p w14:paraId="01E7958B">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防水涂料拉伸试验</w:t>
                  </w:r>
                </w:p>
              </w:tc>
            </w:tr>
            <w:tr w14:paraId="692C8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563F596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33</w:t>
                  </w:r>
                </w:p>
              </w:tc>
              <w:tc>
                <w:tcPr>
                  <w:tcW w:w="2169" w:type="dxa"/>
                  <w:tcBorders>
                    <w:tl2br w:val="nil"/>
                    <w:tr2bl w:val="nil"/>
                  </w:tcBorders>
                  <w:shd w:val="clear" w:color="auto" w:fill="auto"/>
                  <w:vAlign w:val="center"/>
                </w:tcPr>
                <w:p w14:paraId="73B030DE">
                  <w:pPr>
                    <w:pStyle w:val="26"/>
                    <w:adjustRightInd w:val="0"/>
                    <w:spacing w:line="240" w:lineRule="auto"/>
                    <w:rPr>
                      <w:rFonts w:cs="Times New Roman"/>
                      <w:color w:val="auto"/>
                      <w:szCs w:val="21"/>
                    </w:rPr>
                  </w:pPr>
                  <w:r>
                    <w:rPr>
                      <w:rFonts w:hint="eastAsia" w:cs="Times New Roman"/>
                      <w:color w:val="auto"/>
                      <w:szCs w:val="21"/>
                    </w:rPr>
                    <w:t>微机控制电子万能试验机</w:t>
                  </w:r>
                </w:p>
              </w:tc>
              <w:tc>
                <w:tcPr>
                  <w:tcW w:w="2686" w:type="dxa"/>
                  <w:tcBorders>
                    <w:tl2br w:val="nil"/>
                    <w:tr2bl w:val="nil"/>
                  </w:tcBorders>
                  <w:shd w:val="clear" w:color="auto" w:fill="auto"/>
                  <w:vAlign w:val="center"/>
                </w:tcPr>
                <w:p w14:paraId="625412E1">
                  <w:pPr>
                    <w:pStyle w:val="26"/>
                    <w:adjustRightInd w:val="0"/>
                    <w:snapToGrid w:val="0"/>
                    <w:spacing w:line="240" w:lineRule="auto"/>
                    <w:rPr>
                      <w:rFonts w:cs="Times New Roman"/>
                      <w:color w:val="auto"/>
                      <w:szCs w:val="21"/>
                    </w:rPr>
                  </w:pPr>
                  <w:r>
                    <w:rPr>
                      <w:rFonts w:hint="eastAsia" w:cs="Times New Roman"/>
                      <w:color w:val="auto"/>
                      <w:szCs w:val="21"/>
                    </w:rPr>
                    <w:t>WDW-20C</w:t>
                  </w:r>
                </w:p>
              </w:tc>
              <w:tc>
                <w:tcPr>
                  <w:tcW w:w="720" w:type="dxa"/>
                  <w:tcBorders>
                    <w:tl2br w:val="nil"/>
                    <w:tr2bl w:val="nil"/>
                  </w:tcBorders>
                  <w:shd w:val="clear" w:color="auto" w:fill="auto"/>
                  <w:vAlign w:val="center"/>
                </w:tcPr>
                <w:p w14:paraId="17A1A30F">
                  <w:pPr>
                    <w:pStyle w:val="26"/>
                    <w:adjustRightInd w:val="0"/>
                    <w:spacing w:line="240" w:lineRule="auto"/>
                    <w:rPr>
                      <w:rFonts w:cs="Times New Roman"/>
                      <w:color w:val="auto"/>
                      <w:szCs w:val="21"/>
                    </w:rPr>
                  </w:pPr>
                  <w:r>
                    <w:rPr>
                      <w:rFonts w:hint="eastAsia" w:cs="Times New Roman"/>
                      <w:color w:val="auto"/>
                      <w:szCs w:val="21"/>
                      <w:lang w:val="en-US" w:eastAsia="zh-CN"/>
                    </w:rPr>
                    <w:t>1台</w:t>
                  </w:r>
                </w:p>
              </w:tc>
              <w:tc>
                <w:tcPr>
                  <w:tcW w:w="855" w:type="dxa"/>
                  <w:vMerge w:val="continue"/>
                  <w:tcBorders>
                    <w:tl2br w:val="nil"/>
                    <w:tr2bl w:val="nil"/>
                  </w:tcBorders>
                  <w:vAlign w:val="center"/>
                </w:tcPr>
                <w:p w14:paraId="7CAC27F1">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2CD5490F">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防水卷材拉伸试验</w:t>
                  </w:r>
                </w:p>
              </w:tc>
            </w:tr>
            <w:tr w14:paraId="59584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0E60D01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34</w:t>
                  </w:r>
                </w:p>
              </w:tc>
              <w:tc>
                <w:tcPr>
                  <w:tcW w:w="2169" w:type="dxa"/>
                  <w:tcBorders>
                    <w:tl2br w:val="nil"/>
                    <w:tr2bl w:val="nil"/>
                  </w:tcBorders>
                  <w:shd w:val="clear" w:color="auto" w:fill="auto"/>
                  <w:vAlign w:val="center"/>
                </w:tcPr>
                <w:p w14:paraId="45E9F59F">
                  <w:pPr>
                    <w:pStyle w:val="26"/>
                    <w:adjustRightInd w:val="0"/>
                    <w:spacing w:line="240" w:lineRule="auto"/>
                    <w:rPr>
                      <w:rFonts w:cs="Times New Roman"/>
                      <w:color w:val="auto"/>
                      <w:szCs w:val="21"/>
                    </w:rPr>
                  </w:pPr>
                  <w:r>
                    <w:rPr>
                      <w:rFonts w:hint="eastAsia" w:cs="Times New Roman"/>
                      <w:color w:val="auto"/>
                      <w:szCs w:val="21"/>
                    </w:rPr>
                    <w:t>电子万能试验机</w:t>
                  </w:r>
                </w:p>
              </w:tc>
              <w:tc>
                <w:tcPr>
                  <w:tcW w:w="2686" w:type="dxa"/>
                  <w:tcBorders>
                    <w:tl2br w:val="nil"/>
                    <w:tr2bl w:val="nil"/>
                  </w:tcBorders>
                  <w:shd w:val="clear" w:color="auto" w:fill="auto"/>
                  <w:vAlign w:val="center"/>
                </w:tcPr>
                <w:p w14:paraId="7D0043D2">
                  <w:pPr>
                    <w:pStyle w:val="26"/>
                    <w:adjustRightInd w:val="0"/>
                    <w:snapToGrid w:val="0"/>
                    <w:spacing w:line="240" w:lineRule="auto"/>
                    <w:rPr>
                      <w:rFonts w:cs="Times New Roman"/>
                      <w:color w:val="auto"/>
                      <w:szCs w:val="21"/>
                    </w:rPr>
                  </w:pPr>
                  <w:r>
                    <w:rPr>
                      <w:rFonts w:hint="eastAsia" w:cs="Times New Roman"/>
                      <w:color w:val="auto"/>
                      <w:szCs w:val="21"/>
                    </w:rPr>
                    <w:t>WDL-20</w:t>
                  </w:r>
                </w:p>
              </w:tc>
              <w:tc>
                <w:tcPr>
                  <w:tcW w:w="720" w:type="dxa"/>
                  <w:tcBorders>
                    <w:tl2br w:val="nil"/>
                    <w:tr2bl w:val="nil"/>
                  </w:tcBorders>
                  <w:shd w:val="clear" w:color="auto" w:fill="auto"/>
                  <w:vAlign w:val="center"/>
                </w:tcPr>
                <w:p w14:paraId="6BCF4ED8">
                  <w:pPr>
                    <w:pStyle w:val="26"/>
                    <w:adjustRightInd w:val="0"/>
                    <w:spacing w:line="240" w:lineRule="auto"/>
                    <w:rPr>
                      <w:rFonts w:cs="Times New Roman"/>
                      <w:color w:val="auto"/>
                      <w:szCs w:val="21"/>
                    </w:rPr>
                  </w:pPr>
                  <w:r>
                    <w:rPr>
                      <w:rFonts w:hint="eastAsia" w:cs="Times New Roman"/>
                      <w:color w:val="auto"/>
                      <w:szCs w:val="21"/>
                      <w:lang w:val="en-US" w:eastAsia="zh-CN"/>
                    </w:rPr>
                    <w:t>1台</w:t>
                  </w:r>
                </w:p>
              </w:tc>
              <w:tc>
                <w:tcPr>
                  <w:tcW w:w="855" w:type="dxa"/>
                  <w:vMerge w:val="restart"/>
                  <w:tcBorders>
                    <w:tl2br w:val="nil"/>
                    <w:tr2bl w:val="nil"/>
                  </w:tcBorders>
                  <w:vAlign w:val="center"/>
                </w:tcPr>
                <w:p w14:paraId="2F38ACF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3层保温实验室</w:t>
                  </w:r>
                </w:p>
              </w:tc>
              <w:tc>
                <w:tcPr>
                  <w:tcW w:w="1141" w:type="dxa"/>
                  <w:tcBorders>
                    <w:tl2br w:val="nil"/>
                    <w:tr2bl w:val="nil"/>
                  </w:tcBorders>
                  <w:vAlign w:val="center"/>
                </w:tcPr>
                <w:p w14:paraId="4C2A653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保温板压缩强度</w:t>
                  </w:r>
                </w:p>
              </w:tc>
            </w:tr>
            <w:tr w14:paraId="32F17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Borders>
                    <w:tl2br w:val="nil"/>
                    <w:tr2bl w:val="nil"/>
                  </w:tcBorders>
                  <w:shd w:val="clear" w:color="auto" w:fill="auto"/>
                  <w:vAlign w:val="center"/>
                </w:tcPr>
                <w:p w14:paraId="39778CE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35</w:t>
                  </w:r>
                </w:p>
              </w:tc>
              <w:tc>
                <w:tcPr>
                  <w:tcW w:w="2169" w:type="dxa"/>
                  <w:tcBorders>
                    <w:tl2br w:val="nil"/>
                    <w:tr2bl w:val="nil"/>
                  </w:tcBorders>
                  <w:shd w:val="clear" w:color="auto" w:fill="auto"/>
                  <w:vAlign w:val="center"/>
                </w:tcPr>
                <w:p w14:paraId="7DD3C8B5">
                  <w:pPr>
                    <w:pStyle w:val="26"/>
                    <w:adjustRightInd w:val="0"/>
                    <w:spacing w:line="240" w:lineRule="auto"/>
                    <w:rPr>
                      <w:rFonts w:cs="Times New Roman"/>
                      <w:color w:val="auto"/>
                      <w:szCs w:val="21"/>
                    </w:rPr>
                  </w:pPr>
                  <w:r>
                    <w:rPr>
                      <w:rFonts w:hint="eastAsia" w:cs="Times New Roman"/>
                      <w:color w:val="auto"/>
                      <w:szCs w:val="21"/>
                    </w:rPr>
                    <w:t>智能型双面板导热系数测定仪</w:t>
                  </w:r>
                </w:p>
              </w:tc>
              <w:tc>
                <w:tcPr>
                  <w:tcW w:w="2686" w:type="dxa"/>
                  <w:tcBorders>
                    <w:tl2br w:val="nil"/>
                    <w:tr2bl w:val="nil"/>
                  </w:tcBorders>
                  <w:shd w:val="clear" w:color="auto" w:fill="auto"/>
                  <w:vAlign w:val="center"/>
                </w:tcPr>
                <w:p w14:paraId="2671E0C2">
                  <w:pPr>
                    <w:pStyle w:val="26"/>
                    <w:adjustRightInd w:val="0"/>
                    <w:snapToGrid w:val="0"/>
                    <w:spacing w:line="240" w:lineRule="auto"/>
                    <w:rPr>
                      <w:rFonts w:cs="Times New Roman"/>
                      <w:color w:val="auto"/>
                      <w:szCs w:val="21"/>
                    </w:rPr>
                  </w:pPr>
                  <w:r>
                    <w:rPr>
                      <w:rFonts w:hint="eastAsia" w:cs="Times New Roman"/>
                      <w:color w:val="auto"/>
                      <w:szCs w:val="21"/>
                    </w:rPr>
                    <w:t>IMDRY3001-II</w:t>
                  </w:r>
                </w:p>
              </w:tc>
              <w:tc>
                <w:tcPr>
                  <w:tcW w:w="720" w:type="dxa"/>
                  <w:tcBorders>
                    <w:tl2br w:val="nil"/>
                    <w:tr2bl w:val="nil"/>
                  </w:tcBorders>
                  <w:shd w:val="clear" w:color="auto" w:fill="auto"/>
                  <w:vAlign w:val="center"/>
                </w:tcPr>
                <w:p w14:paraId="1B90E267">
                  <w:pPr>
                    <w:pStyle w:val="26"/>
                    <w:adjustRightIn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2台</w:t>
                  </w:r>
                </w:p>
              </w:tc>
              <w:tc>
                <w:tcPr>
                  <w:tcW w:w="855" w:type="dxa"/>
                  <w:vMerge w:val="continue"/>
                  <w:tcBorders>
                    <w:tl2br w:val="nil"/>
                    <w:tr2bl w:val="nil"/>
                  </w:tcBorders>
                  <w:vAlign w:val="center"/>
                </w:tcPr>
                <w:p w14:paraId="64AE988E">
                  <w:pPr>
                    <w:adjustRightInd w:val="0"/>
                    <w:snapToGrid w:val="0"/>
                    <w:spacing w:line="240" w:lineRule="auto"/>
                    <w:ind w:firstLine="0" w:firstLineChars="0"/>
                    <w:jc w:val="center"/>
                    <w:rPr>
                      <w:rFonts w:cs="Times New Roman"/>
                      <w:color w:val="auto"/>
                      <w:sz w:val="21"/>
                      <w:szCs w:val="21"/>
                    </w:rPr>
                  </w:pPr>
                </w:p>
              </w:tc>
              <w:tc>
                <w:tcPr>
                  <w:tcW w:w="1141" w:type="dxa"/>
                  <w:tcBorders>
                    <w:tl2br w:val="nil"/>
                    <w:tr2bl w:val="nil"/>
                  </w:tcBorders>
                  <w:vAlign w:val="center"/>
                </w:tcPr>
                <w:p w14:paraId="63D9DCB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保温板导热系数</w:t>
                  </w:r>
                </w:p>
              </w:tc>
            </w:tr>
          </w:tbl>
          <w:p w14:paraId="419CB56D">
            <w:pPr>
              <w:pStyle w:val="24"/>
              <w:rPr>
                <w:color w:val="auto"/>
              </w:rPr>
            </w:pPr>
            <w:r>
              <w:rPr>
                <w:rFonts w:hint="eastAsia"/>
                <w:color w:val="auto"/>
              </w:rPr>
              <w:t>表2-4 各设备试验时长及燃料消耗一览表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01"/>
              <w:gridCol w:w="1395"/>
              <w:gridCol w:w="525"/>
              <w:gridCol w:w="945"/>
              <w:gridCol w:w="975"/>
              <w:gridCol w:w="945"/>
              <w:gridCol w:w="885"/>
              <w:gridCol w:w="916"/>
            </w:tblGrid>
            <w:tr w14:paraId="6C8686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vAlign w:val="center"/>
                </w:tcPr>
                <w:p w14:paraId="4FD285D8">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序号</w:t>
                  </w:r>
                </w:p>
              </w:tc>
              <w:tc>
                <w:tcPr>
                  <w:tcW w:w="901" w:type="dxa"/>
                  <w:tcBorders>
                    <w:tl2br w:val="nil"/>
                    <w:tr2bl w:val="nil"/>
                  </w:tcBorders>
                  <w:vAlign w:val="center"/>
                </w:tcPr>
                <w:p w14:paraId="544F2C77">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试验</w:t>
                  </w:r>
                </w:p>
                <w:p w14:paraId="38606599">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名称</w:t>
                  </w:r>
                </w:p>
              </w:tc>
              <w:tc>
                <w:tcPr>
                  <w:tcW w:w="1395" w:type="dxa"/>
                  <w:tcBorders>
                    <w:tl2br w:val="nil"/>
                    <w:tr2bl w:val="nil"/>
                  </w:tcBorders>
                  <w:vAlign w:val="center"/>
                </w:tcPr>
                <w:p w14:paraId="14B4CFD3">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设备名称</w:t>
                  </w:r>
                </w:p>
              </w:tc>
              <w:tc>
                <w:tcPr>
                  <w:tcW w:w="525" w:type="dxa"/>
                  <w:tcBorders>
                    <w:tl2br w:val="nil"/>
                    <w:tr2bl w:val="nil"/>
                  </w:tcBorders>
                  <w:vAlign w:val="center"/>
                </w:tcPr>
                <w:p w14:paraId="5992D4DB">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燃料</w:t>
                  </w:r>
                </w:p>
              </w:tc>
              <w:tc>
                <w:tcPr>
                  <w:tcW w:w="945" w:type="dxa"/>
                  <w:tcBorders>
                    <w:tl2br w:val="nil"/>
                    <w:tr2bl w:val="nil"/>
                  </w:tcBorders>
                  <w:vAlign w:val="center"/>
                </w:tcPr>
                <w:p w14:paraId="0F309C31">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试验数量 组/a</w:t>
                  </w:r>
                </w:p>
              </w:tc>
              <w:tc>
                <w:tcPr>
                  <w:tcW w:w="975" w:type="dxa"/>
                  <w:tcBorders>
                    <w:tl2br w:val="nil"/>
                    <w:tr2bl w:val="nil"/>
                  </w:tcBorders>
                  <w:vAlign w:val="center"/>
                </w:tcPr>
                <w:p w14:paraId="31D2E5DB">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单组试验时间s</w:t>
                  </w:r>
                </w:p>
              </w:tc>
              <w:tc>
                <w:tcPr>
                  <w:tcW w:w="945" w:type="dxa"/>
                  <w:tcBorders>
                    <w:tl2br w:val="nil"/>
                    <w:tr2bl w:val="nil"/>
                  </w:tcBorders>
                  <w:vAlign w:val="center"/>
                </w:tcPr>
                <w:p w14:paraId="20500133">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年运行时间h/a</w:t>
                  </w:r>
                </w:p>
              </w:tc>
              <w:tc>
                <w:tcPr>
                  <w:tcW w:w="885" w:type="dxa"/>
                  <w:tcBorders>
                    <w:tl2br w:val="nil"/>
                    <w:tr2bl w:val="nil"/>
                  </w:tcBorders>
                  <w:vAlign w:val="center"/>
                </w:tcPr>
                <w:p w14:paraId="7CB33E4E">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燃气流量g/s</w:t>
                  </w:r>
                </w:p>
              </w:tc>
              <w:tc>
                <w:tcPr>
                  <w:tcW w:w="916" w:type="dxa"/>
                  <w:tcBorders>
                    <w:tl2br w:val="nil"/>
                    <w:tr2bl w:val="nil"/>
                  </w:tcBorders>
                  <w:vAlign w:val="center"/>
                </w:tcPr>
                <w:p w14:paraId="7DBA8B16">
                  <w:pPr>
                    <w:adjustRightInd w:val="0"/>
                    <w:snapToGrid w:val="0"/>
                    <w:spacing w:line="240" w:lineRule="auto"/>
                    <w:ind w:firstLine="0" w:firstLineChars="0"/>
                    <w:jc w:val="center"/>
                    <w:rPr>
                      <w:rFonts w:cs="Times New Roman"/>
                      <w:b/>
                      <w:bCs/>
                      <w:color w:val="auto"/>
                      <w:sz w:val="21"/>
                      <w:szCs w:val="21"/>
                    </w:rPr>
                  </w:pPr>
                  <w:r>
                    <w:rPr>
                      <w:rFonts w:hint="eastAsia" w:cs="Times New Roman"/>
                      <w:b/>
                      <w:bCs/>
                      <w:color w:val="auto"/>
                      <w:sz w:val="21"/>
                      <w:szCs w:val="21"/>
                    </w:rPr>
                    <w:t>消耗量kg/a</w:t>
                  </w:r>
                </w:p>
              </w:tc>
            </w:tr>
            <w:tr w14:paraId="5F2F8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vAlign w:val="center"/>
                </w:tcPr>
                <w:p w14:paraId="2371B69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901" w:type="dxa"/>
                  <w:tcBorders>
                    <w:tl2br w:val="nil"/>
                    <w:tr2bl w:val="nil"/>
                  </w:tcBorders>
                  <w:shd w:val="clear" w:color="auto" w:fill="auto"/>
                  <w:vAlign w:val="center"/>
                </w:tcPr>
                <w:p w14:paraId="2115C556">
                  <w:pPr>
                    <w:pStyle w:val="26"/>
                    <w:adjustRightInd w:val="0"/>
                    <w:snapToGrid w:val="0"/>
                    <w:spacing w:line="240" w:lineRule="auto"/>
                    <w:rPr>
                      <w:rFonts w:cs="Times New Roman"/>
                      <w:color w:val="auto"/>
                      <w:szCs w:val="21"/>
                    </w:rPr>
                  </w:pPr>
                  <w:r>
                    <w:rPr>
                      <w:rFonts w:cs="Times New Roman"/>
                      <w:color w:val="auto"/>
                      <w:szCs w:val="21"/>
                    </w:rPr>
                    <w:t>难燃性实验</w:t>
                  </w:r>
                </w:p>
              </w:tc>
              <w:tc>
                <w:tcPr>
                  <w:tcW w:w="1395" w:type="dxa"/>
                  <w:tcBorders>
                    <w:tl2br w:val="nil"/>
                    <w:tr2bl w:val="nil"/>
                  </w:tcBorders>
                  <w:shd w:val="clear" w:color="auto" w:fill="auto"/>
                  <w:vAlign w:val="center"/>
                </w:tcPr>
                <w:p w14:paraId="749E72E3">
                  <w:pPr>
                    <w:pStyle w:val="26"/>
                    <w:adjustRightInd w:val="0"/>
                    <w:snapToGrid w:val="0"/>
                    <w:spacing w:line="240" w:lineRule="auto"/>
                    <w:rPr>
                      <w:rFonts w:cs="Times New Roman"/>
                      <w:color w:val="auto"/>
                      <w:szCs w:val="21"/>
                    </w:rPr>
                  </w:pPr>
                  <w:r>
                    <w:rPr>
                      <w:rFonts w:cs="Times New Roman"/>
                      <w:color w:val="auto"/>
                      <w:szCs w:val="21"/>
                    </w:rPr>
                    <w:t>建筑材料难燃性试验炉</w:t>
                  </w:r>
                </w:p>
              </w:tc>
              <w:tc>
                <w:tcPr>
                  <w:tcW w:w="525" w:type="dxa"/>
                  <w:tcBorders>
                    <w:tl2br w:val="nil"/>
                    <w:tr2bl w:val="nil"/>
                  </w:tcBorders>
                  <w:vAlign w:val="center"/>
                </w:tcPr>
                <w:p w14:paraId="558DE2F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甲烷</w:t>
                  </w:r>
                </w:p>
              </w:tc>
              <w:tc>
                <w:tcPr>
                  <w:tcW w:w="945" w:type="dxa"/>
                  <w:tcBorders>
                    <w:tl2br w:val="nil"/>
                    <w:tr2bl w:val="nil"/>
                  </w:tcBorders>
                  <w:vAlign w:val="center"/>
                </w:tcPr>
                <w:p w14:paraId="4919EE8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30</w:t>
                  </w:r>
                </w:p>
              </w:tc>
              <w:tc>
                <w:tcPr>
                  <w:tcW w:w="975" w:type="dxa"/>
                  <w:tcBorders>
                    <w:tl2br w:val="nil"/>
                    <w:tr2bl w:val="nil"/>
                  </w:tcBorders>
                  <w:vAlign w:val="center"/>
                </w:tcPr>
                <w:p w14:paraId="1718C869">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1800</w:t>
                  </w:r>
                </w:p>
              </w:tc>
              <w:tc>
                <w:tcPr>
                  <w:tcW w:w="945" w:type="dxa"/>
                  <w:tcBorders>
                    <w:tl2br w:val="nil"/>
                    <w:tr2bl w:val="nil"/>
                  </w:tcBorders>
                  <w:vAlign w:val="center"/>
                </w:tcPr>
                <w:p w14:paraId="13DCB9B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15</w:t>
                  </w:r>
                </w:p>
              </w:tc>
              <w:tc>
                <w:tcPr>
                  <w:tcW w:w="885" w:type="dxa"/>
                  <w:tcBorders>
                    <w:tl2br w:val="nil"/>
                    <w:tr2bl w:val="nil"/>
                  </w:tcBorders>
                  <w:vAlign w:val="center"/>
                </w:tcPr>
                <w:p w14:paraId="1DE279F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0.179</w:t>
                  </w:r>
                </w:p>
              </w:tc>
              <w:tc>
                <w:tcPr>
                  <w:tcW w:w="916" w:type="dxa"/>
                  <w:tcBorders>
                    <w:tl2br w:val="nil"/>
                    <w:tr2bl w:val="nil"/>
                  </w:tcBorders>
                  <w:vAlign w:val="center"/>
                </w:tcPr>
                <w:p w14:paraId="1F52A67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9.67</w:t>
                  </w:r>
                </w:p>
              </w:tc>
            </w:tr>
            <w:tr w14:paraId="23CCC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vAlign w:val="center"/>
                </w:tcPr>
                <w:p w14:paraId="492FCC0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901" w:type="dxa"/>
                  <w:tcBorders>
                    <w:tl2br w:val="nil"/>
                    <w:tr2bl w:val="nil"/>
                  </w:tcBorders>
                  <w:shd w:val="clear" w:color="auto" w:fill="auto"/>
                  <w:vAlign w:val="center"/>
                </w:tcPr>
                <w:p w14:paraId="2A930841">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单体燃烧试验</w:t>
                  </w:r>
                </w:p>
              </w:tc>
              <w:tc>
                <w:tcPr>
                  <w:tcW w:w="1395" w:type="dxa"/>
                  <w:tcBorders>
                    <w:tl2br w:val="nil"/>
                    <w:tr2bl w:val="nil"/>
                  </w:tcBorders>
                  <w:shd w:val="clear" w:color="auto" w:fill="auto"/>
                  <w:vAlign w:val="center"/>
                </w:tcPr>
                <w:p w14:paraId="685BA9CD">
                  <w:pPr>
                    <w:pStyle w:val="26"/>
                    <w:adjustRightInd w:val="0"/>
                    <w:snapToGrid w:val="0"/>
                    <w:spacing w:line="240" w:lineRule="auto"/>
                    <w:rPr>
                      <w:rFonts w:cs="Times New Roman"/>
                      <w:color w:val="auto"/>
                      <w:szCs w:val="21"/>
                    </w:rPr>
                  </w:pPr>
                  <w:r>
                    <w:rPr>
                      <w:rFonts w:cs="Times New Roman"/>
                      <w:color w:val="auto"/>
                      <w:szCs w:val="21"/>
                    </w:rPr>
                    <w:t>单体燃烧试验装置</w:t>
                  </w:r>
                  <w:r>
                    <w:rPr>
                      <w:rFonts w:hint="eastAsia" w:cs="Times New Roman"/>
                      <w:color w:val="auto"/>
                      <w:szCs w:val="21"/>
                    </w:rPr>
                    <w:t>DT-1</w:t>
                  </w:r>
                </w:p>
              </w:tc>
              <w:tc>
                <w:tcPr>
                  <w:tcW w:w="525" w:type="dxa"/>
                  <w:tcBorders>
                    <w:tl2br w:val="nil"/>
                    <w:tr2bl w:val="nil"/>
                  </w:tcBorders>
                  <w:vAlign w:val="center"/>
                </w:tcPr>
                <w:p w14:paraId="7A67D1F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丙烷</w:t>
                  </w:r>
                </w:p>
              </w:tc>
              <w:tc>
                <w:tcPr>
                  <w:tcW w:w="945" w:type="dxa"/>
                  <w:tcBorders>
                    <w:tl2br w:val="nil"/>
                    <w:tr2bl w:val="nil"/>
                  </w:tcBorders>
                  <w:vAlign w:val="center"/>
                </w:tcPr>
                <w:p w14:paraId="09814C7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250</w:t>
                  </w:r>
                </w:p>
              </w:tc>
              <w:tc>
                <w:tcPr>
                  <w:tcW w:w="975" w:type="dxa"/>
                  <w:tcBorders>
                    <w:tl2br w:val="nil"/>
                    <w:tr2bl w:val="nil"/>
                  </w:tcBorders>
                  <w:vAlign w:val="center"/>
                </w:tcPr>
                <w:p w14:paraId="48D9E399">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4878</w:t>
                  </w:r>
                </w:p>
              </w:tc>
              <w:tc>
                <w:tcPr>
                  <w:tcW w:w="945" w:type="dxa"/>
                  <w:tcBorders>
                    <w:tl2br w:val="nil"/>
                    <w:tr2bl w:val="nil"/>
                  </w:tcBorders>
                  <w:vAlign w:val="center"/>
                </w:tcPr>
                <w:p w14:paraId="7524701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338.8</w:t>
                  </w:r>
                </w:p>
              </w:tc>
              <w:tc>
                <w:tcPr>
                  <w:tcW w:w="885" w:type="dxa"/>
                  <w:tcBorders>
                    <w:tl2br w:val="nil"/>
                    <w:tr2bl w:val="nil"/>
                  </w:tcBorders>
                  <w:vAlign w:val="center"/>
                </w:tcPr>
                <w:p w14:paraId="217216D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0.647</w:t>
                  </w:r>
                </w:p>
              </w:tc>
              <w:tc>
                <w:tcPr>
                  <w:tcW w:w="916" w:type="dxa"/>
                  <w:tcBorders>
                    <w:tl2br w:val="nil"/>
                    <w:tr2bl w:val="nil"/>
                  </w:tcBorders>
                  <w:vAlign w:val="center"/>
                </w:tcPr>
                <w:p w14:paraId="51C6876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789.02</w:t>
                  </w:r>
                </w:p>
              </w:tc>
            </w:tr>
            <w:tr w14:paraId="09EF9F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shd w:val="clear" w:color="auto" w:fill="auto"/>
                  <w:vAlign w:val="center"/>
                </w:tcPr>
                <w:p w14:paraId="1E8A63EF">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c>
                <w:tcPr>
                  <w:tcW w:w="901" w:type="dxa"/>
                  <w:tcBorders>
                    <w:tl2br w:val="nil"/>
                    <w:tr2bl w:val="nil"/>
                  </w:tcBorders>
                  <w:shd w:val="clear" w:color="auto" w:fill="auto"/>
                  <w:vAlign w:val="center"/>
                </w:tcPr>
                <w:p w14:paraId="68727703">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可燃性</w:t>
                  </w:r>
                  <w:r>
                    <w:rPr>
                      <w:rFonts w:hint="eastAsia" w:cs="Times New Roman"/>
                      <w:color w:val="auto"/>
                      <w:sz w:val="21"/>
                      <w:szCs w:val="21"/>
                    </w:rPr>
                    <w:t>试验</w:t>
                  </w:r>
                </w:p>
              </w:tc>
              <w:tc>
                <w:tcPr>
                  <w:tcW w:w="1395" w:type="dxa"/>
                  <w:tcBorders>
                    <w:tl2br w:val="nil"/>
                    <w:tr2bl w:val="nil"/>
                  </w:tcBorders>
                  <w:shd w:val="clear" w:color="auto" w:fill="auto"/>
                  <w:vAlign w:val="center"/>
                </w:tcPr>
                <w:p w14:paraId="24E0AB40">
                  <w:pPr>
                    <w:pStyle w:val="26"/>
                    <w:adjustRightInd w:val="0"/>
                    <w:snapToGrid w:val="0"/>
                    <w:spacing w:line="240" w:lineRule="auto"/>
                    <w:rPr>
                      <w:rFonts w:cs="Times New Roman"/>
                      <w:color w:val="auto"/>
                      <w:szCs w:val="21"/>
                    </w:rPr>
                  </w:pPr>
                  <w:r>
                    <w:rPr>
                      <w:rFonts w:cs="Times New Roman"/>
                      <w:color w:val="auto"/>
                      <w:szCs w:val="21"/>
                    </w:rPr>
                    <w:t>建筑材料可燃性试验机</w:t>
                  </w:r>
                </w:p>
              </w:tc>
              <w:tc>
                <w:tcPr>
                  <w:tcW w:w="525" w:type="dxa"/>
                  <w:tcBorders>
                    <w:tl2br w:val="nil"/>
                    <w:tr2bl w:val="nil"/>
                  </w:tcBorders>
                  <w:vAlign w:val="center"/>
                </w:tcPr>
                <w:p w14:paraId="2EA3F4ED">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丙烷</w:t>
                  </w:r>
                </w:p>
              </w:tc>
              <w:tc>
                <w:tcPr>
                  <w:tcW w:w="945" w:type="dxa"/>
                  <w:tcBorders>
                    <w:tl2br w:val="nil"/>
                    <w:tr2bl w:val="nil"/>
                  </w:tcBorders>
                  <w:vAlign w:val="center"/>
                </w:tcPr>
                <w:p w14:paraId="695999F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230</w:t>
                  </w:r>
                </w:p>
              </w:tc>
              <w:tc>
                <w:tcPr>
                  <w:tcW w:w="975" w:type="dxa"/>
                  <w:tcBorders>
                    <w:tl2br w:val="nil"/>
                    <w:tr2bl w:val="nil"/>
                  </w:tcBorders>
                  <w:vAlign w:val="center"/>
                </w:tcPr>
                <w:p w14:paraId="3ACA824E">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180</w:t>
                  </w:r>
                </w:p>
              </w:tc>
              <w:tc>
                <w:tcPr>
                  <w:tcW w:w="945" w:type="dxa"/>
                  <w:tcBorders>
                    <w:tl2br w:val="nil"/>
                    <w:tr2bl w:val="nil"/>
                  </w:tcBorders>
                  <w:vAlign w:val="center"/>
                </w:tcPr>
                <w:p w14:paraId="0267D25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11.5</w:t>
                  </w:r>
                </w:p>
              </w:tc>
              <w:tc>
                <w:tcPr>
                  <w:tcW w:w="885" w:type="dxa"/>
                  <w:tcBorders>
                    <w:tl2br w:val="nil"/>
                    <w:tr2bl w:val="nil"/>
                  </w:tcBorders>
                  <w:vAlign w:val="center"/>
                </w:tcPr>
                <w:p w14:paraId="2F6C18A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0.006</w:t>
                  </w:r>
                </w:p>
              </w:tc>
              <w:tc>
                <w:tcPr>
                  <w:tcW w:w="916" w:type="dxa"/>
                  <w:tcBorders>
                    <w:tl2br w:val="nil"/>
                    <w:tr2bl w:val="nil"/>
                  </w:tcBorders>
                  <w:vAlign w:val="center"/>
                </w:tcPr>
                <w:p w14:paraId="259998E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0.25</w:t>
                  </w:r>
                </w:p>
              </w:tc>
            </w:tr>
            <w:tr w14:paraId="3BC9AF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shd w:val="clear" w:color="auto" w:fill="auto"/>
                  <w:vAlign w:val="center"/>
                </w:tcPr>
                <w:p w14:paraId="66D71243">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901" w:type="dxa"/>
                  <w:tcBorders>
                    <w:tl2br w:val="nil"/>
                    <w:tr2bl w:val="nil"/>
                  </w:tcBorders>
                  <w:shd w:val="clear" w:color="auto" w:fill="auto"/>
                  <w:vAlign w:val="center"/>
                </w:tcPr>
                <w:p w14:paraId="09601F6C">
                  <w:pPr>
                    <w:pStyle w:val="26"/>
                    <w:wordWrap w:val="0"/>
                    <w:topLinePunct/>
                    <w:adjustRightInd w:val="0"/>
                    <w:snapToGrid w:val="0"/>
                    <w:spacing w:line="240" w:lineRule="auto"/>
                    <w:rPr>
                      <w:rFonts w:cs="Times New Roman"/>
                      <w:color w:val="auto"/>
                      <w:szCs w:val="21"/>
                    </w:rPr>
                  </w:pPr>
                  <w:r>
                    <w:rPr>
                      <w:rFonts w:cs="Times New Roman"/>
                      <w:color w:val="auto"/>
                      <w:szCs w:val="21"/>
                    </w:rPr>
                    <w:t>氧指数</w:t>
                  </w:r>
                </w:p>
                <w:p w14:paraId="306FDDD3">
                  <w:pPr>
                    <w:pStyle w:val="26"/>
                    <w:wordWrap w:val="0"/>
                    <w:topLinePunct/>
                    <w:adjustRightInd w:val="0"/>
                    <w:snapToGrid w:val="0"/>
                    <w:spacing w:line="240" w:lineRule="auto"/>
                    <w:ind w:firstLine="0" w:firstLineChars="0"/>
                    <w:rPr>
                      <w:rFonts w:cs="Times New Roman"/>
                      <w:color w:val="auto"/>
                      <w:sz w:val="21"/>
                      <w:szCs w:val="21"/>
                    </w:rPr>
                  </w:pPr>
                  <w:r>
                    <w:rPr>
                      <w:rFonts w:hint="eastAsia" w:cs="Times New Roman"/>
                      <w:color w:val="auto"/>
                      <w:szCs w:val="21"/>
                    </w:rPr>
                    <w:t>试验</w:t>
                  </w:r>
                </w:p>
              </w:tc>
              <w:tc>
                <w:tcPr>
                  <w:tcW w:w="1395" w:type="dxa"/>
                  <w:tcBorders>
                    <w:tl2br w:val="nil"/>
                    <w:tr2bl w:val="nil"/>
                  </w:tcBorders>
                  <w:shd w:val="clear" w:color="auto" w:fill="auto"/>
                  <w:vAlign w:val="center"/>
                </w:tcPr>
                <w:p w14:paraId="4307B94C">
                  <w:pPr>
                    <w:pStyle w:val="26"/>
                    <w:wordWrap w:val="0"/>
                    <w:topLinePunct/>
                    <w:adjustRightInd w:val="0"/>
                    <w:snapToGrid w:val="0"/>
                    <w:spacing w:line="240" w:lineRule="auto"/>
                    <w:ind w:firstLine="0" w:firstLineChars="0"/>
                    <w:rPr>
                      <w:rFonts w:cs="Times New Roman"/>
                      <w:color w:val="auto"/>
                      <w:szCs w:val="21"/>
                    </w:rPr>
                  </w:pPr>
                  <w:r>
                    <w:rPr>
                      <w:rFonts w:cs="Times New Roman"/>
                      <w:color w:val="auto"/>
                      <w:kern w:val="0"/>
                      <w:szCs w:val="21"/>
                    </w:rPr>
                    <w:t>数字式氧指数测定仪</w:t>
                  </w:r>
                </w:p>
              </w:tc>
              <w:tc>
                <w:tcPr>
                  <w:tcW w:w="525" w:type="dxa"/>
                  <w:tcBorders>
                    <w:tl2br w:val="nil"/>
                    <w:tr2bl w:val="nil"/>
                  </w:tcBorders>
                  <w:vAlign w:val="center"/>
                </w:tcPr>
                <w:p w14:paraId="292005DB">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945" w:type="dxa"/>
                  <w:tcBorders>
                    <w:tl2br w:val="nil"/>
                    <w:tr2bl w:val="nil"/>
                  </w:tcBorders>
                  <w:vAlign w:val="center"/>
                </w:tcPr>
                <w:p w14:paraId="2A67BCD8">
                  <w:pPr>
                    <w:pStyle w:val="26"/>
                    <w:wordWrap w:val="0"/>
                    <w:topLinePunct/>
                    <w:adjustRightInd w:val="0"/>
                    <w:snapToGrid w:val="0"/>
                    <w:spacing w:line="240" w:lineRule="auto"/>
                    <w:ind w:firstLine="0" w:firstLineChars="0"/>
                    <w:rPr>
                      <w:rFonts w:hint="default" w:eastAsia="宋体" w:cs="Times New Roman"/>
                      <w:color w:val="auto"/>
                      <w:sz w:val="21"/>
                      <w:szCs w:val="21"/>
                      <w:lang w:val="en-US" w:eastAsia="zh-CN"/>
                    </w:rPr>
                  </w:pPr>
                  <w:r>
                    <w:rPr>
                      <w:rFonts w:hint="eastAsia" w:cs="Times New Roman"/>
                      <w:color w:val="auto"/>
                      <w:szCs w:val="21"/>
                      <w:lang w:val="en-US" w:eastAsia="zh-CN"/>
                    </w:rPr>
                    <w:t>150</w:t>
                  </w:r>
                </w:p>
              </w:tc>
              <w:tc>
                <w:tcPr>
                  <w:tcW w:w="975" w:type="dxa"/>
                  <w:tcBorders>
                    <w:tl2br w:val="nil"/>
                    <w:tr2bl w:val="nil"/>
                  </w:tcBorders>
                  <w:vAlign w:val="center"/>
                </w:tcPr>
                <w:p w14:paraId="6980E27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1800</w:t>
                  </w:r>
                </w:p>
              </w:tc>
              <w:tc>
                <w:tcPr>
                  <w:tcW w:w="945" w:type="dxa"/>
                  <w:tcBorders>
                    <w:tl2br w:val="nil"/>
                    <w:tr2bl w:val="nil"/>
                  </w:tcBorders>
                  <w:vAlign w:val="center"/>
                </w:tcPr>
                <w:p w14:paraId="675EA2DD">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75</w:t>
                  </w:r>
                </w:p>
              </w:tc>
              <w:tc>
                <w:tcPr>
                  <w:tcW w:w="885" w:type="dxa"/>
                  <w:tcBorders>
                    <w:tl2br w:val="nil"/>
                    <w:tr2bl w:val="nil"/>
                  </w:tcBorders>
                  <w:vAlign w:val="center"/>
                </w:tcPr>
                <w:p w14:paraId="257BB1A7">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16" w:type="dxa"/>
                  <w:tcBorders>
                    <w:tl2br w:val="nil"/>
                    <w:tr2bl w:val="nil"/>
                  </w:tcBorders>
                  <w:vAlign w:val="center"/>
                </w:tcPr>
                <w:p w14:paraId="3CFDA42D">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ACCE7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shd w:val="clear" w:color="auto" w:fill="auto"/>
                  <w:vAlign w:val="center"/>
                </w:tcPr>
                <w:p w14:paraId="36CCD8B4">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901" w:type="dxa"/>
                  <w:tcBorders>
                    <w:tl2br w:val="nil"/>
                    <w:tr2bl w:val="nil"/>
                  </w:tcBorders>
                  <w:shd w:val="clear" w:color="auto" w:fill="auto"/>
                  <w:vAlign w:val="center"/>
                </w:tcPr>
                <w:p w14:paraId="75DFB02F">
                  <w:pPr>
                    <w:pStyle w:val="26"/>
                    <w:wordWrap w:val="0"/>
                    <w:topLinePunct/>
                    <w:adjustRightInd w:val="0"/>
                    <w:snapToGrid w:val="0"/>
                    <w:spacing w:line="240" w:lineRule="auto"/>
                    <w:rPr>
                      <w:rFonts w:cs="Times New Roman"/>
                      <w:color w:val="auto"/>
                      <w:szCs w:val="21"/>
                    </w:rPr>
                  </w:pPr>
                  <w:r>
                    <w:rPr>
                      <w:rFonts w:cs="Times New Roman"/>
                      <w:color w:val="auto"/>
                      <w:szCs w:val="21"/>
                    </w:rPr>
                    <w:t>热值</w:t>
                  </w:r>
                </w:p>
                <w:p w14:paraId="199C2C3A">
                  <w:pPr>
                    <w:pStyle w:val="26"/>
                    <w:wordWrap w:val="0"/>
                    <w:topLinePunct/>
                    <w:adjustRightInd w:val="0"/>
                    <w:snapToGrid w:val="0"/>
                    <w:spacing w:line="240" w:lineRule="auto"/>
                    <w:ind w:firstLine="0" w:firstLineChars="0"/>
                    <w:rPr>
                      <w:rFonts w:cs="Times New Roman"/>
                      <w:color w:val="auto"/>
                      <w:sz w:val="21"/>
                      <w:szCs w:val="21"/>
                    </w:rPr>
                  </w:pPr>
                  <w:r>
                    <w:rPr>
                      <w:rFonts w:hint="eastAsia" w:cs="Times New Roman"/>
                      <w:color w:val="auto"/>
                      <w:szCs w:val="21"/>
                    </w:rPr>
                    <w:t>试验</w:t>
                  </w:r>
                </w:p>
              </w:tc>
              <w:tc>
                <w:tcPr>
                  <w:tcW w:w="1395" w:type="dxa"/>
                  <w:tcBorders>
                    <w:tl2br w:val="nil"/>
                    <w:tr2bl w:val="nil"/>
                  </w:tcBorders>
                  <w:shd w:val="clear" w:color="auto" w:fill="auto"/>
                  <w:vAlign w:val="center"/>
                </w:tcPr>
                <w:p w14:paraId="52D5AEC1">
                  <w:pPr>
                    <w:pStyle w:val="26"/>
                    <w:wordWrap w:val="0"/>
                    <w:topLinePunct/>
                    <w:adjustRightInd w:val="0"/>
                    <w:snapToGrid w:val="0"/>
                    <w:spacing w:line="240" w:lineRule="auto"/>
                    <w:ind w:firstLine="0" w:firstLineChars="0"/>
                    <w:rPr>
                      <w:rFonts w:cs="Times New Roman"/>
                      <w:color w:val="auto"/>
                      <w:szCs w:val="21"/>
                    </w:rPr>
                  </w:pPr>
                  <w:r>
                    <w:rPr>
                      <w:rFonts w:cs="Times New Roman"/>
                      <w:color w:val="auto"/>
                      <w:szCs w:val="21"/>
                    </w:rPr>
                    <w:t>建材制品燃烧热值试验装置</w:t>
                  </w:r>
                </w:p>
              </w:tc>
              <w:tc>
                <w:tcPr>
                  <w:tcW w:w="525" w:type="dxa"/>
                  <w:tcBorders>
                    <w:tl2br w:val="nil"/>
                    <w:tr2bl w:val="nil"/>
                  </w:tcBorders>
                  <w:vAlign w:val="center"/>
                </w:tcPr>
                <w:p w14:paraId="698C764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w:t>
                  </w:r>
                </w:p>
              </w:tc>
              <w:tc>
                <w:tcPr>
                  <w:tcW w:w="945" w:type="dxa"/>
                  <w:tcBorders>
                    <w:tl2br w:val="nil"/>
                    <w:tr2bl w:val="nil"/>
                  </w:tcBorders>
                  <w:vAlign w:val="center"/>
                </w:tcPr>
                <w:p w14:paraId="1D4EC30D">
                  <w:pPr>
                    <w:pStyle w:val="26"/>
                    <w:wordWrap w:val="0"/>
                    <w:topLinePunct/>
                    <w:adjustRightInd w:val="0"/>
                    <w:snapToGrid w:val="0"/>
                    <w:spacing w:line="240" w:lineRule="auto"/>
                    <w:ind w:firstLine="0" w:firstLineChars="0"/>
                    <w:rPr>
                      <w:rFonts w:hint="default" w:eastAsia="宋体" w:cs="Times New Roman"/>
                      <w:color w:val="auto"/>
                      <w:sz w:val="21"/>
                      <w:szCs w:val="21"/>
                      <w:lang w:val="en-US" w:eastAsia="zh-CN"/>
                    </w:rPr>
                  </w:pPr>
                  <w:r>
                    <w:rPr>
                      <w:rFonts w:hint="eastAsia" w:cs="Times New Roman"/>
                      <w:color w:val="auto"/>
                      <w:szCs w:val="21"/>
                      <w:lang w:val="en-US" w:eastAsia="zh-CN"/>
                    </w:rPr>
                    <w:t>150</w:t>
                  </w:r>
                </w:p>
              </w:tc>
              <w:tc>
                <w:tcPr>
                  <w:tcW w:w="975" w:type="dxa"/>
                  <w:tcBorders>
                    <w:tl2br w:val="nil"/>
                    <w:tr2bl w:val="nil"/>
                  </w:tcBorders>
                  <w:vAlign w:val="center"/>
                </w:tcPr>
                <w:p w14:paraId="326CB6B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9000</w:t>
                  </w:r>
                </w:p>
              </w:tc>
              <w:tc>
                <w:tcPr>
                  <w:tcW w:w="945" w:type="dxa"/>
                  <w:tcBorders>
                    <w:tl2br w:val="nil"/>
                    <w:tr2bl w:val="nil"/>
                  </w:tcBorders>
                  <w:vAlign w:val="center"/>
                </w:tcPr>
                <w:p w14:paraId="7A198E94">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375</w:t>
                  </w:r>
                </w:p>
              </w:tc>
              <w:tc>
                <w:tcPr>
                  <w:tcW w:w="885" w:type="dxa"/>
                  <w:tcBorders>
                    <w:tl2br w:val="nil"/>
                    <w:tr2bl w:val="nil"/>
                  </w:tcBorders>
                  <w:vAlign w:val="center"/>
                </w:tcPr>
                <w:p w14:paraId="659CE6CF">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16" w:type="dxa"/>
                  <w:tcBorders>
                    <w:tl2br w:val="nil"/>
                    <w:tr2bl w:val="nil"/>
                  </w:tcBorders>
                  <w:vAlign w:val="center"/>
                </w:tcPr>
                <w:p w14:paraId="2C0D6ECF">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08438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tcBorders>
                    <w:tl2br w:val="nil"/>
                    <w:tr2bl w:val="nil"/>
                  </w:tcBorders>
                  <w:shd w:val="clear" w:color="auto" w:fill="auto"/>
                  <w:vAlign w:val="center"/>
                </w:tcPr>
                <w:p w14:paraId="78F5194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901" w:type="dxa"/>
                  <w:tcBorders>
                    <w:tl2br w:val="nil"/>
                    <w:tr2bl w:val="nil"/>
                  </w:tcBorders>
                  <w:shd w:val="clear" w:color="auto" w:fill="auto"/>
                  <w:vAlign w:val="center"/>
                </w:tcPr>
                <w:p w14:paraId="126719D1">
                  <w:pPr>
                    <w:pStyle w:val="26"/>
                    <w:wordWrap w:val="0"/>
                    <w:topLinePunct/>
                    <w:adjustRightInd w:val="0"/>
                    <w:snapToGrid w:val="0"/>
                    <w:spacing w:line="240" w:lineRule="auto"/>
                    <w:rPr>
                      <w:rFonts w:cs="Times New Roman"/>
                      <w:color w:val="auto"/>
                      <w:szCs w:val="21"/>
                    </w:rPr>
                  </w:pPr>
                  <w:r>
                    <w:rPr>
                      <w:rFonts w:cs="Times New Roman"/>
                      <w:color w:val="auto"/>
                      <w:szCs w:val="21"/>
                    </w:rPr>
                    <w:t>不燃性</w:t>
                  </w:r>
                </w:p>
                <w:p w14:paraId="6AB3BD8D">
                  <w:pPr>
                    <w:pStyle w:val="26"/>
                    <w:wordWrap w:val="0"/>
                    <w:topLinePunct/>
                    <w:adjustRightInd w:val="0"/>
                    <w:snapToGrid w:val="0"/>
                    <w:spacing w:line="240" w:lineRule="auto"/>
                    <w:ind w:firstLine="0" w:firstLineChars="0"/>
                    <w:rPr>
                      <w:rFonts w:cs="Times New Roman"/>
                      <w:color w:val="auto"/>
                      <w:sz w:val="21"/>
                      <w:szCs w:val="21"/>
                    </w:rPr>
                  </w:pPr>
                  <w:r>
                    <w:rPr>
                      <w:rFonts w:hint="eastAsia" w:cs="Times New Roman"/>
                      <w:color w:val="auto"/>
                      <w:szCs w:val="21"/>
                    </w:rPr>
                    <w:t>试验</w:t>
                  </w:r>
                </w:p>
              </w:tc>
              <w:tc>
                <w:tcPr>
                  <w:tcW w:w="1395" w:type="dxa"/>
                  <w:tcBorders>
                    <w:tl2br w:val="nil"/>
                    <w:tr2bl w:val="nil"/>
                  </w:tcBorders>
                  <w:shd w:val="clear" w:color="auto" w:fill="auto"/>
                  <w:vAlign w:val="center"/>
                </w:tcPr>
                <w:p w14:paraId="0F8FDBB0">
                  <w:pPr>
                    <w:pStyle w:val="26"/>
                    <w:wordWrap w:val="0"/>
                    <w:topLinePunct/>
                    <w:adjustRightInd w:val="0"/>
                    <w:snapToGrid w:val="0"/>
                    <w:spacing w:line="240" w:lineRule="auto"/>
                    <w:ind w:firstLine="0" w:firstLineChars="0"/>
                    <w:rPr>
                      <w:rFonts w:cs="Times New Roman"/>
                      <w:color w:val="auto"/>
                      <w:szCs w:val="21"/>
                    </w:rPr>
                  </w:pPr>
                  <w:r>
                    <w:rPr>
                      <w:rFonts w:hint="eastAsia" w:cs="Times New Roman"/>
                      <w:color w:val="auto"/>
                      <w:szCs w:val="21"/>
                    </w:rPr>
                    <w:t>建材</w:t>
                  </w:r>
                  <w:r>
                    <w:rPr>
                      <w:rFonts w:cs="Times New Roman"/>
                      <w:color w:val="auto"/>
                      <w:szCs w:val="21"/>
                    </w:rPr>
                    <w:t>不燃性试验炉</w:t>
                  </w:r>
                </w:p>
              </w:tc>
              <w:tc>
                <w:tcPr>
                  <w:tcW w:w="525" w:type="dxa"/>
                  <w:tcBorders>
                    <w:tl2br w:val="nil"/>
                    <w:tr2bl w:val="nil"/>
                  </w:tcBorders>
                  <w:vAlign w:val="center"/>
                </w:tcPr>
                <w:p w14:paraId="01A10279">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945" w:type="dxa"/>
                  <w:tcBorders>
                    <w:tl2br w:val="nil"/>
                    <w:tr2bl w:val="nil"/>
                  </w:tcBorders>
                  <w:vAlign w:val="center"/>
                </w:tcPr>
                <w:p w14:paraId="460E6B88">
                  <w:pPr>
                    <w:pStyle w:val="26"/>
                    <w:wordWrap w:val="0"/>
                    <w:topLinePunct/>
                    <w:adjustRightInd w:val="0"/>
                    <w:snapToGrid w:val="0"/>
                    <w:spacing w:line="240" w:lineRule="auto"/>
                    <w:ind w:firstLine="0" w:firstLineChars="0"/>
                    <w:rPr>
                      <w:rFonts w:hint="default" w:eastAsia="宋体" w:cs="Times New Roman"/>
                      <w:color w:val="auto"/>
                      <w:sz w:val="21"/>
                      <w:szCs w:val="21"/>
                      <w:lang w:val="en-US" w:eastAsia="zh-CN"/>
                    </w:rPr>
                  </w:pPr>
                  <w:r>
                    <w:rPr>
                      <w:rFonts w:hint="eastAsia" w:cs="Times New Roman"/>
                      <w:color w:val="auto"/>
                      <w:szCs w:val="21"/>
                      <w:lang w:val="en-US" w:eastAsia="zh-CN"/>
                    </w:rPr>
                    <w:t>130</w:t>
                  </w:r>
                </w:p>
              </w:tc>
              <w:tc>
                <w:tcPr>
                  <w:tcW w:w="975" w:type="dxa"/>
                  <w:tcBorders>
                    <w:tl2br w:val="nil"/>
                    <w:tr2bl w:val="nil"/>
                  </w:tcBorders>
                  <w:vAlign w:val="center"/>
                </w:tcPr>
                <w:p w14:paraId="3A43B7F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9000</w:t>
                  </w:r>
                </w:p>
              </w:tc>
              <w:tc>
                <w:tcPr>
                  <w:tcW w:w="945" w:type="dxa"/>
                  <w:tcBorders>
                    <w:tl2br w:val="nil"/>
                    <w:tr2bl w:val="nil"/>
                  </w:tcBorders>
                  <w:vAlign w:val="center"/>
                </w:tcPr>
                <w:p w14:paraId="46066A2A">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325</w:t>
                  </w:r>
                </w:p>
              </w:tc>
              <w:tc>
                <w:tcPr>
                  <w:tcW w:w="885" w:type="dxa"/>
                  <w:tcBorders>
                    <w:tl2br w:val="nil"/>
                    <w:tr2bl w:val="nil"/>
                  </w:tcBorders>
                  <w:vAlign w:val="center"/>
                </w:tcPr>
                <w:p w14:paraId="05380B03">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16" w:type="dxa"/>
                  <w:tcBorders>
                    <w:tl2br w:val="nil"/>
                    <w:tr2bl w:val="nil"/>
                  </w:tcBorders>
                  <w:vAlign w:val="center"/>
                </w:tcPr>
                <w:p w14:paraId="46BDAF61">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774716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2A57CC91">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7</w:t>
                  </w:r>
                </w:p>
              </w:tc>
              <w:tc>
                <w:tcPr>
                  <w:tcW w:w="901" w:type="dxa"/>
                  <w:shd w:val="clear" w:color="auto" w:fill="auto"/>
                  <w:vAlign w:val="center"/>
                </w:tcPr>
                <w:p w14:paraId="6BAD32ED">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电线垂直燃烧试验</w:t>
                  </w:r>
                </w:p>
              </w:tc>
              <w:tc>
                <w:tcPr>
                  <w:tcW w:w="1395" w:type="dxa"/>
                  <w:shd w:val="clear" w:color="auto" w:fill="auto"/>
                  <w:vAlign w:val="center"/>
                </w:tcPr>
                <w:p w14:paraId="3D1FD1B1">
                  <w:pPr>
                    <w:pStyle w:val="26"/>
                    <w:adjustRightInd w:val="0"/>
                    <w:snapToGrid w:val="0"/>
                    <w:spacing w:line="240" w:lineRule="auto"/>
                    <w:rPr>
                      <w:rFonts w:cs="Times New Roman"/>
                      <w:color w:val="auto"/>
                      <w:szCs w:val="21"/>
                    </w:rPr>
                  </w:pPr>
                  <w:r>
                    <w:rPr>
                      <w:rFonts w:hint="eastAsia" w:cs="Times New Roman"/>
                      <w:color w:val="auto"/>
                      <w:szCs w:val="21"/>
                    </w:rPr>
                    <w:t>单根绝缘电线电缆垂直燃烧仪</w:t>
                  </w:r>
                </w:p>
              </w:tc>
              <w:tc>
                <w:tcPr>
                  <w:tcW w:w="525" w:type="dxa"/>
                  <w:vAlign w:val="center"/>
                </w:tcPr>
                <w:p w14:paraId="379744EF">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丙烷</w:t>
                  </w:r>
                </w:p>
              </w:tc>
              <w:tc>
                <w:tcPr>
                  <w:tcW w:w="945" w:type="dxa"/>
                  <w:vAlign w:val="center"/>
                </w:tcPr>
                <w:p w14:paraId="3F1D0A4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975" w:type="dxa"/>
                  <w:vAlign w:val="center"/>
                </w:tcPr>
                <w:p w14:paraId="698EB08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60</w:t>
                  </w:r>
                </w:p>
              </w:tc>
              <w:tc>
                <w:tcPr>
                  <w:tcW w:w="945" w:type="dxa"/>
                  <w:vAlign w:val="center"/>
                </w:tcPr>
                <w:p w14:paraId="15B4F99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0.33</w:t>
                  </w:r>
                </w:p>
              </w:tc>
              <w:tc>
                <w:tcPr>
                  <w:tcW w:w="885" w:type="dxa"/>
                  <w:vAlign w:val="center"/>
                </w:tcPr>
                <w:p w14:paraId="0EA2FCA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21.255</w:t>
                  </w:r>
                </w:p>
              </w:tc>
              <w:tc>
                <w:tcPr>
                  <w:tcW w:w="916" w:type="dxa"/>
                  <w:vAlign w:val="center"/>
                </w:tcPr>
                <w:p w14:paraId="1382AB7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25.51</w:t>
                  </w:r>
                </w:p>
              </w:tc>
            </w:tr>
            <w:tr w14:paraId="7F266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5F42BAB1">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901" w:type="dxa"/>
                  <w:shd w:val="clear" w:color="auto" w:fill="FFFFFF"/>
                  <w:vAlign w:val="center"/>
                </w:tcPr>
                <w:p w14:paraId="64A67C49">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阴燃试验</w:t>
                  </w:r>
                </w:p>
              </w:tc>
              <w:tc>
                <w:tcPr>
                  <w:tcW w:w="1395" w:type="dxa"/>
                  <w:shd w:val="clear" w:color="auto" w:fill="FFFFFF"/>
                  <w:vAlign w:val="center"/>
                </w:tcPr>
                <w:p w14:paraId="06A4E24D">
                  <w:pPr>
                    <w:pStyle w:val="26"/>
                    <w:wordWrap w:val="0"/>
                    <w:topLinePunct/>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rPr>
                    <w:t>阴燃试验炉</w:t>
                  </w:r>
                </w:p>
              </w:tc>
              <w:tc>
                <w:tcPr>
                  <w:tcW w:w="525" w:type="dxa"/>
                  <w:vAlign w:val="center"/>
                </w:tcPr>
                <w:p w14:paraId="03A9639A">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45" w:type="dxa"/>
                  <w:vAlign w:val="center"/>
                </w:tcPr>
                <w:p w14:paraId="295B54E9">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975" w:type="dxa"/>
                  <w:vAlign w:val="center"/>
                </w:tcPr>
                <w:p w14:paraId="1FB268FC">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24h</w:t>
                  </w:r>
                </w:p>
              </w:tc>
              <w:tc>
                <w:tcPr>
                  <w:tcW w:w="945" w:type="dxa"/>
                  <w:vAlign w:val="center"/>
                </w:tcPr>
                <w:p w14:paraId="5B75F78E">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720</w:t>
                  </w:r>
                </w:p>
              </w:tc>
              <w:tc>
                <w:tcPr>
                  <w:tcW w:w="885" w:type="dxa"/>
                  <w:vAlign w:val="center"/>
                </w:tcPr>
                <w:p w14:paraId="6E5A69B3">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16" w:type="dxa"/>
                  <w:vAlign w:val="center"/>
                </w:tcPr>
                <w:p w14:paraId="217C5662">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bl>
          <w:p w14:paraId="1354B731">
            <w:pPr>
              <w:ind w:firstLine="480"/>
              <w:rPr>
                <w:rFonts w:cs="Times New Roman"/>
                <w:color w:val="auto"/>
              </w:rPr>
            </w:pPr>
            <w:r>
              <w:rPr>
                <w:rFonts w:cs="Times New Roman"/>
                <w:color w:val="auto"/>
              </w:rPr>
              <w:t>（6）主要原辅料用量</w:t>
            </w:r>
          </w:p>
          <w:p w14:paraId="73044165">
            <w:pPr>
              <w:ind w:firstLine="480"/>
              <w:rPr>
                <w:rFonts w:cs="Times New Roman"/>
                <w:color w:val="auto"/>
              </w:rPr>
            </w:pPr>
            <w:r>
              <w:rPr>
                <w:rFonts w:cs="Times New Roman"/>
                <w:color w:val="auto"/>
              </w:rPr>
              <w:t>本项目主要原辅料用量如下表所示。</w:t>
            </w:r>
          </w:p>
          <w:p w14:paraId="55E18F1B">
            <w:pPr>
              <w:pStyle w:val="24"/>
              <w:rPr>
                <w:rFonts w:cs="Times New Roman"/>
                <w:color w:val="auto"/>
              </w:rPr>
            </w:pPr>
            <w:r>
              <w:rPr>
                <w:rFonts w:cs="Times New Roman"/>
                <w:color w:val="auto"/>
              </w:rPr>
              <w:t>表2-</w:t>
            </w:r>
            <w:r>
              <w:rPr>
                <w:rFonts w:hint="eastAsia" w:cs="Times New Roman"/>
                <w:color w:val="auto"/>
              </w:rPr>
              <w:t>5</w:t>
            </w:r>
            <w:r>
              <w:rPr>
                <w:rFonts w:cs="Times New Roman"/>
                <w:color w:val="auto"/>
              </w:rPr>
              <w:t xml:space="preserve"> 项目主要原辅料用量一览表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500"/>
              <w:gridCol w:w="1152"/>
              <w:gridCol w:w="753"/>
              <w:gridCol w:w="1215"/>
              <w:gridCol w:w="1390"/>
              <w:gridCol w:w="1326"/>
            </w:tblGrid>
            <w:tr w14:paraId="2FC04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7F1C4003">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序号</w:t>
                  </w:r>
                </w:p>
              </w:tc>
              <w:tc>
                <w:tcPr>
                  <w:tcW w:w="1500" w:type="dxa"/>
                  <w:tcBorders>
                    <w:tl2br w:val="nil"/>
                    <w:tr2bl w:val="nil"/>
                  </w:tcBorders>
                  <w:vAlign w:val="center"/>
                </w:tcPr>
                <w:p w14:paraId="2BD47364">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名称</w:t>
                  </w:r>
                </w:p>
              </w:tc>
              <w:tc>
                <w:tcPr>
                  <w:tcW w:w="1152" w:type="dxa"/>
                  <w:tcBorders>
                    <w:tl2br w:val="nil"/>
                    <w:tr2bl w:val="nil"/>
                  </w:tcBorders>
                  <w:vAlign w:val="center"/>
                </w:tcPr>
                <w:p w14:paraId="3AD3439D">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规格</w:t>
                  </w:r>
                </w:p>
              </w:tc>
              <w:tc>
                <w:tcPr>
                  <w:tcW w:w="753" w:type="dxa"/>
                  <w:tcBorders>
                    <w:tl2br w:val="nil"/>
                    <w:tr2bl w:val="nil"/>
                  </w:tcBorders>
                  <w:vAlign w:val="center"/>
                </w:tcPr>
                <w:p w14:paraId="639FB326">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单位</w:t>
                  </w:r>
                </w:p>
              </w:tc>
              <w:tc>
                <w:tcPr>
                  <w:tcW w:w="1215" w:type="dxa"/>
                  <w:tcBorders>
                    <w:tl2br w:val="nil"/>
                    <w:tr2bl w:val="nil"/>
                  </w:tcBorders>
                  <w:vAlign w:val="center"/>
                </w:tcPr>
                <w:p w14:paraId="391ACD9B">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年消耗量</w:t>
                  </w:r>
                </w:p>
              </w:tc>
              <w:tc>
                <w:tcPr>
                  <w:tcW w:w="1390" w:type="dxa"/>
                  <w:tcBorders>
                    <w:tl2br w:val="nil"/>
                    <w:tr2bl w:val="nil"/>
                  </w:tcBorders>
                  <w:vAlign w:val="center"/>
                </w:tcPr>
                <w:p w14:paraId="04363FA4">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最大储存量</w:t>
                  </w:r>
                </w:p>
              </w:tc>
              <w:tc>
                <w:tcPr>
                  <w:tcW w:w="1326" w:type="dxa"/>
                  <w:tcBorders>
                    <w:tl2br w:val="nil"/>
                    <w:tr2bl w:val="nil"/>
                  </w:tcBorders>
                  <w:vAlign w:val="center"/>
                </w:tcPr>
                <w:p w14:paraId="52A51693">
                  <w:pPr>
                    <w:adjustRightInd w:val="0"/>
                    <w:snapToGrid w:val="0"/>
                    <w:spacing w:line="240" w:lineRule="auto"/>
                    <w:ind w:firstLine="0" w:firstLineChars="0"/>
                    <w:jc w:val="center"/>
                    <w:rPr>
                      <w:rFonts w:hint="default" w:eastAsia="宋体" w:cs="Times New Roman"/>
                      <w:b/>
                      <w:bCs/>
                      <w:color w:val="auto"/>
                      <w:sz w:val="21"/>
                      <w:szCs w:val="21"/>
                      <w:lang w:val="en-US" w:eastAsia="zh-CN"/>
                    </w:rPr>
                  </w:pPr>
                  <w:r>
                    <w:rPr>
                      <w:rFonts w:hint="eastAsia" w:cs="Times New Roman"/>
                      <w:b/>
                      <w:bCs/>
                      <w:color w:val="auto"/>
                      <w:sz w:val="21"/>
                      <w:szCs w:val="21"/>
                      <w:lang w:val="en-US" w:eastAsia="zh-CN"/>
                    </w:rPr>
                    <w:t>用途</w:t>
                  </w:r>
                </w:p>
              </w:tc>
            </w:tr>
            <w:tr w14:paraId="3A733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0625551F">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1</w:t>
                  </w:r>
                </w:p>
              </w:tc>
              <w:tc>
                <w:tcPr>
                  <w:tcW w:w="1500" w:type="dxa"/>
                  <w:tcBorders>
                    <w:tl2br w:val="nil"/>
                    <w:tr2bl w:val="nil"/>
                  </w:tcBorders>
                  <w:shd w:val="clear" w:color="auto" w:fill="auto"/>
                  <w:vAlign w:val="center"/>
                </w:tcPr>
                <w:p w14:paraId="54A4A963">
                  <w:pPr>
                    <w:pStyle w:val="26"/>
                    <w:adjustRightInd w:val="0"/>
                    <w:snapToGrid w:val="0"/>
                    <w:spacing w:line="240" w:lineRule="auto"/>
                    <w:rPr>
                      <w:rFonts w:cs="Times New Roman"/>
                      <w:color w:val="auto"/>
                      <w:szCs w:val="21"/>
                    </w:rPr>
                  </w:pPr>
                  <w:r>
                    <w:rPr>
                      <w:rFonts w:cs="Times New Roman"/>
                      <w:color w:val="auto"/>
                      <w:szCs w:val="21"/>
                    </w:rPr>
                    <w:t>甲烷</w:t>
                  </w:r>
                </w:p>
              </w:tc>
              <w:tc>
                <w:tcPr>
                  <w:tcW w:w="1152" w:type="dxa"/>
                  <w:tcBorders>
                    <w:tl2br w:val="nil"/>
                    <w:tr2bl w:val="nil"/>
                  </w:tcBorders>
                  <w:shd w:val="clear" w:color="auto" w:fill="auto"/>
                  <w:vAlign w:val="center"/>
                </w:tcPr>
                <w:p w14:paraId="3C963DC7">
                  <w:pPr>
                    <w:pStyle w:val="26"/>
                    <w:adjustRightInd w:val="0"/>
                    <w:snapToGrid w:val="0"/>
                    <w:spacing w:line="240" w:lineRule="auto"/>
                    <w:rPr>
                      <w:rFonts w:cs="Times New Roman"/>
                      <w:color w:val="auto"/>
                      <w:szCs w:val="21"/>
                    </w:rPr>
                  </w:pPr>
                  <w:r>
                    <w:rPr>
                      <w:rFonts w:hint="eastAsia" w:cs="Times New Roman"/>
                      <w:color w:val="auto"/>
                      <w:szCs w:val="21"/>
                      <w:lang w:val="en-US" w:eastAsia="zh-CN"/>
                    </w:rPr>
                    <w:t>15kg</w:t>
                  </w:r>
                  <w:r>
                    <w:rPr>
                      <w:rFonts w:cs="Times New Roman"/>
                      <w:color w:val="auto"/>
                      <w:szCs w:val="21"/>
                    </w:rPr>
                    <w:t>/瓶</w:t>
                  </w:r>
                </w:p>
              </w:tc>
              <w:tc>
                <w:tcPr>
                  <w:tcW w:w="753" w:type="dxa"/>
                  <w:tcBorders>
                    <w:tl2br w:val="nil"/>
                    <w:tr2bl w:val="nil"/>
                  </w:tcBorders>
                  <w:shd w:val="clear" w:color="auto" w:fill="auto"/>
                  <w:vAlign w:val="center"/>
                </w:tcPr>
                <w:p w14:paraId="6FF12A54">
                  <w:pPr>
                    <w:pStyle w:val="26"/>
                    <w:adjustRightInd w:val="0"/>
                    <w:snapToGrid w:val="0"/>
                    <w:spacing w:line="240" w:lineRule="auto"/>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45463589">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7AB71656">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2</w:t>
                  </w:r>
                </w:p>
              </w:tc>
              <w:tc>
                <w:tcPr>
                  <w:tcW w:w="1326" w:type="dxa"/>
                  <w:tcBorders>
                    <w:tl2br w:val="nil"/>
                    <w:tr2bl w:val="nil"/>
                  </w:tcBorders>
                  <w:vAlign w:val="center"/>
                </w:tcPr>
                <w:p w14:paraId="5BA5EBD9">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试验燃料</w:t>
                  </w:r>
                </w:p>
              </w:tc>
            </w:tr>
            <w:tr w14:paraId="422F0C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0B7AA771">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2</w:t>
                  </w:r>
                </w:p>
              </w:tc>
              <w:tc>
                <w:tcPr>
                  <w:tcW w:w="1500" w:type="dxa"/>
                  <w:tcBorders>
                    <w:tl2br w:val="nil"/>
                    <w:tr2bl w:val="nil"/>
                  </w:tcBorders>
                  <w:shd w:val="clear" w:color="auto" w:fill="auto"/>
                  <w:vAlign w:val="center"/>
                </w:tcPr>
                <w:p w14:paraId="54858433">
                  <w:pPr>
                    <w:pStyle w:val="26"/>
                    <w:adjustRightInd w:val="0"/>
                    <w:snapToGrid w:val="0"/>
                    <w:spacing w:line="240" w:lineRule="auto"/>
                    <w:rPr>
                      <w:rFonts w:cs="Times New Roman"/>
                      <w:color w:val="auto"/>
                      <w:szCs w:val="21"/>
                    </w:rPr>
                  </w:pPr>
                  <w:r>
                    <w:rPr>
                      <w:rFonts w:cs="Times New Roman"/>
                      <w:color w:val="auto"/>
                      <w:szCs w:val="21"/>
                    </w:rPr>
                    <w:t>丙烷</w:t>
                  </w:r>
                </w:p>
              </w:tc>
              <w:tc>
                <w:tcPr>
                  <w:tcW w:w="1152" w:type="dxa"/>
                  <w:tcBorders>
                    <w:tl2br w:val="nil"/>
                    <w:tr2bl w:val="nil"/>
                  </w:tcBorders>
                  <w:shd w:val="clear" w:color="auto" w:fill="auto"/>
                  <w:vAlign w:val="center"/>
                </w:tcPr>
                <w:p w14:paraId="12B1C817">
                  <w:pPr>
                    <w:pStyle w:val="26"/>
                    <w:adjustRightInd w:val="0"/>
                    <w:snapToGrid w:val="0"/>
                    <w:spacing w:line="240" w:lineRule="auto"/>
                    <w:rPr>
                      <w:rFonts w:cs="Times New Roman"/>
                      <w:color w:val="auto"/>
                      <w:szCs w:val="21"/>
                    </w:rPr>
                  </w:pPr>
                  <w:r>
                    <w:rPr>
                      <w:rFonts w:hint="eastAsia" w:cs="Times New Roman"/>
                      <w:color w:val="auto"/>
                      <w:szCs w:val="21"/>
                      <w:lang w:val="en-US" w:eastAsia="zh-CN"/>
                    </w:rPr>
                    <w:t>15</w:t>
                  </w:r>
                  <w:r>
                    <w:rPr>
                      <w:rFonts w:cs="Times New Roman"/>
                      <w:color w:val="auto"/>
                      <w:szCs w:val="21"/>
                    </w:rPr>
                    <w:t>kg/瓶</w:t>
                  </w:r>
                </w:p>
              </w:tc>
              <w:tc>
                <w:tcPr>
                  <w:tcW w:w="753" w:type="dxa"/>
                  <w:tcBorders>
                    <w:tl2br w:val="nil"/>
                    <w:tr2bl w:val="nil"/>
                  </w:tcBorders>
                  <w:shd w:val="clear" w:color="auto" w:fill="auto"/>
                  <w:vAlign w:val="center"/>
                </w:tcPr>
                <w:p w14:paraId="36A3A8B1">
                  <w:pPr>
                    <w:pStyle w:val="26"/>
                    <w:adjustRightInd w:val="0"/>
                    <w:snapToGrid w:val="0"/>
                    <w:spacing w:line="240" w:lineRule="auto"/>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F20ED5F">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54</w:t>
                  </w:r>
                </w:p>
              </w:tc>
              <w:tc>
                <w:tcPr>
                  <w:tcW w:w="1390" w:type="dxa"/>
                  <w:tcBorders>
                    <w:tl2br w:val="nil"/>
                    <w:tr2bl w:val="nil"/>
                  </w:tcBorders>
                  <w:vAlign w:val="center"/>
                </w:tcPr>
                <w:p w14:paraId="1397DD80">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highlight w:val="none"/>
                      <w:lang w:val="en-US" w:eastAsia="zh-CN"/>
                    </w:rPr>
                    <w:t>10</w:t>
                  </w:r>
                </w:p>
              </w:tc>
              <w:tc>
                <w:tcPr>
                  <w:tcW w:w="1326" w:type="dxa"/>
                  <w:tcBorders>
                    <w:tl2br w:val="nil"/>
                    <w:tr2bl w:val="nil"/>
                  </w:tcBorders>
                  <w:vAlign w:val="center"/>
                </w:tcPr>
                <w:p w14:paraId="5B958633">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试验燃料</w:t>
                  </w:r>
                </w:p>
              </w:tc>
            </w:tr>
            <w:tr w14:paraId="31B57F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3EA0046A">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1500" w:type="dxa"/>
                  <w:tcBorders>
                    <w:tl2br w:val="nil"/>
                    <w:tr2bl w:val="nil"/>
                  </w:tcBorders>
                  <w:shd w:val="clear" w:color="auto" w:fill="auto"/>
                  <w:vAlign w:val="center"/>
                </w:tcPr>
                <w:p w14:paraId="5A75272A">
                  <w:pPr>
                    <w:pStyle w:val="26"/>
                    <w:adjustRightInd w:val="0"/>
                    <w:snapToGrid w:val="0"/>
                    <w:spacing w:line="240" w:lineRule="auto"/>
                    <w:rPr>
                      <w:rFonts w:cs="Times New Roman"/>
                      <w:color w:val="auto"/>
                      <w:szCs w:val="21"/>
                    </w:rPr>
                  </w:pPr>
                  <w:r>
                    <w:rPr>
                      <w:rFonts w:cs="Times New Roman"/>
                      <w:color w:val="auto"/>
                      <w:szCs w:val="21"/>
                    </w:rPr>
                    <w:t>氮气</w:t>
                  </w:r>
                </w:p>
              </w:tc>
              <w:tc>
                <w:tcPr>
                  <w:tcW w:w="1152" w:type="dxa"/>
                  <w:tcBorders>
                    <w:tl2br w:val="nil"/>
                    <w:tr2bl w:val="nil"/>
                  </w:tcBorders>
                  <w:shd w:val="clear" w:color="auto" w:fill="auto"/>
                  <w:vAlign w:val="center"/>
                </w:tcPr>
                <w:p w14:paraId="0189EADC">
                  <w:pPr>
                    <w:pStyle w:val="26"/>
                    <w:adjustRightInd w:val="0"/>
                    <w:snapToGrid w:val="0"/>
                    <w:spacing w:line="240" w:lineRule="auto"/>
                    <w:rPr>
                      <w:rFonts w:cs="Times New Roman"/>
                      <w:color w:val="auto"/>
                      <w:szCs w:val="21"/>
                    </w:rPr>
                  </w:pPr>
                  <w:r>
                    <w:rPr>
                      <w:rFonts w:hint="eastAsia" w:cs="Times New Roman"/>
                      <w:color w:val="auto"/>
                      <w:szCs w:val="21"/>
                      <w:lang w:val="en-US" w:eastAsia="zh-CN"/>
                    </w:rPr>
                    <w:t>15kg</w:t>
                  </w:r>
                  <w:r>
                    <w:rPr>
                      <w:rFonts w:cs="Times New Roman"/>
                      <w:color w:val="auto"/>
                      <w:szCs w:val="21"/>
                    </w:rPr>
                    <w:t>/瓶</w:t>
                  </w:r>
                </w:p>
              </w:tc>
              <w:tc>
                <w:tcPr>
                  <w:tcW w:w="753" w:type="dxa"/>
                  <w:tcBorders>
                    <w:tl2br w:val="nil"/>
                    <w:tr2bl w:val="nil"/>
                  </w:tcBorders>
                  <w:shd w:val="clear" w:color="auto" w:fill="auto"/>
                  <w:vAlign w:val="center"/>
                </w:tcPr>
                <w:p w14:paraId="3B2A033E">
                  <w:pPr>
                    <w:pStyle w:val="26"/>
                    <w:adjustRightInd w:val="0"/>
                    <w:snapToGrid w:val="0"/>
                    <w:spacing w:line="240" w:lineRule="auto"/>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4332DD8C">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w:t>
                  </w:r>
                </w:p>
              </w:tc>
              <w:tc>
                <w:tcPr>
                  <w:tcW w:w="1390" w:type="dxa"/>
                  <w:tcBorders>
                    <w:tl2br w:val="nil"/>
                    <w:tr2bl w:val="nil"/>
                  </w:tcBorders>
                  <w:vAlign w:val="center"/>
                </w:tcPr>
                <w:p w14:paraId="5C7E01C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2</w:t>
                  </w:r>
                </w:p>
              </w:tc>
              <w:tc>
                <w:tcPr>
                  <w:tcW w:w="1326" w:type="dxa"/>
                  <w:tcBorders>
                    <w:tl2br w:val="nil"/>
                    <w:tr2bl w:val="nil"/>
                  </w:tcBorders>
                  <w:vAlign w:val="center"/>
                </w:tcPr>
                <w:p w14:paraId="1F2741A0">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试验燃料</w:t>
                  </w:r>
                </w:p>
              </w:tc>
            </w:tr>
            <w:tr w14:paraId="57321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763208AC">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4</w:t>
                  </w:r>
                </w:p>
              </w:tc>
              <w:tc>
                <w:tcPr>
                  <w:tcW w:w="1500" w:type="dxa"/>
                  <w:tcBorders>
                    <w:tl2br w:val="nil"/>
                    <w:tr2bl w:val="nil"/>
                  </w:tcBorders>
                  <w:shd w:val="clear" w:color="auto" w:fill="auto"/>
                  <w:vAlign w:val="center"/>
                </w:tcPr>
                <w:p w14:paraId="76DE953A">
                  <w:pPr>
                    <w:pStyle w:val="26"/>
                    <w:adjustRightInd w:val="0"/>
                    <w:snapToGrid w:val="0"/>
                    <w:spacing w:line="240" w:lineRule="auto"/>
                    <w:rPr>
                      <w:rFonts w:cs="Times New Roman"/>
                      <w:color w:val="auto"/>
                      <w:szCs w:val="21"/>
                    </w:rPr>
                  </w:pPr>
                  <w:r>
                    <w:rPr>
                      <w:rFonts w:cs="Times New Roman"/>
                      <w:color w:val="auto"/>
                      <w:szCs w:val="21"/>
                    </w:rPr>
                    <w:t>氧气</w:t>
                  </w:r>
                </w:p>
              </w:tc>
              <w:tc>
                <w:tcPr>
                  <w:tcW w:w="1152" w:type="dxa"/>
                  <w:tcBorders>
                    <w:tl2br w:val="nil"/>
                    <w:tr2bl w:val="nil"/>
                  </w:tcBorders>
                  <w:shd w:val="clear" w:color="auto" w:fill="auto"/>
                  <w:vAlign w:val="center"/>
                </w:tcPr>
                <w:p w14:paraId="64B8E991">
                  <w:pPr>
                    <w:pStyle w:val="26"/>
                    <w:adjustRightInd w:val="0"/>
                    <w:snapToGrid w:val="0"/>
                    <w:spacing w:line="240" w:lineRule="auto"/>
                    <w:rPr>
                      <w:rFonts w:cs="Times New Roman"/>
                      <w:color w:val="auto"/>
                      <w:szCs w:val="21"/>
                    </w:rPr>
                  </w:pPr>
                  <w:r>
                    <w:rPr>
                      <w:rFonts w:hint="eastAsia" w:cs="Times New Roman"/>
                      <w:color w:val="auto"/>
                      <w:szCs w:val="21"/>
                      <w:lang w:val="en-US" w:eastAsia="zh-CN"/>
                    </w:rPr>
                    <w:t>15kg</w:t>
                  </w:r>
                  <w:r>
                    <w:rPr>
                      <w:rFonts w:cs="Times New Roman"/>
                      <w:color w:val="auto"/>
                      <w:szCs w:val="21"/>
                    </w:rPr>
                    <w:t>/瓶</w:t>
                  </w:r>
                </w:p>
              </w:tc>
              <w:tc>
                <w:tcPr>
                  <w:tcW w:w="753" w:type="dxa"/>
                  <w:tcBorders>
                    <w:tl2br w:val="nil"/>
                    <w:tr2bl w:val="nil"/>
                  </w:tcBorders>
                  <w:shd w:val="clear" w:color="auto" w:fill="auto"/>
                  <w:vAlign w:val="center"/>
                </w:tcPr>
                <w:p w14:paraId="4AA8607F">
                  <w:pPr>
                    <w:pStyle w:val="26"/>
                    <w:adjustRightInd w:val="0"/>
                    <w:snapToGrid w:val="0"/>
                    <w:spacing w:line="240" w:lineRule="auto"/>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2FFFA257">
                  <w:pPr>
                    <w:pStyle w:val="26"/>
                    <w:adjustRightInd w:val="0"/>
                    <w:snapToGrid w:val="0"/>
                    <w:spacing w:line="240" w:lineRule="auto"/>
                    <w:rPr>
                      <w:rFonts w:cs="Times New Roman"/>
                      <w:color w:val="auto"/>
                      <w:szCs w:val="21"/>
                    </w:rPr>
                  </w:pPr>
                  <w:r>
                    <w:rPr>
                      <w:rFonts w:cs="Times New Roman"/>
                      <w:color w:val="auto"/>
                      <w:szCs w:val="21"/>
                    </w:rPr>
                    <w:t>10</w:t>
                  </w:r>
                </w:p>
              </w:tc>
              <w:tc>
                <w:tcPr>
                  <w:tcW w:w="1390" w:type="dxa"/>
                  <w:tcBorders>
                    <w:tl2br w:val="nil"/>
                    <w:tr2bl w:val="nil"/>
                  </w:tcBorders>
                  <w:vAlign w:val="center"/>
                </w:tcPr>
                <w:p w14:paraId="00929F8E">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2</w:t>
                  </w:r>
                </w:p>
              </w:tc>
              <w:tc>
                <w:tcPr>
                  <w:tcW w:w="1326" w:type="dxa"/>
                  <w:tcBorders>
                    <w:tl2br w:val="nil"/>
                    <w:tr2bl w:val="nil"/>
                  </w:tcBorders>
                  <w:vAlign w:val="center"/>
                </w:tcPr>
                <w:p w14:paraId="5C6929D5">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试验燃料</w:t>
                  </w:r>
                </w:p>
              </w:tc>
            </w:tr>
            <w:tr w14:paraId="6DBA4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2FD2ACC3">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5</w:t>
                  </w:r>
                </w:p>
              </w:tc>
              <w:tc>
                <w:tcPr>
                  <w:tcW w:w="1500" w:type="dxa"/>
                  <w:tcBorders>
                    <w:tl2br w:val="nil"/>
                    <w:tr2bl w:val="nil"/>
                  </w:tcBorders>
                  <w:shd w:val="clear" w:color="auto" w:fill="auto"/>
                  <w:vAlign w:val="center"/>
                </w:tcPr>
                <w:p w14:paraId="5933F112">
                  <w:pPr>
                    <w:pStyle w:val="26"/>
                    <w:adjustRightInd w:val="0"/>
                    <w:snapToGrid w:val="0"/>
                    <w:spacing w:line="240" w:lineRule="auto"/>
                    <w:rPr>
                      <w:rFonts w:cs="Times New Roman"/>
                      <w:color w:val="auto"/>
                      <w:szCs w:val="21"/>
                    </w:rPr>
                  </w:pPr>
                  <w:r>
                    <w:rPr>
                      <w:rFonts w:cs="Times New Roman"/>
                      <w:color w:val="auto"/>
                      <w:szCs w:val="21"/>
                    </w:rPr>
                    <w:t>苯甲酸</w:t>
                  </w:r>
                </w:p>
              </w:tc>
              <w:tc>
                <w:tcPr>
                  <w:tcW w:w="1152" w:type="dxa"/>
                  <w:tcBorders>
                    <w:tl2br w:val="nil"/>
                    <w:tr2bl w:val="nil"/>
                  </w:tcBorders>
                  <w:shd w:val="clear" w:color="auto" w:fill="auto"/>
                  <w:vAlign w:val="center"/>
                </w:tcPr>
                <w:p w14:paraId="7004F2C2">
                  <w:pPr>
                    <w:pStyle w:val="26"/>
                    <w:adjustRightInd w:val="0"/>
                    <w:snapToGrid w:val="0"/>
                    <w:spacing w:line="240" w:lineRule="auto"/>
                    <w:rPr>
                      <w:rFonts w:hint="eastAsia" w:eastAsia="宋体" w:cs="Times New Roman"/>
                      <w:color w:val="auto"/>
                      <w:szCs w:val="21"/>
                      <w:lang w:val="en-US" w:eastAsia="zh-CN"/>
                    </w:rPr>
                  </w:pPr>
                  <w:r>
                    <w:rPr>
                      <w:rFonts w:hint="eastAsia" w:cs="Times New Roman"/>
                      <w:color w:val="auto"/>
                      <w:szCs w:val="21"/>
                      <w:lang w:val="en-US" w:eastAsia="zh-CN"/>
                    </w:rPr>
                    <w:t>1</w:t>
                  </w:r>
                  <w:r>
                    <w:rPr>
                      <w:rFonts w:cs="Times New Roman"/>
                      <w:color w:val="auto"/>
                      <w:szCs w:val="21"/>
                    </w:rPr>
                    <w:t>g/</w:t>
                  </w:r>
                  <w:r>
                    <w:rPr>
                      <w:rFonts w:hint="eastAsia" w:cs="Times New Roman"/>
                      <w:color w:val="auto"/>
                      <w:szCs w:val="21"/>
                      <w:lang w:val="en-US" w:eastAsia="zh-CN"/>
                    </w:rPr>
                    <w:t>片</w:t>
                  </w:r>
                </w:p>
              </w:tc>
              <w:tc>
                <w:tcPr>
                  <w:tcW w:w="753" w:type="dxa"/>
                  <w:tcBorders>
                    <w:tl2br w:val="nil"/>
                    <w:tr2bl w:val="nil"/>
                  </w:tcBorders>
                  <w:shd w:val="clear" w:color="auto" w:fill="auto"/>
                  <w:vAlign w:val="center"/>
                </w:tcPr>
                <w:p w14:paraId="03A9F8B6">
                  <w:pPr>
                    <w:pStyle w:val="26"/>
                    <w:adjustRightInd w:val="0"/>
                    <w:snapToGrid w:val="0"/>
                    <w:spacing w:line="240" w:lineRule="auto"/>
                    <w:rPr>
                      <w:rFonts w:cs="Times New Roman"/>
                      <w:color w:val="auto"/>
                      <w:szCs w:val="21"/>
                    </w:rPr>
                  </w:pPr>
                  <w:r>
                    <w:rPr>
                      <w:rFonts w:hint="eastAsia" w:cs="Times New Roman"/>
                      <w:color w:val="auto"/>
                      <w:szCs w:val="21"/>
                      <w:lang w:val="en-US" w:eastAsia="zh-CN"/>
                    </w:rPr>
                    <w:t>片</w:t>
                  </w:r>
                  <w:r>
                    <w:rPr>
                      <w:rFonts w:cs="Times New Roman"/>
                      <w:color w:val="auto"/>
                      <w:szCs w:val="21"/>
                    </w:rPr>
                    <w:t>/a</w:t>
                  </w:r>
                </w:p>
              </w:tc>
              <w:tc>
                <w:tcPr>
                  <w:tcW w:w="1215" w:type="dxa"/>
                  <w:tcBorders>
                    <w:tl2br w:val="nil"/>
                    <w:tr2bl w:val="nil"/>
                  </w:tcBorders>
                  <w:shd w:val="clear" w:color="auto" w:fill="auto"/>
                  <w:vAlign w:val="center"/>
                </w:tcPr>
                <w:p w14:paraId="0C4D5D8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w:t>
                  </w:r>
                </w:p>
              </w:tc>
              <w:tc>
                <w:tcPr>
                  <w:tcW w:w="1390" w:type="dxa"/>
                  <w:tcBorders>
                    <w:tl2br w:val="nil"/>
                    <w:tr2bl w:val="nil"/>
                  </w:tcBorders>
                  <w:vAlign w:val="center"/>
                </w:tcPr>
                <w:p w14:paraId="0599230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500</w:t>
                  </w:r>
                </w:p>
              </w:tc>
              <w:tc>
                <w:tcPr>
                  <w:tcW w:w="1326" w:type="dxa"/>
                  <w:tcBorders>
                    <w:tl2br w:val="nil"/>
                    <w:tr2bl w:val="nil"/>
                  </w:tcBorders>
                  <w:vAlign w:val="center"/>
                </w:tcPr>
                <w:p w14:paraId="73B91E76">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试验辅料</w:t>
                  </w:r>
                </w:p>
              </w:tc>
            </w:tr>
            <w:tr w14:paraId="28A71C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shd w:val="clear" w:color="auto" w:fill="auto"/>
                  <w:vAlign w:val="center"/>
                </w:tcPr>
                <w:p w14:paraId="07F1C297">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500" w:type="dxa"/>
                  <w:tcBorders>
                    <w:tl2br w:val="nil"/>
                    <w:tr2bl w:val="nil"/>
                  </w:tcBorders>
                  <w:shd w:val="clear" w:color="auto" w:fill="auto"/>
                  <w:vAlign w:val="center"/>
                </w:tcPr>
                <w:p w14:paraId="2212E3CF">
                  <w:pPr>
                    <w:pStyle w:val="26"/>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乙醇</w:t>
                  </w:r>
                </w:p>
              </w:tc>
              <w:tc>
                <w:tcPr>
                  <w:tcW w:w="1152" w:type="dxa"/>
                  <w:tcBorders>
                    <w:tl2br w:val="nil"/>
                    <w:tr2bl w:val="nil"/>
                  </w:tcBorders>
                  <w:shd w:val="clear" w:color="auto" w:fill="auto"/>
                  <w:vAlign w:val="center"/>
                </w:tcPr>
                <w:p w14:paraId="1B55D3FF">
                  <w:pPr>
                    <w:pStyle w:val="26"/>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351B38B1">
                  <w:pPr>
                    <w:pStyle w:val="26"/>
                    <w:adjustRightInd w:val="0"/>
                    <w:snapToGrid w:val="0"/>
                    <w:spacing w:line="240" w:lineRule="auto"/>
                    <w:ind w:firstLine="0" w:firstLineChars="0"/>
                    <w:rPr>
                      <w:rFonts w:ascii="Times New Roman" w:hAnsi="Times New Roman" w:eastAsia="宋体" w:cs="Times New Roman"/>
                      <w:color w:val="auto"/>
                      <w:kern w:val="2"/>
                      <w:sz w:val="21"/>
                      <w:szCs w:val="21"/>
                      <w:lang w:val="en-US" w:eastAsia="zh-CN" w:bidi="ar-SA"/>
                    </w:rPr>
                  </w:pPr>
                  <w:r>
                    <w:rPr>
                      <w:rFonts w:cs="Times New Roman"/>
                      <w:color w:val="auto"/>
                      <w:szCs w:val="21"/>
                    </w:rPr>
                    <w:t>瓶/a</w:t>
                  </w:r>
                </w:p>
              </w:tc>
              <w:tc>
                <w:tcPr>
                  <w:tcW w:w="1215" w:type="dxa"/>
                  <w:tcBorders>
                    <w:tl2br w:val="nil"/>
                    <w:tr2bl w:val="nil"/>
                  </w:tcBorders>
                  <w:shd w:val="clear" w:color="auto" w:fill="auto"/>
                  <w:vAlign w:val="center"/>
                </w:tcPr>
                <w:p w14:paraId="122FE455">
                  <w:pPr>
                    <w:pStyle w:val="26"/>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w:t>
                  </w:r>
                </w:p>
              </w:tc>
              <w:tc>
                <w:tcPr>
                  <w:tcW w:w="1390" w:type="dxa"/>
                  <w:tcBorders>
                    <w:tl2br w:val="nil"/>
                    <w:tr2bl w:val="nil"/>
                  </w:tcBorders>
                  <w:shd w:val="clear" w:color="auto" w:fill="auto"/>
                  <w:vAlign w:val="center"/>
                </w:tcPr>
                <w:p w14:paraId="4B584FEC">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326" w:type="dxa"/>
                  <w:tcBorders>
                    <w:tl2br w:val="nil"/>
                    <w:tr2bl w:val="nil"/>
                  </w:tcBorders>
                  <w:shd w:val="clear" w:color="auto" w:fill="auto"/>
                  <w:vAlign w:val="center"/>
                </w:tcPr>
                <w:p w14:paraId="5F31F28D">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实验试剂</w:t>
                  </w:r>
                </w:p>
              </w:tc>
            </w:tr>
            <w:tr w14:paraId="1666E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102BBBE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w:t>
                  </w:r>
                </w:p>
              </w:tc>
              <w:tc>
                <w:tcPr>
                  <w:tcW w:w="1500" w:type="dxa"/>
                  <w:tcBorders>
                    <w:tl2br w:val="nil"/>
                    <w:tr2bl w:val="nil"/>
                  </w:tcBorders>
                  <w:shd w:val="clear" w:color="auto" w:fill="auto"/>
                  <w:vAlign w:val="center"/>
                </w:tcPr>
                <w:p w14:paraId="59FC6723">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甲醇</w:t>
                  </w:r>
                </w:p>
              </w:tc>
              <w:tc>
                <w:tcPr>
                  <w:tcW w:w="1152" w:type="dxa"/>
                  <w:tcBorders>
                    <w:tl2br w:val="nil"/>
                    <w:tr2bl w:val="nil"/>
                  </w:tcBorders>
                  <w:shd w:val="clear" w:color="auto" w:fill="auto"/>
                  <w:vAlign w:val="center"/>
                </w:tcPr>
                <w:p w14:paraId="5E6BCA97">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3EE66156">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45FD55FE">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4</w:t>
                  </w:r>
                </w:p>
              </w:tc>
              <w:tc>
                <w:tcPr>
                  <w:tcW w:w="1390" w:type="dxa"/>
                  <w:tcBorders>
                    <w:tl2br w:val="nil"/>
                    <w:tr2bl w:val="nil"/>
                  </w:tcBorders>
                  <w:vAlign w:val="center"/>
                </w:tcPr>
                <w:p w14:paraId="4ACE37A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1326" w:type="dxa"/>
                  <w:tcBorders>
                    <w:tl2br w:val="nil"/>
                    <w:tr2bl w:val="nil"/>
                  </w:tcBorders>
                  <w:vAlign w:val="center"/>
                </w:tcPr>
                <w:p w14:paraId="68314D20">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24A10B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2B3447F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w:t>
                  </w:r>
                </w:p>
              </w:tc>
              <w:tc>
                <w:tcPr>
                  <w:tcW w:w="1500" w:type="dxa"/>
                  <w:tcBorders>
                    <w:tl2br w:val="nil"/>
                    <w:tr2bl w:val="nil"/>
                  </w:tcBorders>
                  <w:shd w:val="clear" w:color="auto" w:fill="auto"/>
                  <w:vAlign w:val="center"/>
                </w:tcPr>
                <w:p w14:paraId="765317E5">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异丁醇</w:t>
                  </w:r>
                </w:p>
              </w:tc>
              <w:tc>
                <w:tcPr>
                  <w:tcW w:w="1152" w:type="dxa"/>
                  <w:tcBorders>
                    <w:tl2br w:val="nil"/>
                    <w:tr2bl w:val="nil"/>
                  </w:tcBorders>
                  <w:shd w:val="clear" w:color="auto" w:fill="auto"/>
                  <w:vAlign w:val="center"/>
                </w:tcPr>
                <w:p w14:paraId="461186F8">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5F121561">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F813191">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73EB66D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w:t>
                  </w:r>
                </w:p>
              </w:tc>
              <w:tc>
                <w:tcPr>
                  <w:tcW w:w="1326" w:type="dxa"/>
                  <w:tcBorders>
                    <w:tl2br w:val="nil"/>
                    <w:tr2bl w:val="nil"/>
                  </w:tcBorders>
                  <w:vAlign w:val="center"/>
                </w:tcPr>
                <w:p w14:paraId="78655E7E">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030B5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1244C07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w:t>
                  </w:r>
                </w:p>
              </w:tc>
              <w:tc>
                <w:tcPr>
                  <w:tcW w:w="1500" w:type="dxa"/>
                  <w:tcBorders>
                    <w:tl2br w:val="nil"/>
                    <w:tr2bl w:val="nil"/>
                  </w:tcBorders>
                  <w:shd w:val="clear" w:color="auto" w:fill="auto"/>
                  <w:vAlign w:val="center"/>
                </w:tcPr>
                <w:p w14:paraId="7E82699E">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冰乙酸</w:t>
                  </w:r>
                </w:p>
              </w:tc>
              <w:tc>
                <w:tcPr>
                  <w:tcW w:w="1152" w:type="dxa"/>
                  <w:tcBorders>
                    <w:tl2br w:val="nil"/>
                    <w:tr2bl w:val="nil"/>
                  </w:tcBorders>
                  <w:shd w:val="clear" w:color="auto" w:fill="auto"/>
                  <w:vAlign w:val="center"/>
                </w:tcPr>
                <w:p w14:paraId="5E742D20">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2E07FFC1">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146651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14FEB15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098FFB7F">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0A2E4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7A7540B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1500" w:type="dxa"/>
                  <w:tcBorders>
                    <w:tl2br w:val="nil"/>
                    <w:tr2bl w:val="nil"/>
                  </w:tcBorders>
                  <w:shd w:val="clear" w:color="auto" w:fill="auto"/>
                  <w:vAlign w:val="center"/>
                </w:tcPr>
                <w:p w14:paraId="744F301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异丙醇</w:t>
                  </w:r>
                </w:p>
              </w:tc>
              <w:tc>
                <w:tcPr>
                  <w:tcW w:w="1152" w:type="dxa"/>
                  <w:tcBorders>
                    <w:tl2br w:val="nil"/>
                    <w:tr2bl w:val="nil"/>
                  </w:tcBorders>
                  <w:shd w:val="clear" w:color="auto" w:fill="auto"/>
                  <w:vAlign w:val="center"/>
                </w:tcPr>
                <w:p w14:paraId="320489B0">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7734E1A6">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230BD6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59DBDCA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3FEDF097">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2721D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4DEB2F3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11</w:t>
                  </w:r>
                </w:p>
              </w:tc>
              <w:tc>
                <w:tcPr>
                  <w:tcW w:w="1500" w:type="dxa"/>
                  <w:tcBorders>
                    <w:tl2br w:val="nil"/>
                    <w:tr2bl w:val="nil"/>
                  </w:tcBorders>
                  <w:shd w:val="clear" w:color="auto" w:fill="auto"/>
                  <w:vAlign w:val="center"/>
                </w:tcPr>
                <w:p w14:paraId="5785CD4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正十四烷</w:t>
                  </w:r>
                </w:p>
              </w:tc>
              <w:tc>
                <w:tcPr>
                  <w:tcW w:w="1152" w:type="dxa"/>
                  <w:tcBorders>
                    <w:tl2br w:val="nil"/>
                    <w:tr2bl w:val="nil"/>
                  </w:tcBorders>
                  <w:shd w:val="clear" w:color="auto" w:fill="auto"/>
                  <w:vAlign w:val="center"/>
                </w:tcPr>
                <w:p w14:paraId="6E21CDEC">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5mL/瓶</w:t>
                  </w:r>
                </w:p>
              </w:tc>
              <w:tc>
                <w:tcPr>
                  <w:tcW w:w="753" w:type="dxa"/>
                  <w:tcBorders>
                    <w:tl2br w:val="nil"/>
                    <w:tr2bl w:val="nil"/>
                  </w:tcBorders>
                  <w:shd w:val="clear" w:color="auto" w:fill="auto"/>
                  <w:vAlign w:val="center"/>
                </w:tcPr>
                <w:p w14:paraId="7234DDE8">
                  <w:pPr>
                    <w:pStyle w:val="26"/>
                    <w:adjustRightInd w:val="0"/>
                    <w:snapToGrid w:val="0"/>
                    <w:spacing w:line="240" w:lineRule="auto"/>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D644D69">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w:t>
                  </w:r>
                </w:p>
              </w:tc>
              <w:tc>
                <w:tcPr>
                  <w:tcW w:w="1390" w:type="dxa"/>
                  <w:tcBorders>
                    <w:tl2br w:val="nil"/>
                    <w:tr2bl w:val="nil"/>
                  </w:tcBorders>
                  <w:vAlign w:val="center"/>
                </w:tcPr>
                <w:p w14:paraId="410260CA">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1326" w:type="dxa"/>
                  <w:tcBorders>
                    <w:tl2br w:val="nil"/>
                    <w:tr2bl w:val="nil"/>
                  </w:tcBorders>
                  <w:vAlign w:val="center"/>
                </w:tcPr>
                <w:p w14:paraId="6D744D94">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D7BB0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34EFC3A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12</w:t>
                  </w:r>
                </w:p>
              </w:tc>
              <w:tc>
                <w:tcPr>
                  <w:tcW w:w="1500" w:type="dxa"/>
                  <w:tcBorders>
                    <w:tl2br w:val="nil"/>
                    <w:tr2bl w:val="nil"/>
                  </w:tcBorders>
                  <w:shd w:val="clear" w:color="auto" w:fill="auto"/>
                  <w:vAlign w:val="center"/>
                </w:tcPr>
                <w:p w14:paraId="76E2517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乙酸乙酯</w:t>
                  </w:r>
                </w:p>
              </w:tc>
              <w:tc>
                <w:tcPr>
                  <w:tcW w:w="1152" w:type="dxa"/>
                  <w:tcBorders>
                    <w:tl2br w:val="nil"/>
                    <w:tr2bl w:val="nil"/>
                  </w:tcBorders>
                  <w:shd w:val="clear" w:color="auto" w:fill="auto"/>
                  <w:vAlign w:val="center"/>
                </w:tcPr>
                <w:p w14:paraId="5C5D7DF6">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570AEBAE">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5823299B">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58F4E11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w:t>
                  </w:r>
                </w:p>
              </w:tc>
              <w:tc>
                <w:tcPr>
                  <w:tcW w:w="1326" w:type="dxa"/>
                  <w:tcBorders>
                    <w:tl2br w:val="nil"/>
                    <w:tr2bl w:val="nil"/>
                  </w:tcBorders>
                  <w:vAlign w:val="center"/>
                </w:tcPr>
                <w:p w14:paraId="62CF3251">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1C0D5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0940855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13</w:t>
                  </w:r>
                </w:p>
              </w:tc>
              <w:tc>
                <w:tcPr>
                  <w:tcW w:w="1500" w:type="dxa"/>
                  <w:tcBorders>
                    <w:tl2br w:val="nil"/>
                    <w:tr2bl w:val="nil"/>
                  </w:tcBorders>
                  <w:shd w:val="clear" w:color="auto" w:fill="auto"/>
                  <w:vAlign w:val="center"/>
                </w:tcPr>
                <w:p w14:paraId="4A544EF6">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乙酸铵</w:t>
                  </w:r>
                </w:p>
              </w:tc>
              <w:tc>
                <w:tcPr>
                  <w:tcW w:w="1152" w:type="dxa"/>
                  <w:tcBorders>
                    <w:tl2br w:val="nil"/>
                    <w:tr2bl w:val="nil"/>
                  </w:tcBorders>
                  <w:shd w:val="clear" w:color="auto" w:fill="auto"/>
                  <w:vAlign w:val="center"/>
                </w:tcPr>
                <w:p w14:paraId="1750294A">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6E397919">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20249D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w:t>
                  </w:r>
                </w:p>
              </w:tc>
              <w:tc>
                <w:tcPr>
                  <w:tcW w:w="1390" w:type="dxa"/>
                  <w:tcBorders>
                    <w:tl2br w:val="nil"/>
                    <w:tr2bl w:val="nil"/>
                  </w:tcBorders>
                  <w:vAlign w:val="center"/>
                </w:tcPr>
                <w:p w14:paraId="3D97945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w:t>
                  </w:r>
                </w:p>
              </w:tc>
              <w:tc>
                <w:tcPr>
                  <w:tcW w:w="1326" w:type="dxa"/>
                  <w:tcBorders>
                    <w:tl2br w:val="nil"/>
                    <w:tr2bl w:val="nil"/>
                  </w:tcBorders>
                  <w:vAlign w:val="center"/>
                </w:tcPr>
                <w:p w14:paraId="4493569D">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37F4E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59BAE17A">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14</w:t>
                  </w:r>
                </w:p>
              </w:tc>
              <w:tc>
                <w:tcPr>
                  <w:tcW w:w="1500" w:type="dxa"/>
                  <w:tcBorders>
                    <w:tl2br w:val="nil"/>
                    <w:tr2bl w:val="nil"/>
                  </w:tcBorders>
                  <w:shd w:val="clear" w:color="auto" w:fill="auto"/>
                  <w:vAlign w:val="center"/>
                </w:tcPr>
                <w:p w14:paraId="429D4510">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乙酰丙酮</w:t>
                  </w:r>
                </w:p>
              </w:tc>
              <w:tc>
                <w:tcPr>
                  <w:tcW w:w="1152" w:type="dxa"/>
                  <w:tcBorders>
                    <w:tl2br w:val="nil"/>
                    <w:tr2bl w:val="nil"/>
                  </w:tcBorders>
                  <w:shd w:val="clear" w:color="auto" w:fill="auto"/>
                  <w:vAlign w:val="center"/>
                </w:tcPr>
                <w:p w14:paraId="14807551">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697ACCE2">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6F27087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w:t>
                  </w:r>
                </w:p>
              </w:tc>
              <w:tc>
                <w:tcPr>
                  <w:tcW w:w="1390" w:type="dxa"/>
                  <w:tcBorders>
                    <w:tl2br w:val="nil"/>
                    <w:tr2bl w:val="nil"/>
                  </w:tcBorders>
                  <w:vAlign w:val="center"/>
                </w:tcPr>
                <w:p w14:paraId="0766580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w:t>
                  </w:r>
                </w:p>
              </w:tc>
              <w:tc>
                <w:tcPr>
                  <w:tcW w:w="1326" w:type="dxa"/>
                  <w:tcBorders>
                    <w:tl2br w:val="nil"/>
                    <w:tr2bl w:val="nil"/>
                  </w:tcBorders>
                  <w:vAlign w:val="center"/>
                </w:tcPr>
                <w:p w14:paraId="610979B4">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5EFF4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2A5DD39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15</w:t>
                  </w:r>
                </w:p>
              </w:tc>
              <w:tc>
                <w:tcPr>
                  <w:tcW w:w="1500" w:type="dxa"/>
                  <w:tcBorders>
                    <w:tl2br w:val="nil"/>
                    <w:tr2bl w:val="nil"/>
                  </w:tcBorders>
                  <w:shd w:val="clear" w:color="auto" w:fill="auto"/>
                  <w:vAlign w:val="center"/>
                </w:tcPr>
                <w:p w14:paraId="452417BD">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二甲基甲酰胺</w:t>
                  </w:r>
                </w:p>
              </w:tc>
              <w:tc>
                <w:tcPr>
                  <w:tcW w:w="1152" w:type="dxa"/>
                  <w:tcBorders>
                    <w:tl2br w:val="nil"/>
                    <w:tr2bl w:val="nil"/>
                  </w:tcBorders>
                  <w:shd w:val="clear" w:color="auto" w:fill="auto"/>
                  <w:vAlign w:val="center"/>
                </w:tcPr>
                <w:p w14:paraId="5457D5B9">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0C129652">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5FA6F241">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4</w:t>
                  </w:r>
                </w:p>
              </w:tc>
              <w:tc>
                <w:tcPr>
                  <w:tcW w:w="1390" w:type="dxa"/>
                  <w:tcBorders>
                    <w:tl2br w:val="nil"/>
                    <w:tr2bl w:val="nil"/>
                  </w:tcBorders>
                  <w:vAlign w:val="center"/>
                </w:tcPr>
                <w:p w14:paraId="5244B7D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w:t>
                  </w:r>
                </w:p>
              </w:tc>
              <w:tc>
                <w:tcPr>
                  <w:tcW w:w="1326" w:type="dxa"/>
                  <w:tcBorders>
                    <w:tl2br w:val="nil"/>
                    <w:tr2bl w:val="nil"/>
                  </w:tcBorders>
                  <w:vAlign w:val="center"/>
                </w:tcPr>
                <w:p w14:paraId="58BB5947">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111907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36D1EE5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16</w:t>
                  </w:r>
                </w:p>
              </w:tc>
              <w:tc>
                <w:tcPr>
                  <w:tcW w:w="1500" w:type="dxa"/>
                  <w:tcBorders>
                    <w:tl2br w:val="nil"/>
                    <w:tr2bl w:val="nil"/>
                  </w:tcBorders>
                  <w:shd w:val="clear" w:color="auto" w:fill="auto"/>
                  <w:vAlign w:val="center"/>
                </w:tcPr>
                <w:p w14:paraId="254D4E9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硫酸（98%）</w:t>
                  </w:r>
                </w:p>
              </w:tc>
              <w:tc>
                <w:tcPr>
                  <w:tcW w:w="1152" w:type="dxa"/>
                  <w:tcBorders>
                    <w:tl2br w:val="nil"/>
                    <w:tr2bl w:val="nil"/>
                  </w:tcBorders>
                  <w:shd w:val="clear" w:color="auto" w:fill="auto"/>
                  <w:vAlign w:val="center"/>
                </w:tcPr>
                <w:p w14:paraId="09510A70">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6D7F8724">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B28F4BE">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661871CA">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33078BD9">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1AA40A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C9C50A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17</w:t>
                  </w:r>
                </w:p>
              </w:tc>
              <w:tc>
                <w:tcPr>
                  <w:tcW w:w="1500" w:type="dxa"/>
                  <w:tcBorders>
                    <w:tl2br w:val="nil"/>
                    <w:tr2bl w:val="nil"/>
                  </w:tcBorders>
                  <w:shd w:val="clear" w:color="auto" w:fill="auto"/>
                  <w:vAlign w:val="center"/>
                </w:tcPr>
                <w:p w14:paraId="17914285">
                  <w:pPr>
                    <w:pStyle w:val="26"/>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硝酸（98%）</w:t>
                  </w:r>
                </w:p>
              </w:tc>
              <w:tc>
                <w:tcPr>
                  <w:tcW w:w="1152" w:type="dxa"/>
                  <w:tcBorders>
                    <w:tl2br w:val="nil"/>
                    <w:tr2bl w:val="nil"/>
                  </w:tcBorders>
                  <w:shd w:val="clear" w:color="auto" w:fill="auto"/>
                  <w:vAlign w:val="center"/>
                </w:tcPr>
                <w:p w14:paraId="5DFFA9B8">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5E514F18">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EDF64D2">
                  <w:pPr>
                    <w:pStyle w:val="26"/>
                    <w:adjustRightInd w:val="0"/>
                    <w:snapToGrid w:val="0"/>
                    <w:spacing w:line="240" w:lineRule="auto"/>
                    <w:rPr>
                      <w:rFonts w:hint="default"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1C9D53F9">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79FEE447">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38A41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4361F6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18</w:t>
                  </w:r>
                </w:p>
              </w:tc>
              <w:tc>
                <w:tcPr>
                  <w:tcW w:w="1500" w:type="dxa"/>
                  <w:tcBorders>
                    <w:tl2br w:val="nil"/>
                    <w:tr2bl w:val="nil"/>
                  </w:tcBorders>
                  <w:shd w:val="clear" w:color="auto" w:fill="auto"/>
                  <w:vAlign w:val="center"/>
                </w:tcPr>
                <w:p w14:paraId="4CB03366">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盐酸（37%）</w:t>
                  </w:r>
                </w:p>
              </w:tc>
              <w:tc>
                <w:tcPr>
                  <w:tcW w:w="1152" w:type="dxa"/>
                  <w:tcBorders>
                    <w:tl2br w:val="nil"/>
                    <w:tr2bl w:val="nil"/>
                  </w:tcBorders>
                  <w:shd w:val="clear" w:color="auto" w:fill="auto"/>
                  <w:vAlign w:val="center"/>
                </w:tcPr>
                <w:p w14:paraId="2EF263A4">
                  <w:pPr>
                    <w:pStyle w:val="26"/>
                    <w:adjustRightInd w:val="0"/>
                    <w:snapToGrid w:val="0"/>
                    <w:spacing w:line="240" w:lineRule="auto"/>
                    <w:ind w:firstLine="0" w:firstLineChars="0"/>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749EA6C5">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3A60765">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71CD7C1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6D58CC3D">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505C16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11DFA6F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19</w:t>
                  </w:r>
                </w:p>
              </w:tc>
              <w:tc>
                <w:tcPr>
                  <w:tcW w:w="1500" w:type="dxa"/>
                  <w:tcBorders>
                    <w:tl2br w:val="nil"/>
                    <w:tr2bl w:val="nil"/>
                  </w:tcBorders>
                  <w:shd w:val="clear" w:color="auto" w:fill="auto"/>
                  <w:vAlign w:val="center"/>
                </w:tcPr>
                <w:p w14:paraId="644982F1">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水杨酸</w:t>
                  </w:r>
                </w:p>
              </w:tc>
              <w:tc>
                <w:tcPr>
                  <w:tcW w:w="1152" w:type="dxa"/>
                  <w:tcBorders>
                    <w:tl2br w:val="nil"/>
                    <w:tr2bl w:val="nil"/>
                  </w:tcBorders>
                  <w:shd w:val="clear" w:color="auto" w:fill="auto"/>
                  <w:vAlign w:val="center"/>
                </w:tcPr>
                <w:p w14:paraId="6D53B12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1C1062C8">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684D9FEF">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3A5214E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w:t>
                  </w:r>
                </w:p>
              </w:tc>
              <w:tc>
                <w:tcPr>
                  <w:tcW w:w="1326" w:type="dxa"/>
                  <w:tcBorders>
                    <w:tl2br w:val="nil"/>
                    <w:tr2bl w:val="nil"/>
                  </w:tcBorders>
                  <w:vAlign w:val="center"/>
                </w:tcPr>
                <w:p w14:paraId="3AD67166">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229EC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C3FB0B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1500" w:type="dxa"/>
                  <w:tcBorders>
                    <w:tl2br w:val="nil"/>
                    <w:tr2bl w:val="nil"/>
                  </w:tcBorders>
                  <w:shd w:val="clear" w:color="auto" w:fill="auto"/>
                  <w:vAlign w:val="center"/>
                </w:tcPr>
                <w:p w14:paraId="35D5CFDE">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氢氧化钠</w:t>
                  </w:r>
                </w:p>
              </w:tc>
              <w:tc>
                <w:tcPr>
                  <w:tcW w:w="1152" w:type="dxa"/>
                  <w:tcBorders>
                    <w:tl2br w:val="nil"/>
                    <w:tr2bl w:val="nil"/>
                  </w:tcBorders>
                  <w:shd w:val="clear" w:color="auto" w:fill="auto"/>
                  <w:vAlign w:val="center"/>
                </w:tcPr>
                <w:p w14:paraId="5F59EEF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7C59D8E1">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AE752C5">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4</w:t>
                  </w:r>
                </w:p>
              </w:tc>
              <w:tc>
                <w:tcPr>
                  <w:tcW w:w="1390" w:type="dxa"/>
                  <w:tcBorders>
                    <w:tl2br w:val="nil"/>
                    <w:tr2bl w:val="nil"/>
                  </w:tcBorders>
                  <w:vAlign w:val="center"/>
                </w:tcPr>
                <w:p w14:paraId="2E5C3430">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w:t>
                  </w:r>
                </w:p>
              </w:tc>
              <w:tc>
                <w:tcPr>
                  <w:tcW w:w="1326" w:type="dxa"/>
                  <w:tcBorders>
                    <w:tl2br w:val="nil"/>
                    <w:tr2bl w:val="nil"/>
                  </w:tcBorders>
                  <w:vAlign w:val="center"/>
                </w:tcPr>
                <w:p w14:paraId="39739115">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316FC6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42A716F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21</w:t>
                  </w:r>
                </w:p>
              </w:tc>
              <w:tc>
                <w:tcPr>
                  <w:tcW w:w="1500" w:type="dxa"/>
                  <w:tcBorders>
                    <w:tl2br w:val="nil"/>
                    <w:tr2bl w:val="nil"/>
                  </w:tcBorders>
                  <w:shd w:val="clear" w:color="auto" w:fill="auto"/>
                  <w:vAlign w:val="center"/>
                </w:tcPr>
                <w:p w14:paraId="577A4D93">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氢氧化钾</w:t>
                  </w:r>
                </w:p>
              </w:tc>
              <w:tc>
                <w:tcPr>
                  <w:tcW w:w="1152" w:type="dxa"/>
                  <w:tcBorders>
                    <w:tl2br w:val="nil"/>
                    <w:tr2bl w:val="nil"/>
                  </w:tcBorders>
                  <w:shd w:val="clear" w:color="auto" w:fill="auto"/>
                  <w:vAlign w:val="center"/>
                </w:tcPr>
                <w:p w14:paraId="759C2B7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10C5AB9F">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59FA54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3</w:t>
                  </w:r>
                </w:p>
              </w:tc>
              <w:tc>
                <w:tcPr>
                  <w:tcW w:w="1390" w:type="dxa"/>
                  <w:tcBorders>
                    <w:tl2br w:val="nil"/>
                    <w:tr2bl w:val="nil"/>
                  </w:tcBorders>
                  <w:vAlign w:val="center"/>
                </w:tcPr>
                <w:p w14:paraId="0CA6649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w:t>
                  </w:r>
                </w:p>
              </w:tc>
              <w:tc>
                <w:tcPr>
                  <w:tcW w:w="1326" w:type="dxa"/>
                  <w:tcBorders>
                    <w:tl2br w:val="nil"/>
                    <w:tr2bl w:val="nil"/>
                  </w:tcBorders>
                  <w:vAlign w:val="center"/>
                </w:tcPr>
                <w:p w14:paraId="369CA736">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F8D16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0BD08F0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22</w:t>
                  </w:r>
                </w:p>
              </w:tc>
              <w:tc>
                <w:tcPr>
                  <w:tcW w:w="1500" w:type="dxa"/>
                  <w:tcBorders>
                    <w:tl2br w:val="nil"/>
                    <w:tr2bl w:val="nil"/>
                  </w:tcBorders>
                  <w:shd w:val="clear" w:color="auto" w:fill="auto"/>
                  <w:vAlign w:val="center"/>
                </w:tcPr>
                <w:p w14:paraId="7DA019F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氨水（20%）</w:t>
                  </w:r>
                </w:p>
              </w:tc>
              <w:tc>
                <w:tcPr>
                  <w:tcW w:w="1152" w:type="dxa"/>
                  <w:tcBorders>
                    <w:tl2br w:val="nil"/>
                    <w:tr2bl w:val="nil"/>
                  </w:tcBorders>
                  <w:shd w:val="clear" w:color="auto" w:fill="auto"/>
                  <w:vAlign w:val="center"/>
                </w:tcPr>
                <w:p w14:paraId="7ED1110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3438CB1F">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7C67109F">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325077A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w:t>
                  </w:r>
                </w:p>
              </w:tc>
              <w:tc>
                <w:tcPr>
                  <w:tcW w:w="1326" w:type="dxa"/>
                  <w:tcBorders>
                    <w:tl2br w:val="nil"/>
                    <w:tr2bl w:val="nil"/>
                  </w:tcBorders>
                  <w:vAlign w:val="center"/>
                </w:tcPr>
                <w:p w14:paraId="052D542A">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60345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A47927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23</w:t>
                  </w:r>
                </w:p>
              </w:tc>
              <w:tc>
                <w:tcPr>
                  <w:tcW w:w="1500" w:type="dxa"/>
                  <w:tcBorders>
                    <w:tl2br w:val="nil"/>
                    <w:tr2bl w:val="nil"/>
                  </w:tcBorders>
                  <w:shd w:val="clear" w:color="auto" w:fill="auto"/>
                  <w:vAlign w:val="center"/>
                </w:tcPr>
                <w:p w14:paraId="7D43208B">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柠檬酸钠</w:t>
                  </w:r>
                </w:p>
              </w:tc>
              <w:tc>
                <w:tcPr>
                  <w:tcW w:w="1152" w:type="dxa"/>
                  <w:tcBorders>
                    <w:tl2br w:val="nil"/>
                    <w:tr2bl w:val="nil"/>
                  </w:tcBorders>
                  <w:shd w:val="clear" w:color="auto" w:fill="auto"/>
                  <w:vAlign w:val="center"/>
                </w:tcPr>
                <w:p w14:paraId="533D8AD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1C15A476">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4F85A59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445D9EB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30D1668C">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5759DA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7E29F8A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w:t>
                  </w:r>
                </w:p>
              </w:tc>
              <w:tc>
                <w:tcPr>
                  <w:tcW w:w="1500" w:type="dxa"/>
                  <w:tcBorders>
                    <w:tl2br w:val="nil"/>
                    <w:tr2bl w:val="nil"/>
                  </w:tcBorders>
                  <w:shd w:val="clear" w:color="auto" w:fill="auto"/>
                  <w:vAlign w:val="center"/>
                </w:tcPr>
                <w:p w14:paraId="3E27D087">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亚硝基铁氰化钠</w:t>
                  </w:r>
                </w:p>
              </w:tc>
              <w:tc>
                <w:tcPr>
                  <w:tcW w:w="1152" w:type="dxa"/>
                  <w:tcBorders>
                    <w:tl2br w:val="nil"/>
                    <w:tr2bl w:val="nil"/>
                  </w:tcBorders>
                  <w:shd w:val="clear" w:color="auto" w:fill="auto"/>
                  <w:vAlign w:val="center"/>
                </w:tcPr>
                <w:p w14:paraId="10D9DB1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25g/瓶</w:t>
                  </w:r>
                </w:p>
              </w:tc>
              <w:tc>
                <w:tcPr>
                  <w:tcW w:w="753" w:type="dxa"/>
                  <w:tcBorders>
                    <w:tl2br w:val="nil"/>
                    <w:tr2bl w:val="nil"/>
                  </w:tcBorders>
                  <w:shd w:val="clear" w:color="auto" w:fill="auto"/>
                  <w:vAlign w:val="center"/>
                </w:tcPr>
                <w:p w14:paraId="423827B8">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5D8728C9">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044B408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w:t>
                  </w:r>
                </w:p>
              </w:tc>
              <w:tc>
                <w:tcPr>
                  <w:tcW w:w="1326" w:type="dxa"/>
                  <w:tcBorders>
                    <w:tl2br w:val="nil"/>
                    <w:tr2bl w:val="nil"/>
                  </w:tcBorders>
                  <w:vAlign w:val="center"/>
                </w:tcPr>
                <w:p w14:paraId="3C5CA9D7">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27590E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109EB0D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w:t>
                  </w:r>
                </w:p>
              </w:tc>
              <w:tc>
                <w:tcPr>
                  <w:tcW w:w="1500" w:type="dxa"/>
                  <w:tcBorders>
                    <w:tl2br w:val="nil"/>
                    <w:tr2bl w:val="nil"/>
                  </w:tcBorders>
                  <w:shd w:val="clear" w:color="auto" w:fill="auto"/>
                  <w:vAlign w:val="center"/>
                </w:tcPr>
                <w:p w14:paraId="61EBF58E">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三乙醇胺</w:t>
                  </w:r>
                </w:p>
              </w:tc>
              <w:tc>
                <w:tcPr>
                  <w:tcW w:w="1152" w:type="dxa"/>
                  <w:tcBorders>
                    <w:tl2br w:val="nil"/>
                    <w:tr2bl w:val="nil"/>
                  </w:tcBorders>
                  <w:shd w:val="clear" w:color="auto" w:fill="auto"/>
                  <w:vAlign w:val="center"/>
                </w:tcPr>
                <w:p w14:paraId="1FCC56A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500mL/瓶</w:t>
                  </w:r>
                </w:p>
              </w:tc>
              <w:tc>
                <w:tcPr>
                  <w:tcW w:w="753" w:type="dxa"/>
                  <w:tcBorders>
                    <w:tl2br w:val="nil"/>
                    <w:tr2bl w:val="nil"/>
                  </w:tcBorders>
                  <w:shd w:val="clear" w:color="auto" w:fill="auto"/>
                  <w:vAlign w:val="center"/>
                </w:tcPr>
                <w:p w14:paraId="1C9CE367">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26D37E60">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1CBEED8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68909B63">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AEC27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2733047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26</w:t>
                  </w:r>
                </w:p>
              </w:tc>
              <w:tc>
                <w:tcPr>
                  <w:tcW w:w="1500" w:type="dxa"/>
                  <w:tcBorders>
                    <w:tl2br w:val="nil"/>
                    <w:tr2bl w:val="nil"/>
                  </w:tcBorders>
                  <w:shd w:val="clear" w:color="auto" w:fill="auto"/>
                  <w:vAlign w:val="center"/>
                </w:tcPr>
                <w:p w14:paraId="310D04FE">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偏重亚硫酸钠</w:t>
                  </w:r>
                </w:p>
              </w:tc>
              <w:tc>
                <w:tcPr>
                  <w:tcW w:w="1152" w:type="dxa"/>
                  <w:tcBorders>
                    <w:tl2br w:val="nil"/>
                    <w:tr2bl w:val="nil"/>
                  </w:tcBorders>
                  <w:shd w:val="clear" w:color="auto" w:fill="auto"/>
                  <w:vAlign w:val="center"/>
                </w:tcPr>
                <w:p w14:paraId="622DB01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100g/瓶</w:t>
                  </w:r>
                </w:p>
              </w:tc>
              <w:tc>
                <w:tcPr>
                  <w:tcW w:w="753" w:type="dxa"/>
                  <w:tcBorders>
                    <w:tl2br w:val="nil"/>
                    <w:tr2bl w:val="nil"/>
                  </w:tcBorders>
                  <w:shd w:val="clear" w:color="auto" w:fill="auto"/>
                  <w:vAlign w:val="center"/>
                </w:tcPr>
                <w:p w14:paraId="310A4ED9">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25C57CE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043D0C9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77426967">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F126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4F352BA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27</w:t>
                  </w:r>
                </w:p>
              </w:tc>
              <w:tc>
                <w:tcPr>
                  <w:tcW w:w="1500" w:type="dxa"/>
                  <w:tcBorders>
                    <w:tl2br w:val="nil"/>
                    <w:tr2bl w:val="nil"/>
                  </w:tcBorders>
                  <w:shd w:val="clear" w:color="auto" w:fill="auto"/>
                  <w:vAlign w:val="center"/>
                </w:tcPr>
                <w:p w14:paraId="30265DCF">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乙二胺四乙酸二钠</w:t>
                  </w:r>
                </w:p>
              </w:tc>
              <w:tc>
                <w:tcPr>
                  <w:tcW w:w="1152" w:type="dxa"/>
                  <w:tcBorders>
                    <w:tl2br w:val="nil"/>
                    <w:tr2bl w:val="nil"/>
                  </w:tcBorders>
                  <w:shd w:val="clear" w:color="auto" w:fill="auto"/>
                  <w:vAlign w:val="center"/>
                </w:tcPr>
                <w:p w14:paraId="1F2535B4">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4CC5384D">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4651AC43">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109484D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6AF742EE">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BF0F6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2E9EB98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28</w:t>
                  </w:r>
                </w:p>
              </w:tc>
              <w:tc>
                <w:tcPr>
                  <w:tcW w:w="1500" w:type="dxa"/>
                  <w:tcBorders>
                    <w:tl2br w:val="nil"/>
                    <w:tr2bl w:val="nil"/>
                  </w:tcBorders>
                  <w:shd w:val="clear" w:color="auto" w:fill="auto"/>
                  <w:vAlign w:val="center"/>
                </w:tcPr>
                <w:p w14:paraId="03216C10">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高碘酸钾</w:t>
                  </w:r>
                </w:p>
              </w:tc>
              <w:tc>
                <w:tcPr>
                  <w:tcW w:w="1152" w:type="dxa"/>
                  <w:tcBorders>
                    <w:tl2br w:val="nil"/>
                    <w:tr2bl w:val="nil"/>
                  </w:tcBorders>
                  <w:shd w:val="clear" w:color="auto" w:fill="auto"/>
                  <w:vAlign w:val="center"/>
                </w:tcPr>
                <w:p w14:paraId="7497FFD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154A9A3C">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5E2BAF79">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75074AA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0515CF0B">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077F1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F10058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29</w:t>
                  </w:r>
                </w:p>
              </w:tc>
              <w:tc>
                <w:tcPr>
                  <w:tcW w:w="1500" w:type="dxa"/>
                  <w:tcBorders>
                    <w:tl2br w:val="nil"/>
                    <w:tr2bl w:val="nil"/>
                  </w:tcBorders>
                  <w:shd w:val="clear" w:color="auto" w:fill="auto"/>
                  <w:vAlign w:val="center"/>
                </w:tcPr>
                <w:p w14:paraId="5E51E354">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钼酸铵</w:t>
                  </w:r>
                </w:p>
              </w:tc>
              <w:tc>
                <w:tcPr>
                  <w:tcW w:w="1152" w:type="dxa"/>
                  <w:tcBorders>
                    <w:tl2br w:val="nil"/>
                    <w:tr2bl w:val="nil"/>
                  </w:tcBorders>
                  <w:shd w:val="clear" w:color="auto" w:fill="auto"/>
                  <w:vAlign w:val="center"/>
                </w:tcPr>
                <w:p w14:paraId="53483F51">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100g/瓶</w:t>
                  </w:r>
                </w:p>
              </w:tc>
              <w:tc>
                <w:tcPr>
                  <w:tcW w:w="753" w:type="dxa"/>
                  <w:tcBorders>
                    <w:tl2br w:val="nil"/>
                    <w:tr2bl w:val="nil"/>
                  </w:tcBorders>
                  <w:shd w:val="clear" w:color="auto" w:fill="auto"/>
                  <w:vAlign w:val="center"/>
                </w:tcPr>
                <w:p w14:paraId="32CD8BFF">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2E0167C8">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09FC0CB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5A8AD2BB">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0C6BE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5F7C0833">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30</w:t>
                  </w:r>
                </w:p>
              </w:tc>
              <w:tc>
                <w:tcPr>
                  <w:tcW w:w="1500" w:type="dxa"/>
                  <w:tcBorders>
                    <w:tl2br w:val="nil"/>
                    <w:tr2bl w:val="nil"/>
                  </w:tcBorders>
                  <w:shd w:val="clear" w:color="auto" w:fill="auto"/>
                  <w:vAlign w:val="center"/>
                </w:tcPr>
                <w:p w14:paraId="25199765">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抗坏血酸</w:t>
                  </w:r>
                </w:p>
              </w:tc>
              <w:tc>
                <w:tcPr>
                  <w:tcW w:w="1152" w:type="dxa"/>
                  <w:tcBorders>
                    <w:tl2br w:val="nil"/>
                    <w:tr2bl w:val="nil"/>
                  </w:tcBorders>
                  <w:shd w:val="clear" w:color="auto" w:fill="auto"/>
                  <w:vAlign w:val="center"/>
                </w:tcPr>
                <w:p w14:paraId="047A3CC5">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100g/瓶</w:t>
                  </w:r>
                </w:p>
              </w:tc>
              <w:tc>
                <w:tcPr>
                  <w:tcW w:w="753" w:type="dxa"/>
                  <w:tcBorders>
                    <w:tl2br w:val="nil"/>
                    <w:tr2bl w:val="nil"/>
                  </w:tcBorders>
                  <w:shd w:val="clear" w:color="auto" w:fill="auto"/>
                  <w:vAlign w:val="center"/>
                </w:tcPr>
                <w:p w14:paraId="4C49EADB">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07E65BFF">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14CAB0A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48E8753E">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5525C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3FE8615">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31</w:t>
                  </w:r>
                </w:p>
              </w:tc>
              <w:tc>
                <w:tcPr>
                  <w:tcW w:w="1500" w:type="dxa"/>
                  <w:tcBorders>
                    <w:tl2br w:val="nil"/>
                    <w:tr2bl w:val="nil"/>
                  </w:tcBorders>
                  <w:shd w:val="clear" w:color="auto" w:fill="auto"/>
                  <w:vAlign w:val="center"/>
                </w:tcPr>
                <w:p w14:paraId="1F20D1FA">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氯化铵</w:t>
                  </w:r>
                </w:p>
              </w:tc>
              <w:tc>
                <w:tcPr>
                  <w:tcW w:w="1152" w:type="dxa"/>
                  <w:tcBorders>
                    <w:tl2br w:val="nil"/>
                    <w:tr2bl w:val="nil"/>
                  </w:tcBorders>
                  <w:shd w:val="clear" w:color="auto" w:fill="auto"/>
                  <w:vAlign w:val="center"/>
                </w:tcPr>
                <w:p w14:paraId="6A135363">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2A7DD40A">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6A5C99C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09F18EE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w:t>
                  </w:r>
                </w:p>
              </w:tc>
              <w:tc>
                <w:tcPr>
                  <w:tcW w:w="1326" w:type="dxa"/>
                  <w:tcBorders>
                    <w:tl2br w:val="nil"/>
                    <w:tr2bl w:val="nil"/>
                  </w:tcBorders>
                  <w:vAlign w:val="center"/>
                </w:tcPr>
                <w:p w14:paraId="617E21F6">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66383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4FB043F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32</w:t>
                  </w:r>
                </w:p>
              </w:tc>
              <w:tc>
                <w:tcPr>
                  <w:tcW w:w="1500" w:type="dxa"/>
                  <w:tcBorders>
                    <w:tl2br w:val="nil"/>
                    <w:tr2bl w:val="nil"/>
                  </w:tcBorders>
                  <w:shd w:val="clear" w:color="auto" w:fill="auto"/>
                  <w:vAlign w:val="center"/>
                </w:tcPr>
                <w:p w14:paraId="5E842BC6">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磺基水杨酸</w:t>
                  </w:r>
                </w:p>
              </w:tc>
              <w:tc>
                <w:tcPr>
                  <w:tcW w:w="1152" w:type="dxa"/>
                  <w:tcBorders>
                    <w:tl2br w:val="nil"/>
                    <w:tr2bl w:val="nil"/>
                  </w:tcBorders>
                  <w:shd w:val="clear" w:color="auto" w:fill="auto"/>
                  <w:vAlign w:val="center"/>
                </w:tcPr>
                <w:p w14:paraId="3410E0A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100g/瓶</w:t>
                  </w:r>
                </w:p>
              </w:tc>
              <w:tc>
                <w:tcPr>
                  <w:tcW w:w="753" w:type="dxa"/>
                  <w:tcBorders>
                    <w:tl2br w:val="nil"/>
                    <w:tr2bl w:val="nil"/>
                  </w:tcBorders>
                  <w:shd w:val="clear" w:color="auto" w:fill="auto"/>
                  <w:vAlign w:val="center"/>
                </w:tcPr>
                <w:p w14:paraId="3096E254">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13C5CCEE">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02A8B912">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37AE0466">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1FA93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1529F9A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33</w:t>
                  </w:r>
                </w:p>
              </w:tc>
              <w:tc>
                <w:tcPr>
                  <w:tcW w:w="1500" w:type="dxa"/>
                  <w:tcBorders>
                    <w:tl2br w:val="nil"/>
                    <w:tr2bl w:val="nil"/>
                  </w:tcBorders>
                  <w:shd w:val="clear" w:color="auto" w:fill="auto"/>
                  <w:vAlign w:val="center"/>
                </w:tcPr>
                <w:p w14:paraId="2C5141C3">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溴酚蓝</w:t>
                  </w:r>
                </w:p>
              </w:tc>
              <w:tc>
                <w:tcPr>
                  <w:tcW w:w="1152" w:type="dxa"/>
                  <w:tcBorders>
                    <w:tl2br w:val="nil"/>
                    <w:tr2bl w:val="nil"/>
                  </w:tcBorders>
                  <w:shd w:val="clear" w:color="auto" w:fill="auto"/>
                  <w:vAlign w:val="center"/>
                </w:tcPr>
                <w:p w14:paraId="1D3F0CD2">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5g/瓶</w:t>
                  </w:r>
                </w:p>
              </w:tc>
              <w:tc>
                <w:tcPr>
                  <w:tcW w:w="753" w:type="dxa"/>
                  <w:tcBorders>
                    <w:tl2br w:val="nil"/>
                    <w:tr2bl w:val="nil"/>
                  </w:tcBorders>
                  <w:shd w:val="clear" w:color="auto" w:fill="auto"/>
                  <w:vAlign w:val="center"/>
                </w:tcPr>
                <w:p w14:paraId="03A34AD6">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694748C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4A79BF1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6E4B5A89">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2891F5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6055BE5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34</w:t>
                  </w:r>
                </w:p>
              </w:tc>
              <w:tc>
                <w:tcPr>
                  <w:tcW w:w="1500" w:type="dxa"/>
                  <w:tcBorders>
                    <w:tl2br w:val="nil"/>
                    <w:tr2bl w:val="nil"/>
                  </w:tcBorders>
                  <w:shd w:val="clear" w:color="auto" w:fill="auto"/>
                  <w:vAlign w:val="center"/>
                </w:tcPr>
                <w:p w14:paraId="20D3D8E1">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焦硫酸钠</w:t>
                  </w:r>
                </w:p>
              </w:tc>
              <w:tc>
                <w:tcPr>
                  <w:tcW w:w="1152" w:type="dxa"/>
                  <w:tcBorders>
                    <w:tl2br w:val="nil"/>
                    <w:tr2bl w:val="nil"/>
                  </w:tcBorders>
                  <w:shd w:val="clear" w:color="auto" w:fill="auto"/>
                  <w:vAlign w:val="center"/>
                </w:tcPr>
                <w:p w14:paraId="66CE1A26">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100g/瓶</w:t>
                  </w:r>
                </w:p>
              </w:tc>
              <w:tc>
                <w:tcPr>
                  <w:tcW w:w="753" w:type="dxa"/>
                  <w:tcBorders>
                    <w:tl2br w:val="nil"/>
                    <w:tr2bl w:val="nil"/>
                  </w:tcBorders>
                  <w:shd w:val="clear" w:color="auto" w:fill="auto"/>
                  <w:vAlign w:val="center"/>
                </w:tcPr>
                <w:p w14:paraId="47CA9EFA">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3B88178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7B3A6546">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78B4042F">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4EB1C5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5AEBF594">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35</w:t>
                  </w:r>
                </w:p>
              </w:tc>
              <w:tc>
                <w:tcPr>
                  <w:tcW w:w="1500" w:type="dxa"/>
                  <w:tcBorders>
                    <w:tl2br w:val="nil"/>
                    <w:tr2bl w:val="nil"/>
                  </w:tcBorders>
                  <w:shd w:val="clear" w:color="auto" w:fill="auto"/>
                  <w:vAlign w:val="center"/>
                </w:tcPr>
                <w:p w14:paraId="0E4B5EA0">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AHMT</w:t>
                  </w:r>
                </w:p>
              </w:tc>
              <w:tc>
                <w:tcPr>
                  <w:tcW w:w="1152" w:type="dxa"/>
                  <w:tcBorders>
                    <w:tl2br w:val="nil"/>
                    <w:tr2bl w:val="nil"/>
                  </w:tcBorders>
                  <w:shd w:val="clear" w:color="auto" w:fill="auto"/>
                  <w:vAlign w:val="center"/>
                </w:tcPr>
                <w:p w14:paraId="4FAF3740">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25g/瓶</w:t>
                  </w:r>
                </w:p>
              </w:tc>
              <w:tc>
                <w:tcPr>
                  <w:tcW w:w="753" w:type="dxa"/>
                  <w:tcBorders>
                    <w:tl2br w:val="nil"/>
                    <w:tr2bl w:val="nil"/>
                  </w:tcBorders>
                  <w:shd w:val="clear" w:color="auto" w:fill="auto"/>
                  <w:vAlign w:val="center"/>
                </w:tcPr>
                <w:p w14:paraId="0F053D40">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135572F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2</w:t>
                  </w:r>
                </w:p>
              </w:tc>
              <w:tc>
                <w:tcPr>
                  <w:tcW w:w="1390" w:type="dxa"/>
                  <w:tcBorders>
                    <w:tl2br w:val="nil"/>
                    <w:tr2bl w:val="nil"/>
                  </w:tcBorders>
                  <w:vAlign w:val="center"/>
                </w:tcPr>
                <w:p w14:paraId="517A5B7B">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w:t>
                  </w:r>
                </w:p>
              </w:tc>
              <w:tc>
                <w:tcPr>
                  <w:tcW w:w="1326" w:type="dxa"/>
                  <w:tcBorders>
                    <w:tl2br w:val="nil"/>
                    <w:tr2bl w:val="nil"/>
                  </w:tcBorders>
                  <w:vAlign w:val="center"/>
                </w:tcPr>
                <w:p w14:paraId="0A4BAEE3">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72BB9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5B0ADEE0">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36</w:t>
                  </w:r>
                </w:p>
              </w:tc>
              <w:tc>
                <w:tcPr>
                  <w:tcW w:w="1500" w:type="dxa"/>
                  <w:tcBorders>
                    <w:tl2br w:val="nil"/>
                    <w:tr2bl w:val="nil"/>
                  </w:tcBorders>
                  <w:shd w:val="clear" w:color="auto" w:fill="auto"/>
                  <w:vAlign w:val="center"/>
                </w:tcPr>
                <w:p w14:paraId="0A81350B">
                  <w:pPr>
                    <w:pStyle w:val="26"/>
                    <w:adjustRightInd w:val="0"/>
                    <w:snapToGrid w:val="0"/>
                    <w:spacing w:line="240" w:lineRule="auto"/>
                    <w:rPr>
                      <w:rFonts w:hint="eastAsia" w:eastAsia="宋体" w:cs="Times New Roman"/>
                      <w:color w:val="auto"/>
                      <w:szCs w:val="21"/>
                      <w:lang w:val="en-US" w:eastAsia="zh-CN"/>
                    </w:rPr>
                  </w:pPr>
                  <w:r>
                    <w:rPr>
                      <w:rFonts w:hint="eastAsia" w:eastAsia="宋体" w:cs="Times New Roman"/>
                      <w:color w:val="auto"/>
                      <w:szCs w:val="21"/>
                      <w:lang w:val="en-US" w:eastAsia="zh-CN"/>
                    </w:rPr>
                    <w:t>EDTA二钠</w:t>
                  </w:r>
                </w:p>
              </w:tc>
              <w:tc>
                <w:tcPr>
                  <w:tcW w:w="1152" w:type="dxa"/>
                  <w:tcBorders>
                    <w:tl2br w:val="nil"/>
                    <w:tr2bl w:val="nil"/>
                  </w:tcBorders>
                  <w:shd w:val="clear" w:color="auto" w:fill="auto"/>
                  <w:vAlign w:val="center"/>
                </w:tcPr>
                <w:p w14:paraId="617CCA1D">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3DF7EC98">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2E2B125E">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399055D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270F99A5">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4FC450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tcBorders>
                    <w:tl2br w:val="nil"/>
                    <w:tr2bl w:val="nil"/>
                  </w:tcBorders>
                  <w:vAlign w:val="center"/>
                </w:tcPr>
                <w:p w14:paraId="0EF8EC9E">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37</w:t>
                  </w:r>
                </w:p>
              </w:tc>
              <w:tc>
                <w:tcPr>
                  <w:tcW w:w="1500" w:type="dxa"/>
                  <w:tcBorders>
                    <w:tl2br w:val="nil"/>
                    <w:tr2bl w:val="nil"/>
                  </w:tcBorders>
                  <w:shd w:val="clear" w:color="auto" w:fill="auto"/>
                  <w:vAlign w:val="center"/>
                </w:tcPr>
                <w:p w14:paraId="4F8301A7">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TDI</w:t>
                  </w:r>
                </w:p>
              </w:tc>
              <w:tc>
                <w:tcPr>
                  <w:tcW w:w="1152" w:type="dxa"/>
                  <w:tcBorders>
                    <w:tl2br w:val="nil"/>
                    <w:tr2bl w:val="nil"/>
                  </w:tcBorders>
                  <w:shd w:val="clear" w:color="auto" w:fill="auto"/>
                  <w:vAlign w:val="center"/>
                </w:tcPr>
                <w:p w14:paraId="46CF8702">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500g/瓶</w:t>
                  </w:r>
                </w:p>
              </w:tc>
              <w:tc>
                <w:tcPr>
                  <w:tcW w:w="753" w:type="dxa"/>
                  <w:tcBorders>
                    <w:tl2br w:val="nil"/>
                    <w:tr2bl w:val="nil"/>
                  </w:tcBorders>
                  <w:shd w:val="clear" w:color="auto" w:fill="auto"/>
                  <w:vAlign w:val="center"/>
                </w:tcPr>
                <w:p w14:paraId="7589B124">
                  <w:pPr>
                    <w:pStyle w:val="26"/>
                    <w:adjustRightInd w:val="0"/>
                    <w:snapToGrid w:val="0"/>
                    <w:spacing w:line="240" w:lineRule="auto"/>
                    <w:ind w:firstLine="0" w:firstLineChars="0"/>
                    <w:rPr>
                      <w:rFonts w:cs="Times New Roman"/>
                      <w:color w:val="auto"/>
                      <w:szCs w:val="21"/>
                    </w:rPr>
                  </w:pPr>
                  <w:r>
                    <w:rPr>
                      <w:rFonts w:cs="Times New Roman"/>
                      <w:color w:val="auto"/>
                      <w:szCs w:val="21"/>
                    </w:rPr>
                    <w:t>瓶/a</w:t>
                  </w:r>
                </w:p>
              </w:tc>
              <w:tc>
                <w:tcPr>
                  <w:tcW w:w="1215" w:type="dxa"/>
                  <w:tcBorders>
                    <w:tl2br w:val="nil"/>
                    <w:tr2bl w:val="nil"/>
                  </w:tcBorders>
                  <w:shd w:val="clear" w:color="auto" w:fill="auto"/>
                  <w:vAlign w:val="center"/>
                </w:tcPr>
                <w:p w14:paraId="518408DA">
                  <w:pPr>
                    <w:pStyle w:val="26"/>
                    <w:adjustRightInd w:val="0"/>
                    <w:snapToGrid w:val="0"/>
                    <w:spacing w:line="240" w:lineRule="auto"/>
                    <w:rPr>
                      <w:rFonts w:hint="default" w:eastAsia="宋体" w:cs="Times New Roman"/>
                      <w:color w:val="auto"/>
                      <w:szCs w:val="21"/>
                      <w:lang w:val="en-US" w:eastAsia="zh-CN"/>
                    </w:rPr>
                  </w:pPr>
                  <w:r>
                    <w:rPr>
                      <w:rFonts w:hint="eastAsia" w:cs="Times New Roman"/>
                      <w:color w:val="auto"/>
                      <w:szCs w:val="21"/>
                      <w:lang w:val="en-US" w:eastAsia="zh-CN"/>
                    </w:rPr>
                    <w:t>1</w:t>
                  </w:r>
                </w:p>
              </w:tc>
              <w:tc>
                <w:tcPr>
                  <w:tcW w:w="1390" w:type="dxa"/>
                  <w:tcBorders>
                    <w:tl2br w:val="nil"/>
                    <w:tr2bl w:val="nil"/>
                  </w:tcBorders>
                  <w:vAlign w:val="center"/>
                </w:tcPr>
                <w:p w14:paraId="2B83304C">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w:t>
                  </w:r>
                </w:p>
              </w:tc>
              <w:tc>
                <w:tcPr>
                  <w:tcW w:w="1326" w:type="dxa"/>
                  <w:tcBorders>
                    <w:tl2br w:val="nil"/>
                    <w:tr2bl w:val="nil"/>
                  </w:tcBorders>
                  <w:vAlign w:val="center"/>
                </w:tcPr>
                <w:p w14:paraId="5323507D">
                  <w:pPr>
                    <w:adjustRightInd w:val="0"/>
                    <w:snapToGrid w:val="0"/>
                    <w:spacing w:line="240" w:lineRule="auto"/>
                    <w:ind w:firstLine="0" w:firstLineChars="0"/>
                    <w:jc w:val="center"/>
                    <w:rPr>
                      <w:rFonts w:cs="Times New Roman"/>
                      <w:color w:val="auto"/>
                      <w:sz w:val="21"/>
                      <w:szCs w:val="21"/>
                    </w:rPr>
                  </w:pPr>
                  <w:r>
                    <w:rPr>
                      <w:rFonts w:hint="eastAsia" w:cs="Times New Roman"/>
                      <w:color w:val="auto"/>
                      <w:kern w:val="2"/>
                      <w:sz w:val="21"/>
                      <w:szCs w:val="21"/>
                      <w:lang w:val="en-US" w:eastAsia="zh-CN" w:bidi="ar-SA"/>
                    </w:rPr>
                    <w:t>实验试剂</w:t>
                  </w:r>
                </w:p>
              </w:tc>
            </w:tr>
            <w:tr w14:paraId="644BDC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3" w:type="dxa"/>
                  <w:gridSpan w:val="7"/>
                  <w:tcBorders>
                    <w:tl2br w:val="nil"/>
                    <w:tr2bl w:val="nil"/>
                  </w:tcBorders>
                  <w:vAlign w:val="center"/>
                </w:tcPr>
                <w:p w14:paraId="47B56D6B">
                  <w:pPr>
                    <w:adjustRightInd w:val="0"/>
                    <w:snapToGrid w:val="0"/>
                    <w:spacing w:line="240" w:lineRule="auto"/>
                    <w:ind w:firstLine="0" w:firstLineChars="0"/>
                    <w:jc w:val="left"/>
                    <w:rPr>
                      <w:rFonts w:hint="eastAsia" w:cs="Times New Roman"/>
                      <w:color w:val="auto"/>
                      <w:sz w:val="21"/>
                      <w:szCs w:val="21"/>
                      <w:lang w:val="en-US" w:eastAsia="zh-CN"/>
                    </w:rPr>
                  </w:pPr>
                  <w:r>
                    <w:rPr>
                      <w:rFonts w:hint="eastAsia" w:cs="Times New Roman"/>
                      <w:color w:val="auto"/>
                      <w:sz w:val="21"/>
                      <w:szCs w:val="21"/>
                      <w:lang w:val="en-US" w:eastAsia="zh-CN"/>
                    </w:rPr>
                    <w:t>备注：</w:t>
                  </w:r>
                </w:p>
                <w:p w14:paraId="7D77C3A3">
                  <w:pPr>
                    <w:adjustRightInd w:val="0"/>
                    <w:snapToGrid w:val="0"/>
                    <w:spacing w:line="240" w:lineRule="auto"/>
                    <w:ind w:firstLine="0" w:firstLineChars="0"/>
                    <w:jc w:val="left"/>
                    <w:rPr>
                      <w:rFonts w:hint="eastAsia" w:cs="Times New Roman"/>
                      <w:color w:val="auto"/>
                      <w:sz w:val="21"/>
                      <w:szCs w:val="21"/>
                      <w:lang w:val="en-US" w:eastAsia="zh-CN"/>
                    </w:rPr>
                  </w:pPr>
                  <w:r>
                    <w:rPr>
                      <w:rFonts w:hint="eastAsia" w:cs="Times New Roman"/>
                      <w:color w:val="auto"/>
                      <w:sz w:val="21"/>
                      <w:szCs w:val="21"/>
                      <w:lang w:val="en-US" w:eastAsia="zh-CN"/>
                    </w:rPr>
                    <w:t>①以上气瓶就近安置在使用设备旁边，建筑材料难燃性试验炉旁放置1瓶甲烷，单体燃烧试验装置与建筑材料可燃性试验机旁各放置1瓶丙烷和1瓶氮气，数字式氧指数测定仪和建材制品燃烧热值试验装置旁各放置1瓶氧气，气瓶安装防倾倒装置，所有气体随用随买，不设置单独的气瓶间，不贮存多余气瓶</w:t>
                  </w:r>
                  <w:r>
                    <w:rPr>
                      <w:rFonts w:hint="eastAsia" w:ascii="Times New Roman" w:hAnsi="Times New Roman" w:eastAsia="宋体" w:cs="Times New Roman"/>
                      <w:color w:val="auto"/>
                      <w:sz w:val="21"/>
                      <w:szCs w:val="21"/>
                      <w:lang w:val="en-US" w:eastAsia="zh-CN"/>
                    </w:rPr>
                    <w:t>；</w:t>
                  </w:r>
                </w:p>
                <w:p w14:paraId="09C7A56E">
                  <w:pPr>
                    <w:adjustRightInd w:val="0"/>
                    <w:snapToGrid w:val="0"/>
                    <w:spacing w:line="240" w:lineRule="auto"/>
                    <w:ind w:firstLine="0" w:firstLineChars="0"/>
                    <w:jc w:val="left"/>
                    <w:rPr>
                      <w:rFonts w:hint="default" w:eastAsia="宋体" w:cs="Times New Roman"/>
                      <w:color w:val="auto"/>
                      <w:sz w:val="21"/>
                      <w:szCs w:val="21"/>
                      <w:lang w:val="en-US" w:eastAsia="zh-CN"/>
                    </w:rPr>
                  </w:pPr>
                  <w:r>
                    <w:rPr>
                      <w:rFonts w:hint="eastAsia" w:cs="Times New Roman"/>
                      <w:color w:val="auto"/>
                      <w:sz w:val="21"/>
                      <w:szCs w:val="21"/>
                      <w:lang w:val="en-US" w:eastAsia="zh-CN"/>
                    </w:rPr>
                    <w:t>②瓶装</w:t>
                  </w:r>
                  <w:r>
                    <w:rPr>
                      <w:color w:val="auto"/>
                      <w:sz w:val="21"/>
                      <w:szCs w:val="21"/>
                    </w:rPr>
                    <w:t>甲烷密</w:t>
                  </w:r>
                  <w:r>
                    <w:rPr>
                      <w:rFonts w:hint="default" w:ascii="Times New Roman" w:hAnsi="Times New Roman" w:eastAsia="宋体" w:cs="Times New Roman"/>
                      <w:color w:val="auto"/>
                      <w:sz w:val="21"/>
                      <w:szCs w:val="21"/>
                      <w:lang w:val="en-US" w:eastAsia="zh-CN"/>
                    </w:rPr>
                    <w:t>度85.8kg/m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（13Mp、2</w:t>
                  </w:r>
                  <w:r>
                    <w:rPr>
                      <w:rFonts w:hint="default" w:ascii="Times New Roman" w:hAnsi="Times New Roman" w:eastAsia="宋体" w:cs="Times New Roman"/>
                      <w:color w:val="auto"/>
                      <w:sz w:val="21"/>
                      <w:szCs w:val="21"/>
                      <w:lang w:val="en-US" w:eastAsia="zh-CN"/>
                    </w:rPr>
                    <w:t>0℃）；丙烷密度1.964g/L</w:t>
                  </w:r>
                  <w:r>
                    <w:rPr>
                      <w:rFonts w:hint="eastAsia" w:ascii="Times New Roman" w:hAnsi="Times New Roman" w:eastAsia="宋体" w:cs="Times New Roman"/>
                      <w:color w:val="auto"/>
                      <w:sz w:val="21"/>
                      <w:szCs w:val="21"/>
                      <w:lang w:val="en-US" w:eastAsia="zh-CN"/>
                    </w:rPr>
                    <w:t>；乙醇纯度100%，</w:t>
                  </w:r>
                  <w:r>
                    <w:rPr>
                      <w:rFonts w:hint="default" w:ascii="Times New Roman" w:hAnsi="Times New Roman" w:eastAsia="宋体" w:cs="Times New Roman"/>
                      <w:color w:val="auto"/>
                      <w:sz w:val="21"/>
                      <w:szCs w:val="21"/>
                      <w:lang w:val="en-US" w:eastAsia="zh-CN"/>
                    </w:rPr>
                    <w:t>密度</w:t>
                  </w:r>
                  <w:r>
                    <w:rPr>
                      <w:rFonts w:hint="eastAsia" w:ascii="Times New Roman" w:hAnsi="Times New Roman" w:eastAsia="宋体" w:cs="Times New Roman"/>
                      <w:color w:val="auto"/>
                      <w:sz w:val="21"/>
                      <w:szCs w:val="21"/>
                      <w:lang w:val="en-US" w:eastAsia="zh-CN"/>
                    </w:rPr>
                    <w:t>0.789g/cm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bl>
          <w:p w14:paraId="52F09CF1">
            <w:pPr>
              <w:ind w:firstLine="480"/>
              <w:rPr>
                <w:rFonts w:cs="Times New Roman"/>
                <w:color w:val="auto"/>
              </w:rPr>
            </w:pPr>
            <w:r>
              <w:rPr>
                <w:rFonts w:cs="Times New Roman"/>
                <w:color w:val="auto"/>
              </w:rPr>
              <w:t>本项目</w:t>
            </w:r>
            <w:r>
              <w:rPr>
                <w:rFonts w:hint="eastAsia" w:cs="Times New Roman"/>
                <w:color w:val="auto"/>
                <w:lang w:val="en-US" w:eastAsia="zh-CN"/>
              </w:rPr>
              <w:t>原辅材料</w:t>
            </w:r>
            <w:r>
              <w:rPr>
                <w:rFonts w:cs="Times New Roman"/>
                <w:color w:val="auto"/>
              </w:rPr>
              <w:t>理化性质</w:t>
            </w:r>
            <w:r>
              <w:rPr>
                <w:rFonts w:hint="eastAsia" w:cs="Times New Roman"/>
                <w:color w:val="auto"/>
              </w:rPr>
              <w:t>见</w:t>
            </w:r>
            <w:r>
              <w:rPr>
                <w:rFonts w:cs="Times New Roman"/>
                <w:color w:val="auto"/>
              </w:rPr>
              <w:t>下表：</w:t>
            </w:r>
          </w:p>
          <w:p w14:paraId="013349B0">
            <w:pPr>
              <w:pStyle w:val="24"/>
              <w:rPr>
                <w:rFonts w:cs="Times New Roman"/>
                <w:color w:val="auto"/>
              </w:rPr>
            </w:pPr>
            <w:r>
              <w:rPr>
                <w:rFonts w:cs="Times New Roman"/>
                <w:color w:val="auto"/>
              </w:rPr>
              <w:t>表2-</w:t>
            </w:r>
            <w:r>
              <w:rPr>
                <w:rFonts w:hint="eastAsia" w:cs="Times New Roman"/>
                <w:color w:val="auto"/>
              </w:rPr>
              <w:t>6</w:t>
            </w:r>
            <w:r>
              <w:rPr>
                <w:rFonts w:cs="Times New Roman"/>
                <w:color w:val="auto"/>
              </w:rPr>
              <w:t xml:space="preserve"> </w:t>
            </w:r>
            <w:r>
              <w:rPr>
                <w:rFonts w:hint="eastAsia" w:cs="Times New Roman"/>
                <w:color w:val="auto"/>
                <w:lang w:val="en-US" w:eastAsia="zh-CN"/>
              </w:rPr>
              <w:t>本项目原辅材料</w:t>
            </w:r>
            <w:r>
              <w:rPr>
                <w:rFonts w:cs="Times New Roman"/>
                <w:color w:val="auto"/>
              </w:rPr>
              <w:t>理化性质及成分组成一览表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113"/>
              <w:gridCol w:w="6267"/>
            </w:tblGrid>
            <w:tr w14:paraId="45B9E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vAlign w:val="center"/>
                </w:tcPr>
                <w:p w14:paraId="3BA281FE">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序号</w:t>
                  </w:r>
                </w:p>
              </w:tc>
              <w:tc>
                <w:tcPr>
                  <w:tcW w:w="1113" w:type="dxa"/>
                  <w:tcBorders>
                    <w:tl2br w:val="nil"/>
                    <w:tr2bl w:val="nil"/>
                  </w:tcBorders>
                  <w:vAlign w:val="center"/>
                </w:tcPr>
                <w:p w14:paraId="5DD9BDC1">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产品名称</w:t>
                  </w:r>
                </w:p>
              </w:tc>
              <w:tc>
                <w:tcPr>
                  <w:tcW w:w="6267" w:type="dxa"/>
                  <w:tcBorders>
                    <w:tl2br w:val="nil"/>
                    <w:tr2bl w:val="nil"/>
                  </w:tcBorders>
                  <w:vAlign w:val="center"/>
                </w:tcPr>
                <w:p w14:paraId="703871E3">
                  <w:pPr>
                    <w:adjustRightInd w:val="0"/>
                    <w:snapToGrid w:val="0"/>
                    <w:spacing w:line="240" w:lineRule="auto"/>
                    <w:ind w:firstLine="0" w:firstLineChars="0"/>
                    <w:jc w:val="center"/>
                    <w:rPr>
                      <w:rFonts w:cs="Times New Roman"/>
                      <w:b/>
                      <w:bCs/>
                      <w:color w:val="auto"/>
                      <w:sz w:val="21"/>
                      <w:szCs w:val="21"/>
                    </w:rPr>
                  </w:pPr>
                  <w:r>
                    <w:rPr>
                      <w:rFonts w:cs="Times New Roman"/>
                      <w:b/>
                      <w:bCs/>
                      <w:color w:val="auto"/>
                      <w:sz w:val="21"/>
                      <w:szCs w:val="21"/>
                    </w:rPr>
                    <w:t>理化性质及成分组成表</w:t>
                  </w:r>
                </w:p>
              </w:tc>
            </w:tr>
            <w:tr w14:paraId="5C0B3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vAlign w:val="center"/>
                </w:tcPr>
                <w:p w14:paraId="34B32A6E">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1</w:t>
                  </w:r>
                </w:p>
              </w:tc>
              <w:tc>
                <w:tcPr>
                  <w:tcW w:w="1113" w:type="dxa"/>
                  <w:tcBorders>
                    <w:tl2br w:val="nil"/>
                    <w:tr2bl w:val="nil"/>
                  </w:tcBorders>
                  <w:shd w:val="clear" w:color="auto" w:fill="auto"/>
                  <w:vAlign w:val="center"/>
                </w:tcPr>
                <w:p w14:paraId="59A688C2">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甲烷</w:t>
                  </w:r>
                </w:p>
              </w:tc>
              <w:tc>
                <w:tcPr>
                  <w:tcW w:w="6267" w:type="dxa"/>
                  <w:tcBorders>
                    <w:tl2br w:val="nil"/>
                    <w:tr2bl w:val="nil"/>
                  </w:tcBorders>
                  <w:vAlign w:val="center"/>
                </w:tcPr>
                <w:p w14:paraId="718A8F3F">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分子式：CH</w:t>
                  </w:r>
                  <w:r>
                    <w:rPr>
                      <w:rFonts w:cs="Times New Roman"/>
                      <w:color w:val="auto"/>
                      <w:sz w:val="21"/>
                      <w:szCs w:val="21"/>
                      <w:vertAlign w:val="subscript"/>
                    </w:rPr>
                    <w:t>4</w:t>
                  </w:r>
                  <w:r>
                    <w:rPr>
                      <w:rFonts w:cs="Times New Roman"/>
                      <w:color w:val="auto"/>
                      <w:sz w:val="21"/>
                      <w:szCs w:val="21"/>
                    </w:rPr>
                    <w:t>；分子量：16.04；CAS号：74-82-8</w:t>
                  </w:r>
                </w:p>
                <w:p w14:paraId="1F1994C7">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外观与性状：无色无臭气体</w:t>
                  </w:r>
                </w:p>
                <w:p w14:paraId="680AED60">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熔点：-182.5℃；沸点：-161.5℃；</w:t>
                  </w:r>
                </w:p>
                <w:p w14:paraId="7E38D84F">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溶解性：微溶于水，溶于乙醇、乙醚</w:t>
                  </w:r>
                </w:p>
                <w:p w14:paraId="39D1BA4A">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易燃，与空气混合能形成爆炸性混合物，遇热源和明火有燃烧爆炸的危险。</w:t>
                  </w:r>
                </w:p>
                <w:p w14:paraId="45117A58">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：/；LC</w:t>
                  </w:r>
                  <w:r>
                    <w:rPr>
                      <w:rFonts w:cs="Times New Roman"/>
                      <w:color w:val="auto"/>
                      <w:sz w:val="21"/>
                      <w:szCs w:val="21"/>
                      <w:vertAlign w:val="subscript"/>
                    </w:rPr>
                    <w:t>50</w:t>
                  </w:r>
                  <w:r>
                    <w:rPr>
                      <w:rFonts w:cs="Times New Roman"/>
                      <w:color w:val="auto"/>
                      <w:sz w:val="21"/>
                      <w:szCs w:val="21"/>
                    </w:rPr>
                    <w:t>：/</w:t>
                  </w:r>
                </w:p>
              </w:tc>
            </w:tr>
            <w:tr w14:paraId="0E02F4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2BF5147E">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2</w:t>
                  </w:r>
                </w:p>
              </w:tc>
              <w:tc>
                <w:tcPr>
                  <w:tcW w:w="1113" w:type="dxa"/>
                  <w:tcBorders>
                    <w:tl2br w:val="nil"/>
                    <w:tr2bl w:val="nil"/>
                  </w:tcBorders>
                  <w:shd w:val="clear" w:color="auto" w:fill="auto"/>
                  <w:vAlign w:val="center"/>
                </w:tcPr>
                <w:p w14:paraId="07535DFB">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丙烷</w:t>
                  </w:r>
                </w:p>
              </w:tc>
              <w:tc>
                <w:tcPr>
                  <w:tcW w:w="6267" w:type="dxa"/>
                  <w:tcBorders>
                    <w:tl2br w:val="nil"/>
                    <w:tr2bl w:val="nil"/>
                  </w:tcBorders>
                  <w:vAlign w:val="center"/>
                </w:tcPr>
                <w:p w14:paraId="435A7558">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分子式：C</w:t>
                  </w:r>
                  <w:r>
                    <w:rPr>
                      <w:rFonts w:cs="Times New Roman"/>
                      <w:color w:val="auto"/>
                      <w:sz w:val="21"/>
                      <w:szCs w:val="21"/>
                      <w:vertAlign w:val="subscript"/>
                    </w:rPr>
                    <w:t>3</w:t>
                  </w:r>
                  <w:r>
                    <w:rPr>
                      <w:rFonts w:cs="Times New Roman"/>
                      <w:color w:val="auto"/>
                      <w:sz w:val="21"/>
                      <w:szCs w:val="21"/>
                    </w:rPr>
                    <w:t>H</w:t>
                  </w:r>
                  <w:r>
                    <w:rPr>
                      <w:rFonts w:cs="Times New Roman"/>
                      <w:color w:val="auto"/>
                      <w:sz w:val="21"/>
                      <w:szCs w:val="21"/>
                      <w:vertAlign w:val="subscript"/>
                    </w:rPr>
                    <w:t>8</w:t>
                  </w:r>
                  <w:r>
                    <w:rPr>
                      <w:rFonts w:cs="Times New Roman"/>
                      <w:color w:val="auto"/>
                      <w:sz w:val="21"/>
                      <w:szCs w:val="21"/>
                    </w:rPr>
                    <w:t>；分子量：44.10；CAS号：74-98-6</w:t>
                  </w:r>
                </w:p>
                <w:p w14:paraId="4CCCAAF6">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外观与性状：无色气体，纯品无臭</w:t>
                  </w:r>
                </w:p>
                <w:p w14:paraId="2328EA54">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熔点：-187.6℃；沸点：-42.1℃；</w:t>
                  </w:r>
                </w:p>
                <w:p w14:paraId="0B38BF2B">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溶解性：微溶于水，溶于乙醇、乙醚</w:t>
                  </w:r>
                </w:p>
                <w:p w14:paraId="7EF15087">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与空气混合能形成爆炸性混合物，遇明火、高热能引起燃烧爆炸。</w:t>
                  </w:r>
                </w:p>
                <w:p w14:paraId="04C3F0A1">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：5800mg/kg（大鼠经口）20000mg/kg（兔经皮）；LC</w:t>
                  </w:r>
                  <w:r>
                    <w:rPr>
                      <w:rFonts w:cs="Times New Roman"/>
                      <w:color w:val="auto"/>
                      <w:sz w:val="21"/>
                      <w:szCs w:val="21"/>
                      <w:vertAlign w:val="subscript"/>
                    </w:rPr>
                    <w:t>50</w:t>
                  </w:r>
                  <w:r>
                    <w:rPr>
                      <w:rFonts w:cs="Times New Roman"/>
                      <w:color w:val="auto"/>
                      <w:sz w:val="21"/>
                      <w:szCs w:val="21"/>
                    </w:rPr>
                    <w:t>：/</w:t>
                  </w:r>
                </w:p>
              </w:tc>
            </w:tr>
            <w:tr w14:paraId="4D39CE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283E8492">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3</w:t>
                  </w:r>
                </w:p>
              </w:tc>
              <w:tc>
                <w:tcPr>
                  <w:tcW w:w="1113" w:type="dxa"/>
                  <w:tcBorders>
                    <w:tl2br w:val="nil"/>
                    <w:tr2bl w:val="nil"/>
                  </w:tcBorders>
                  <w:shd w:val="clear" w:color="auto" w:fill="auto"/>
                  <w:vAlign w:val="center"/>
                </w:tcPr>
                <w:p w14:paraId="6303E3A7">
                  <w:pPr>
                    <w:pStyle w:val="26"/>
                    <w:adjustRightInd w:val="0"/>
                    <w:snapToGrid w:val="0"/>
                    <w:spacing w:line="240" w:lineRule="auto"/>
                    <w:jc w:val="center"/>
                    <w:rPr>
                      <w:rFonts w:cs="Times New Roman"/>
                      <w:color w:val="auto"/>
                      <w:szCs w:val="21"/>
                    </w:rPr>
                  </w:pPr>
                  <w:r>
                    <w:rPr>
                      <w:rFonts w:cs="Times New Roman"/>
                      <w:color w:val="auto"/>
                      <w:szCs w:val="21"/>
                    </w:rPr>
                    <w:t>氮气</w:t>
                  </w:r>
                </w:p>
              </w:tc>
              <w:tc>
                <w:tcPr>
                  <w:tcW w:w="6267" w:type="dxa"/>
                  <w:tcBorders>
                    <w:tl2br w:val="nil"/>
                    <w:tr2bl w:val="nil"/>
                  </w:tcBorders>
                  <w:vAlign w:val="center"/>
                </w:tcPr>
                <w:p w14:paraId="3F1D80DA">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分子式：N</w:t>
                  </w:r>
                  <w:r>
                    <w:rPr>
                      <w:rFonts w:cs="Times New Roman"/>
                      <w:color w:val="auto"/>
                      <w:sz w:val="21"/>
                      <w:szCs w:val="21"/>
                      <w:vertAlign w:val="subscript"/>
                    </w:rPr>
                    <w:t>2</w:t>
                  </w:r>
                  <w:r>
                    <w:rPr>
                      <w:rFonts w:cs="Times New Roman"/>
                      <w:color w:val="auto"/>
                      <w:sz w:val="21"/>
                      <w:szCs w:val="21"/>
                    </w:rPr>
                    <w:t>；分子量：28.01；CAS号：7727-37-9</w:t>
                  </w:r>
                </w:p>
                <w:p w14:paraId="3DB33C95">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外观与性状：无色无臭气体</w:t>
                  </w:r>
                </w:p>
                <w:p w14:paraId="08329E50">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熔点：-209.8℃；沸点：-195.6℃；</w:t>
                  </w:r>
                </w:p>
                <w:p w14:paraId="36AF5503">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溶解性：微溶于水、乙醇</w:t>
                  </w:r>
                </w:p>
                <w:p w14:paraId="033AAAEF">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若遇高热，容器内压增大，有开裂和爆炸的危险。</w:t>
                  </w:r>
                </w:p>
                <w:p w14:paraId="25C53950">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：/；LC</w:t>
                  </w:r>
                  <w:r>
                    <w:rPr>
                      <w:rFonts w:cs="Times New Roman"/>
                      <w:color w:val="auto"/>
                      <w:sz w:val="21"/>
                      <w:szCs w:val="21"/>
                      <w:vertAlign w:val="subscript"/>
                    </w:rPr>
                    <w:t>50</w:t>
                  </w:r>
                  <w:r>
                    <w:rPr>
                      <w:rFonts w:cs="Times New Roman"/>
                      <w:color w:val="auto"/>
                      <w:sz w:val="21"/>
                      <w:szCs w:val="21"/>
                    </w:rPr>
                    <w:t>：/</w:t>
                  </w:r>
                </w:p>
              </w:tc>
            </w:tr>
            <w:tr w14:paraId="487043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1CC3439E">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4</w:t>
                  </w:r>
                </w:p>
              </w:tc>
              <w:tc>
                <w:tcPr>
                  <w:tcW w:w="1113" w:type="dxa"/>
                  <w:tcBorders>
                    <w:tl2br w:val="nil"/>
                    <w:tr2bl w:val="nil"/>
                  </w:tcBorders>
                  <w:shd w:val="clear" w:color="auto" w:fill="auto"/>
                  <w:vAlign w:val="center"/>
                </w:tcPr>
                <w:p w14:paraId="55F9D49F">
                  <w:pPr>
                    <w:pStyle w:val="26"/>
                    <w:adjustRightInd w:val="0"/>
                    <w:snapToGrid w:val="0"/>
                    <w:spacing w:line="240" w:lineRule="auto"/>
                    <w:jc w:val="center"/>
                    <w:rPr>
                      <w:rFonts w:cs="Times New Roman"/>
                      <w:color w:val="auto"/>
                      <w:szCs w:val="21"/>
                    </w:rPr>
                  </w:pPr>
                  <w:r>
                    <w:rPr>
                      <w:rFonts w:cs="Times New Roman"/>
                      <w:color w:val="auto"/>
                      <w:szCs w:val="21"/>
                    </w:rPr>
                    <w:t>氧气</w:t>
                  </w:r>
                </w:p>
              </w:tc>
              <w:tc>
                <w:tcPr>
                  <w:tcW w:w="6267" w:type="dxa"/>
                  <w:tcBorders>
                    <w:tl2br w:val="nil"/>
                    <w:tr2bl w:val="nil"/>
                  </w:tcBorders>
                  <w:vAlign w:val="center"/>
                </w:tcPr>
                <w:p w14:paraId="66705935">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分子式：O</w:t>
                  </w:r>
                  <w:r>
                    <w:rPr>
                      <w:rFonts w:cs="Times New Roman"/>
                      <w:color w:val="auto"/>
                      <w:sz w:val="21"/>
                      <w:szCs w:val="21"/>
                      <w:vertAlign w:val="subscript"/>
                    </w:rPr>
                    <w:t>2</w:t>
                  </w:r>
                  <w:r>
                    <w:rPr>
                      <w:rFonts w:cs="Times New Roman"/>
                      <w:color w:val="auto"/>
                      <w:sz w:val="21"/>
                      <w:szCs w:val="21"/>
                    </w:rPr>
                    <w:t>；分子量：32.00；CAS号：7782-44-7</w:t>
                  </w:r>
                </w:p>
                <w:p w14:paraId="1858982E">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外观与性状：液化后为蓝色</w:t>
                  </w:r>
                </w:p>
                <w:p w14:paraId="118AB364">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熔点：-218.8℃；沸点：-183.1℃；</w:t>
                  </w:r>
                </w:p>
                <w:p w14:paraId="118573ED">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溶解性：溶于水、乙醇</w:t>
                  </w:r>
                </w:p>
                <w:p w14:paraId="46FF565A">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与乙炔、氢、甲烷等易燃气体按一定比例混合能成为爆炸性混合物；能使油脂剧烈氧化引起燃烧爆炸；有助燃性。</w:t>
                  </w:r>
                </w:p>
                <w:p w14:paraId="3F9391D7">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：/；LC</w:t>
                  </w:r>
                  <w:r>
                    <w:rPr>
                      <w:rFonts w:cs="Times New Roman"/>
                      <w:color w:val="auto"/>
                      <w:sz w:val="21"/>
                      <w:szCs w:val="21"/>
                      <w:vertAlign w:val="subscript"/>
                    </w:rPr>
                    <w:t>50</w:t>
                  </w:r>
                  <w:r>
                    <w:rPr>
                      <w:rFonts w:cs="Times New Roman"/>
                      <w:color w:val="auto"/>
                      <w:sz w:val="21"/>
                      <w:szCs w:val="21"/>
                    </w:rPr>
                    <w:t>：/</w:t>
                  </w:r>
                </w:p>
              </w:tc>
            </w:tr>
            <w:tr w14:paraId="60D89C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26A3A751">
                  <w:pPr>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5</w:t>
                  </w:r>
                </w:p>
              </w:tc>
              <w:tc>
                <w:tcPr>
                  <w:tcW w:w="1113" w:type="dxa"/>
                  <w:tcBorders>
                    <w:tl2br w:val="nil"/>
                    <w:tr2bl w:val="nil"/>
                  </w:tcBorders>
                  <w:shd w:val="clear" w:color="auto" w:fill="auto"/>
                  <w:vAlign w:val="center"/>
                </w:tcPr>
                <w:p w14:paraId="0D7120DB">
                  <w:pPr>
                    <w:pStyle w:val="26"/>
                    <w:adjustRightInd w:val="0"/>
                    <w:snapToGrid w:val="0"/>
                    <w:spacing w:line="240" w:lineRule="auto"/>
                    <w:jc w:val="center"/>
                    <w:rPr>
                      <w:rFonts w:cs="Times New Roman"/>
                      <w:color w:val="auto"/>
                      <w:szCs w:val="21"/>
                    </w:rPr>
                  </w:pPr>
                  <w:r>
                    <w:rPr>
                      <w:rFonts w:cs="Times New Roman"/>
                      <w:color w:val="auto"/>
                      <w:szCs w:val="21"/>
                    </w:rPr>
                    <w:t>苯甲酸</w:t>
                  </w:r>
                </w:p>
              </w:tc>
              <w:tc>
                <w:tcPr>
                  <w:tcW w:w="6267" w:type="dxa"/>
                  <w:tcBorders>
                    <w:tl2br w:val="nil"/>
                    <w:tr2bl w:val="nil"/>
                  </w:tcBorders>
                  <w:vAlign w:val="center"/>
                </w:tcPr>
                <w:p w14:paraId="2F3E9700">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分子式：C</w:t>
                  </w:r>
                  <w:r>
                    <w:rPr>
                      <w:rFonts w:cs="Times New Roman"/>
                      <w:color w:val="auto"/>
                      <w:sz w:val="21"/>
                      <w:szCs w:val="21"/>
                      <w:vertAlign w:val="subscript"/>
                    </w:rPr>
                    <w:t>7</w:t>
                  </w:r>
                  <w:r>
                    <w:rPr>
                      <w:rFonts w:cs="Times New Roman"/>
                      <w:color w:val="auto"/>
                      <w:sz w:val="21"/>
                      <w:szCs w:val="21"/>
                    </w:rPr>
                    <w:t>H</w:t>
                  </w:r>
                  <w:r>
                    <w:rPr>
                      <w:rFonts w:cs="Times New Roman"/>
                      <w:color w:val="auto"/>
                      <w:sz w:val="21"/>
                      <w:szCs w:val="21"/>
                      <w:vertAlign w:val="subscript"/>
                    </w:rPr>
                    <w:t>6</w:t>
                  </w:r>
                  <w:r>
                    <w:rPr>
                      <w:rFonts w:cs="Times New Roman"/>
                      <w:color w:val="auto"/>
                      <w:sz w:val="21"/>
                      <w:szCs w:val="21"/>
                    </w:rPr>
                    <w:t>O</w:t>
                  </w:r>
                  <w:r>
                    <w:rPr>
                      <w:rFonts w:cs="Times New Roman"/>
                      <w:color w:val="auto"/>
                      <w:sz w:val="21"/>
                      <w:szCs w:val="21"/>
                      <w:vertAlign w:val="subscript"/>
                    </w:rPr>
                    <w:t>2</w:t>
                  </w:r>
                  <w:r>
                    <w:rPr>
                      <w:rFonts w:cs="Times New Roman"/>
                      <w:color w:val="auto"/>
                      <w:sz w:val="21"/>
                      <w:szCs w:val="21"/>
                    </w:rPr>
                    <w:t>；分子量：122.12；CAS号：65-85-0</w:t>
                  </w:r>
                </w:p>
                <w:p w14:paraId="500F4D45">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外观与性状：无色或白色鳞片状或针状结晶，具有苯或甲醛臭味</w:t>
                  </w:r>
                </w:p>
                <w:p w14:paraId="0C3FB381">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熔点：121.7℃；沸点：249.2℃；</w:t>
                  </w:r>
                </w:p>
                <w:p w14:paraId="43CC5542">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溶解性：微溶于水，溶于乙醇、乙醚、氯仿、苯、四氯化碳</w:t>
                  </w:r>
                </w:p>
                <w:p w14:paraId="5F42232C">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遇高热、明火或与氧化剂接触，有引起燃烧的危险。</w:t>
                  </w:r>
                </w:p>
                <w:p w14:paraId="51E146E0">
                  <w:pPr>
                    <w:adjustRightInd w:val="0"/>
                    <w:snapToGrid w:val="0"/>
                    <w:spacing w:line="240" w:lineRule="auto"/>
                    <w:ind w:firstLine="0" w:firstLineChars="0"/>
                    <w:jc w:val="both"/>
                    <w:rPr>
                      <w:rFonts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：2530mg/kg（大鼠经口）2370mg/kg（小鼠经口）500mg/kg（人经口）；LC</w:t>
                  </w:r>
                  <w:r>
                    <w:rPr>
                      <w:rFonts w:cs="Times New Roman"/>
                      <w:color w:val="auto"/>
                      <w:sz w:val="21"/>
                      <w:szCs w:val="21"/>
                      <w:vertAlign w:val="subscript"/>
                    </w:rPr>
                    <w:t>50</w:t>
                  </w:r>
                  <w:r>
                    <w:rPr>
                      <w:rFonts w:cs="Times New Roman"/>
                      <w:color w:val="auto"/>
                      <w:sz w:val="21"/>
                      <w:szCs w:val="21"/>
                    </w:rPr>
                    <w:t>：/</w:t>
                  </w:r>
                </w:p>
              </w:tc>
            </w:tr>
            <w:tr w14:paraId="18D04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1DA8319C">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6</w:t>
                  </w:r>
                </w:p>
              </w:tc>
              <w:tc>
                <w:tcPr>
                  <w:tcW w:w="1113" w:type="dxa"/>
                  <w:tcBorders>
                    <w:tl2br w:val="nil"/>
                    <w:tr2bl w:val="nil"/>
                  </w:tcBorders>
                  <w:shd w:val="clear" w:color="auto" w:fill="auto"/>
                  <w:vAlign w:val="center"/>
                </w:tcPr>
                <w:p w14:paraId="7D9564ED">
                  <w:pPr>
                    <w:pStyle w:val="26"/>
                    <w:adjustRightInd w:val="0"/>
                    <w:snapToGrid w:val="0"/>
                    <w:spacing w:line="240" w:lineRule="auto"/>
                    <w:jc w:val="center"/>
                    <w:rPr>
                      <w:rFonts w:hint="eastAsia" w:eastAsia="宋体" w:cs="Times New Roman"/>
                      <w:color w:val="auto"/>
                      <w:szCs w:val="21"/>
                      <w:lang w:val="en-US" w:eastAsia="zh-CN"/>
                    </w:rPr>
                  </w:pPr>
                  <w:r>
                    <w:rPr>
                      <w:rFonts w:hint="eastAsia" w:cs="Times New Roman"/>
                      <w:color w:val="auto"/>
                      <w:szCs w:val="21"/>
                      <w:lang w:val="en-US" w:eastAsia="zh-CN"/>
                    </w:rPr>
                    <w:t>乙醇</w:t>
                  </w:r>
                </w:p>
              </w:tc>
              <w:tc>
                <w:tcPr>
                  <w:tcW w:w="6267" w:type="dxa"/>
                  <w:tcBorders>
                    <w:tl2br w:val="nil"/>
                    <w:tr2bl w:val="nil"/>
                  </w:tcBorders>
                  <w:vAlign w:val="center"/>
                </w:tcPr>
                <w:p w14:paraId="25E1CB80">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分子式：C</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O；分子量：46.07；CAS号：64-17-5。</w:t>
                  </w:r>
                </w:p>
                <w:p w14:paraId="026A8750">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外观与性状：无色液体，有酒香。</w:t>
                  </w:r>
                </w:p>
                <w:p w14:paraId="60CE84C4">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熔点：-114.1℃；沸点：78.3℃；相对密度（水=1）：0.79。</w:t>
                  </w:r>
                </w:p>
                <w:p w14:paraId="4638486F">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溶解性：与水混溶，可混溶于醚、氯仿、甘油等多数有机溶剂。</w:t>
                  </w:r>
                </w:p>
                <w:p w14:paraId="0B9201F3">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eastAsia="宋体" w:cs="Times New Roman"/>
                      <w:color w:val="000000" w:themeColor="text1"/>
                      <w:sz w:val="21"/>
                      <w:szCs w:val="21"/>
                      <w:lang w:eastAsia="zh-CN"/>
                      <w14:textFill>
                        <w14:solidFill>
                          <w14:schemeClr w14:val="tx1"/>
                        </w14:solidFill>
                      </w14:textFill>
                    </w:rPr>
                    <w:t>易燃，其蒸气与空气可形成爆炸性混合物。</w:t>
                  </w:r>
                </w:p>
                <w:p w14:paraId="022ED388">
                  <w:pPr>
                    <w:adjustRightInd w:val="0"/>
                    <w:snapToGrid w:val="0"/>
                    <w:spacing w:line="240" w:lineRule="auto"/>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毒性：</w:t>
                  </w:r>
                  <w:r>
                    <w:rPr>
                      <w:rFonts w:hint="default" w:ascii="Times New Roman" w:hAnsi="Times New Roman" w:eastAsia="宋体" w:cs="Times New Roman"/>
                      <w:color w:val="000000" w:themeColor="text1"/>
                      <w:sz w:val="21"/>
                      <w:szCs w:val="21"/>
                      <w:lang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50</w:t>
                  </w:r>
                  <w:r>
                    <w:rPr>
                      <w:rFonts w:hint="default" w:ascii="Times New Roman" w:hAnsi="Times New Roman" w:eastAsia="宋体" w:cs="Times New Roman"/>
                      <w:color w:val="000000" w:themeColor="text1"/>
                      <w:sz w:val="21"/>
                      <w:szCs w:val="21"/>
                      <w:lang w:eastAsia="zh-CN"/>
                      <w14:textFill>
                        <w14:solidFill>
                          <w14:schemeClr w14:val="tx1"/>
                        </w14:solidFill>
                      </w14:textFill>
                    </w:rPr>
                    <w:t>：7060mg/kg（兔经口）；</w:t>
                  </w:r>
                </w:p>
                <w:p w14:paraId="6A6E22BD">
                  <w:pPr>
                    <w:adjustRightInd w:val="0"/>
                    <w:snapToGrid w:val="0"/>
                    <w:spacing w:line="240" w:lineRule="auto"/>
                    <w:ind w:firstLine="0" w:firstLineChars="0"/>
                    <w:jc w:val="both"/>
                    <w:rPr>
                      <w:rFonts w:cs="Times New Roman"/>
                      <w:color w:val="auto"/>
                      <w:sz w:val="21"/>
                      <w:szCs w:val="21"/>
                    </w:rPr>
                  </w:pPr>
                  <w:r>
                    <w:rPr>
                      <w:rFonts w:hint="default" w:ascii="Times New Roman" w:hAnsi="Times New Roman" w:eastAsia="宋体" w:cs="Times New Roman"/>
                      <w:color w:val="000000" w:themeColor="text1"/>
                      <w:sz w:val="21"/>
                      <w:szCs w:val="21"/>
                      <w:lang w:eastAsia="zh-CN"/>
                      <w14:textFill>
                        <w14:solidFill>
                          <w14:schemeClr w14:val="tx1"/>
                        </w14:solidFill>
                      </w14:textFill>
                    </w:rPr>
                    <w:t>LC</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50</w:t>
                  </w:r>
                  <w:r>
                    <w:rPr>
                      <w:rFonts w:hint="default" w:ascii="Times New Roman" w:hAnsi="Times New Roman" w:eastAsia="宋体" w:cs="Times New Roman"/>
                      <w:color w:val="000000" w:themeColor="text1"/>
                      <w:sz w:val="21"/>
                      <w:szCs w:val="21"/>
                      <w:lang w:eastAsia="zh-CN"/>
                      <w14:textFill>
                        <w14:solidFill>
                          <w14:schemeClr w14:val="tx1"/>
                        </w14:solidFill>
                      </w14:textFill>
                    </w:rPr>
                    <w:t>：37620mg/m</w:t>
                  </w:r>
                  <w:r>
                    <w:rPr>
                      <w:rFonts w:hint="default"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（大鼠吸入，10h）。</w:t>
                  </w:r>
                </w:p>
              </w:tc>
            </w:tr>
            <w:tr w14:paraId="629CA7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42C87B35">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113" w:type="dxa"/>
                  <w:tcBorders>
                    <w:tl2br w:val="nil"/>
                    <w:tr2bl w:val="nil"/>
                  </w:tcBorders>
                  <w:shd w:val="clear" w:color="auto" w:fill="auto"/>
                  <w:vAlign w:val="center"/>
                </w:tcPr>
                <w:p w14:paraId="0631FB61">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甲醇</w:t>
                  </w:r>
                </w:p>
              </w:tc>
              <w:tc>
                <w:tcPr>
                  <w:tcW w:w="6267" w:type="dxa"/>
                  <w:tcBorders>
                    <w:tl2br w:val="nil"/>
                    <w:tr2bl w:val="nil"/>
                  </w:tcBorders>
                  <w:vAlign w:val="center"/>
                </w:tcPr>
                <w:p w14:paraId="68F7FBF9">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分子式：CH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O；分子量：32.04；CAS号：67-56-1</w:t>
                  </w:r>
                </w:p>
                <w:p w14:paraId="020C5BEF">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外观与性状：无色澄清液体，有刺激性气味。</w:t>
                  </w:r>
                </w:p>
                <w:p w14:paraId="474BB91F">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熔点：-97.8℃；沸点：64.8℃；相对密度（水=1）：0.79</w:t>
                  </w:r>
                </w:p>
                <w:p w14:paraId="7E9E36D3">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溶解性：溶于水，可混溶于醇、醚等多数有机溶剂。</w:t>
                  </w:r>
                </w:p>
                <w:p w14:paraId="78ADEEC9">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cs="Times New Roman"/>
                      <w:color w:val="000000" w:themeColor="text1"/>
                      <w:sz w:val="21"/>
                      <w:szCs w:val="21"/>
                      <w14:textFill>
                        <w14:solidFill>
                          <w14:schemeClr w14:val="tx1"/>
                        </w14:solidFill>
                      </w14:textFill>
                    </w:rPr>
                    <w:t>易燃，其蒸气与空气可形成爆炸性混合物。</w:t>
                  </w:r>
                </w:p>
                <w:p w14:paraId="1EFE0D0D">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color w:val="000000" w:themeColor="text1"/>
                      <w:sz w:val="21"/>
                      <w:szCs w:val="21"/>
                      <w:lang w:val="en-US" w:eastAsia="zh-CN"/>
                      <w14:textFill>
                        <w14:solidFill>
                          <w14:schemeClr w14:val="tx1"/>
                        </w14:solidFill>
                      </w14:textFill>
                    </w:rPr>
                    <w:t>毒性：</w:t>
                  </w:r>
                  <w:r>
                    <w:rPr>
                      <w:rFonts w:hint="default" w:ascii="Times New Roman" w:hAnsi="Times New Roman" w:cs="Times New Roman"/>
                      <w:color w:val="000000" w:themeColor="text1"/>
                      <w:sz w:val="21"/>
                      <w:szCs w:val="21"/>
                      <w14:textFill>
                        <w14:solidFill>
                          <w14:schemeClr w14:val="tx1"/>
                        </w14:solidFill>
                      </w14:textFill>
                    </w:rPr>
                    <w:t>LD</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：5628mg/kg（大鼠经口），15800mg/kg（兔经皮）；LC</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：83776mg/m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（大鼠吸入，4h）。</w:t>
                  </w:r>
                </w:p>
              </w:tc>
            </w:tr>
            <w:tr w14:paraId="1C18F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l2br w:val="nil"/>
                    <w:tr2bl w:val="nil"/>
                  </w:tcBorders>
                  <w:shd w:val="clear" w:color="auto" w:fill="auto"/>
                  <w:vAlign w:val="center"/>
                </w:tcPr>
                <w:p w14:paraId="42F69E0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113" w:type="dxa"/>
                  <w:tcBorders>
                    <w:tl2br w:val="nil"/>
                    <w:tr2bl w:val="nil"/>
                  </w:tcBorders>
                  <w:shd w:val="clear" w:color="auto" w:fill="auto"/>
                  <w:vAlign w:val="center"/>
                </w:tcPr>
                <w:p w14:paraId="328869D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异丁醇</w:t>
                  </w:r>
                </w:p>
              </w:tc>
              <w:tc>
                <w:tcPr>
                  <w:tcW w:w="6267" w:type="dxa"/>
                  <w:tcBorders>
                    <w:tl2br w:val="nil"/>
                    <w:tr2bl w:val="nil"/>
                  </w:tcBorders>
                  <w:vAlign w:val="center"/>
                </w:tcPr>
                <w:p w14:paraId="70745A90">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O；分子量：</w:t>
                  </w:r>
                  <w:r>
                    <w:rPr>
                      <w:rFonts w:hint="eastAsia" w:ascii="Times New Roman" w:hAnsi="Times New Roman" w:cs="Times New Roman"/>
                      <w:color w:val="000000" w:themeColor="text1"/>
                      <w:sz w:val="21"/>
                      <w:szCs w:val="21"/>
                      <w:lang w:val="en-US" w:eastAsia="zh-CN"/>
                      <w14:textFill>
                        <w14:solidFill>
                          <w14:schemeClr w14:val="tx1"/>
                        </w14:solidFill>
                      </w14:textFill>
                    </w:rPr>
                    <w:t>74.12</w:t>
                  </w:r>
                  <w:r>
                    <w:rPr>
                      <w:rFonts w:hint="default" w:ascii="Times New Roman" w:hAnsi="Times New Roman" w:cs="Times New Roman"/>
                      <w:color w:val="000000" w:themeColor="text1"/>
                      <w:sz w:val="21"/>
                      <w:szCs w:val="21"/>
                      <w14:textFill>
                        <w14:solidFill>
                          <w14:schemeClr w14:val="tx1"/>
                        </w14:solidFill>
                      </w14:textFill>
                    </w:rPr>
                    <w:t>；CAS号：</w:t>
                  </w:r>
                  <w:r>
                    <w:rPr>
                      <w:rFonts w:hint="eastAsia" w:ascii="Times New Roman" w:hAnsi="Times New Roman" w:cs="Times New Roman"/>
                      <w:color w:val="000000" w:themeColor="text1"/>
                      <w:sz w:val="21"/>
                      <w:szCs w:val="21"/>
                      <w:lang w:val="en-US" w:eastAsia="zh-CN"/>
                      <w14:textFill>
                        <w14:solidFill>
                          <w14:schemeClr w14:val="tx1"/>
                        </w14:solidFill>
                      </w14:textFill>
                    </w:rPr>
                    <w:t>78-83-1</w:t>
                  </w:r>
                </w:p>
                <w:p w14:paraId="30D0AA0B">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外观与性状：无色</w:t>
                  </w:r>
                  <w:r>
                    <w:rPr>
                      <w:rFonts w:hint="eastAsia" w:ascii="Times New Roman" w:hAnsi="Times New Roman" w:cs="Times New Roman"/>
                      <w:color w:val="000000" w:themeColor="text1"/>
                      <w:sz w:val="21"/>
                      <w:szCs w:val="21"/>
                      <w:lang w:val="en-US" w:eastAsia="zh-CN"/>
                      <w14:textFill>
                        <w14:solidFill>
                          <w14:schemeClr w14:val="tx1"/>
                        </w14:solidFill>
                      </w14:textFill>
                    </w:rPr>
                    <w:t>透明</w:t>
                  </w:r>
                  <w:r>
                    <w:rPr>
                      <w:rFonts w:hint="default" w:ascii="Times New Roman" w:hAnsi="Times New Roman" w:cs="Times New Roman"/>
                      <w:color w:val="000000" w:themeColor="text1"/>
                      <w:sz w:val="21"/>
                      <w:szCs w:val="21"/>
                      <w14:textFill>
                        <w14:solidFill>
                          <w14:schemeClr w14:val="tx1"/>
                        </w14:solidFill>
                      </w14:textFill>
                    </w:rPr>
                    <w:t>液体，</w:t>
                  </w:r>
                  <w:r>
                    <w:rPr>
                      <w:rFonts w:hint="eastAsia" w:ascii="Times New Roman" w:hAnsi="Times New Roman" w:cs="Times New Roman"/>
                      <w:color w:val="000000" w:themeColor="text1"/>
                      <w:sz w:val="21"/>
                      <w:szCs w:val="21"/>
                      <w:lang w:val="en-US" w:eastAsia="zh-CN"/>
                      <w14:textFill>
                        <w14:solidFill>
                          <w14:schemeClr w14:val="tx1"/>
                        </w14:solidFill>
                      </w14:textFill>
                    </w:rPr>
                    <w:t>微有戊醇味</w:t>
                  </w:r>
                </w:p>
                <w:p w14:paraId="2D41F403">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熔点：-</w:t>
                  </w:r>
                  <w:r>
                    <w:rPr>
                      <w:rFonts w:hint="eastAsia" w:ascii="Times New Roman" w:hAnsi="Times New Roman" w:cs="Times New Roman"/>
                      <w:color w:val="000000" w:themeColor="text1"/>
                      <w:sz w:val="21"/>
                      <w:szCs w:val="21"/>
                      <w:lang w:val="en-US" w:eastAsia="zh-CN"/>
                      <w14:textFill>
                        <w14:solidFill>
                          <w14:schemeClr w14:val="tx1"/>
                        </w14:solidFill>
                      </w14:textFill>
                    </w:rPr>
                    <w:t>108</w:t>
                  </w:r>
                  <w:r>
                    <w:rPr>
                      <w:rFonts w:hint="default" w:ascii="Times New Roman" w:hAnsi="Times New Roman" w:cs="Times New Roman"/>
                      <w:color w:val="000000" w:themeColor="text1"/>
                      <w:sz w:val="21"/>
                      <w:szCs w:val="21"/>
                      <w14:textFill>
                        <w14:solidFill>
                          <w14:schemeClr w14:val="tx1"/>
                        </w14:solidFill>
                      </w14:textFill>
                    </w:rPr>
                    <w:t>℃；沸点：</w:t>
                  </w:r>
                  <w:r>
                    <w:rPr>
                      <w:rFonts w:hint="eastAsia" w:ascii="Times New Roman" w:hAnsi="Times New Roman" w:cs="Times New Roman"/>
                      <w:color w:val="000000" w:themeColor="text1"/>
                      <w:sz w:val="21"/>
                      <w:szCs w:val="21"/>
                      <w:lang w:val="en-US" w:eastAsia="zh-CN"/>
                      <w14:textFill>
                        <w14:solidFill>
                          <w14:schemeClr w14:val="tx1"/>
                        </w14:solidFill>
                      </w14:textFill>
                    </w:rPr>
                    <w:t>107.9</w:t>
                  </w:r>
                  <w:r>
                    <w:rPr>
                      <w:rFonts w:hint="default" w:ascii="Times New Roman" w:hAnsi="Times New Roman" w:cs="Times New Roman"/>
                      <w:color w:val="000000" w:themeColor="text1"/>
                      <w:sz w:val="21"/>
                      <w:szCs w:val="21"/>
                      <w14:textFill>
                        <w14:solidFill>
                          <w14:schemeClr w14:val="tx1"/>
                        </w14:solidFill>
                      </w14:textFill>
                    </w:rPr>
                    <w:t>℃；相对密度（水=1）：0.</w:t>
                  </w:r>
                  <w:r>
                    <w:rPr>
                      <w:rFonts w:hint="eastAsia" w:ascii="Times New Roman" w:hAnsi="Times New Roman" w:cs="Times New Roman"/>
                      <w:color w:val="000000" w:themeColor="text1"/>
                      <w:sz w:val="21"/>
                      <w:szCs w:val="21"/>
                      <w:lang w:val="en-US" w:eastAsia="zh-CN"/>
                      <w14:textFill>
                        <w14:solidFill>
                          <w14:schemeClr w14:val="tx1"/>
                        </w14:solidFill>
                      </w14:textFill>
                    </w:rPr>
                    <w:t>81</w:t>
                  </w:r>
                </w:p>
                <w:p w14:paraId="1EBD2DE8">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溶解性：溶于水，</w:t>
                  </w:r>
                  <w:r>
                    <w:rPr>
                      <w:rFonts w:hint="eastAsia" w:ascii="Times New Roman" w:hAnsi="Times New Roman" w:cs="Times New Roman"/>
                      <w:color w:val="000000" w:themeColor="text1"/>
                      <w:sz w:val="21"/>
                      <w:szCs w:val="21"/>
                      <w:lang w:val="en-US" w:eastAsia="zh-CN"/>
                      <w14:textFill>
                        <w14:solidFill>
                          <w14:schemeClr w14:val="tx1"/>
                        </w14:solidFill>
                      </w14:textFill>
                    </w:rPr>
                    <w:t>易</w:t>
                  </w:r>
                  <w:r>
                    <w:rPr>
                      <w:rFonts w:hint="default" w:ascii="Times New Roman" w:hAnsi="Times New Roman" w:cs="Times New Roman"/>
                      <w:color w:val="000000" w:themeColor="text1"/>
                      <w:sz w:val="21"/>
                      <w:szCs w:val="21"/>
                      <w14:textFill>
                        <w14:solidFill>
                          <w14:schemeClr w14:val="tx1"/>
                        </w14:solidFill>
                      </w14:textFill>
                    </w:rPr>
                    <w:t>溶于醇、醚</w:t>
                  </w:r>
                </w:p>
                <w:p w14:paraId="7C5E2181">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cs="Times New Roman"/>
                      <w:color w:val="000000" w:themeColor="text1"/>
                      <w:sz w:val="21"/>
                      <w:szCs w:val="21"/>
                      <w14:textFill>
                        <w14:solidFill>
                          <w14:schemeClr w14:val="tx1"/>
                        </w14:solidFill>
                      </w14:textFill>
                    </w:rPr>
                    <w:t>易燃，</w:t>
                  </w:r>
                  <w:r>
                    <w:rPr>
                      <w:rFonts w:hint="eastAsia" w:ascii="Times New Roman" w:hAnsi="Times New Roman" w:cs="Times New Roman"/>
                      <w:color w:val="000000" w:themeColor="text1"/>
                      <w:sz w:val="21"/>
                      <w:szCs w:val="21"/>
                      <w:lang w:val="en-US" w:eastAsia="zh-CN"/>
                      <w14:textFill>
                        <w14:solidFill>
                          <w14:schemeClr w14:val="tx1"/>
                        </w14:solidFill>
                      </w14:textFill>
                    </w:rPr>
                    <w:t>具有刺激性</w:t>
                  </w:r>
                </w:p>
                <w:p w14:paraId="1C74ACF1">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color w:val="000000" w:themeColor="text1"/>
                      <w:sz w:val="21"/>
                      <w:szCs w:val="21"/>
                      <w:lang w:val="en-US" w:eastAsia="zh-CN"/>
                      <w14:textFill>
                        <w14:solidFill>
                          <w14:schemeClr w14:val="tx1"/>
                        </w14:solidFill>
                      </w14:textFill>
                    </w:rPr>
                    <w:t>毒性：</w:t>
                  </w:r>
                  <w:r>
                    <w:rPr>
                      <w:rFonts w:hint="default" w:ascii="Times New Roman" w:hAnsi="Times New Roman" w:cs="Times New Roman"/>
                      <w:color w:val="000000" w:themeColor="text1"/>
                      <w:sz w:val="21"/>
                      <w:szCs w:val="21"/>
                      <w14:textFill>
                        <w14:solidFill>
                          <w14:schemeClr w14:val="tx1"/>
                        </w14:solidFill>
                      </w14:textFill>
                    </w:rPr>
                    <w:t>LD</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2460</w:t>
                  </w:r>
                  <w:r>
                    <w:rPr>
                      <w:rFonts w:hint="default" w:ascii="Times New Roman" w:hAnsi="Times New Roman" w:cs="Times New Roman"/>
                      <w:color w:val="000000" w:themeColor="text1"/>
                      <w:sz w:val="21"/>
                      <w:szCs w:val="21"/>
                      <w14:textFill>
                        <w14:solidFill>
                          <w14:schemeClr w14:val="tx1"/>
                        </w14:solidFill>
                      </w14:textFill>
                    </w:rPr>
                    <w:t>mg/kg（大鼠经口），</w:t>
                  </w:r>
                  <w:r>
                    <w:rPr>
                      <w:rFonts w:hint="eastAsia" w:ascii="Times New Roman" w:hAnsi="Times New Roman" w:cs="Times New Roman"/>
                      <w:color w:val="000000" w:themeColor="text1"/>
                      <w:sz w:val="21"/>
                      <w:szCs w:val="21"/>
                      <w:lang w:val="en-US" w:eastAsia="zh-CN"/>
                      <w14:textFill>
                        <w14:solidFill>
                          <w14:schemeClr w14:val="tx1"/>
                        </w14:solidFill>
                      </w14:textFill>
                    </w:rPr>
                    <w:t>3400</w:t>
                  </w:r>
                  <w:r>
                    <w:rPr>
                      <w:rFonts w:hint="default" w:ascii="Times New Roman" w:hAnsi="Times New Roman" w:cs="Times New Roman"/>
                      <w:color w:val="000000" w:themeColor="text1"/>
                      <w:sz w:val="21"/>
                      <w:szCs w:val="21"/>
                      <w14:textFill>
                        <w14:solidFill>
                          <w14:schemeClr w14:val="tx1"/>
                        </w14:solidFill>
                      </w14:textFill>
                    </w:rPr>
                    <w:t>mg/kg（兔经皮）</w:t>
                  </w:r>
                </w:p>
              </w:tc>
            </w:tr>
            <w:tr w14:paraId="416BF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CB2CB3F">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0" w:type="auto"/>
                  <w:shd w:val="clear" w:color="auto" w:fill="auto"/>
                  <w:vAlign w:val="center"/>
                </w:tcPr>
                <w:p w14:paraId="395E297C">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冰乙酸</w:t>
                  </w:r>
                </w:p>
              </w:tc>
              <w:tc>
                <w:tcPr>
                  <w:tcW w:w="0" w:type="auto"/>
                  <w:vAlign w:val="center"/>
                </w:tcPr>
                <w:p w14:paraId="591C0DFD">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w:t>
                  </w:r>
                  <w:r>
                    <w:rPr>
                      <w:rFonts w:hint="eastAsia" w:cs="Times New Roman"/>
                      <w:color w:val="000000" w:themeColor="text1"/>
                      <w:sz w:val="21"/>
                      <w:szCs w:val="21"/>
                      <w:lang w:val="en-US" w:eastAsia="zh-CN"/>
                      <w14:textFill>
                        <w14:solidFill>
                          <w14:schemeClr w14:val="tx1"/>
                        </w14:solidFill>
                      </w14:textFill>
                    </w:rPr>
                    <w:t>C</w:t>
                  </w:r>
                  <w:r>
                    <w:rPr>
                      <w:rFonts w:hint="eastAsia" w:cs="Times New Roman"/>
                      <w:color w:val="000000" w:themeColor="text1"/>
                      <w:sz w:val="21"/>
                      <w:szCs w:val="21"/>
                      <w:vertAlign w:val="sub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H</w:t>
                  </w:r>
                  <w:r>
                    <w:rPr>
                      <w:rFonts w:hint="eastAsia" w:cs="Times New Roman"/>
                      <w:color w:val="000000" w:themeColor="text1"/>
                      <w:sz w:val="21"/>
                      <w:szCs w:val="21"/>
                      <w:vertAlign w:val="subscript"/>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O</w:t>
                  </w:r>
                  <w:r>
                    <w:rPr>
                      <w:rFonts w:hint="eastAsia"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；分子量：</w:t>
                  </w:r>
                  <w:r>
                    <w:rPr>
                      <w:rFonts w:hint="eastAsia" w:cs="Times New Roman"/>
                      <w:color w:val="000000" w:themeColor="text1"/>
                      <w:sz w:val="21"/>
                      <w:szCs w:val="21"/>
                      <w:lang w:val="en-US" w:eastAsia="zh-CN"/>
                      <w14:textFill>
                        <w14:solidFill>
                          <w14:schemeClr w14:val="tx1"/>
                        </w14:solidFill>
                      </w14:textFill>
                    </w:rPr>
                    <w:t>60.05</w:t>
                  </w:r>
                  <w:r>
                    <w:rPr>
                      <w:rFonts w:hint="default" w:ascii="Times New Roman" w:hAnsi="Times New Roman" w:cs="Times New Roman"/>
                      <w:color w:val="000000" w:themeColor="text1"/>
                      <w:sz w:val="21"/>
                      <w:szCs w:val="21"/>
                      <w14:textFill>
                        <w14:solidFill>
                          <w14:schemeClr w14:val="tx1"/>
                        </w14:solidFill>
                      </w14:textFill>
                    </w:rPr>
                    <w:t>；CAS号：7664-38-2</w:t>
                  </w:r>
                </w:p>
                <w:p w14:paraId="734FFCA9">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外观与性状：</w:t>
                  </w:r>
                  <w:r>
                    <w:rPr>
                      <w:rFonts w:hint="eastAsia" w:cs="Times New Roman"/>
                      <w:color w:val="000000" w:themeColor="text1"/>
                      <w:sz w:val="21"/>
                      <w:szCs w:val="21"/>
                      <w:lang w:val="en-US" w:eastAsia="zh-CN"/>
                      <w14:textFill>
                        <w14:solidFill>
                          <w14:schemeClr w14:val="tx1"/>
                        </w14:solidFill>
                      </w14:textFill>
                    </w:rPr>
                    <w:t>无色透明液体或结晶，有刺激性气味</w:t>
                  </w:r>
                  <w:r>
                    <w:rPr>
                      <w:rFonts w:hint="default" w:ascii="Times New Roman" w:hAnsi="Times New Roman" w:cs="Times New Roman"/>
                      <w:color w:val="000000" w:themeColor="text1"/>
                      <w:sz w:val="21"/>
                      <w:szCs w:val="21"/>
                      <w14:textFill>
                        <w14:solidFill>
                          <w14:schemeClr w14:val="tx1"/>
                        </w14:solidFill>
                      </w14:textFill>
                    </w:rPr>
                    <w:t>。</w:t>
                  </w:r>
                </w:p>
                <w:p w14:paraId="3B5E669F">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熔点：</w:t>
                  </w:r>
                  <w:r>
                    <w:rPr>
                      <w:rFonts w:hint="eastAsia" w:cs="Times New Roman"/>
                      <w:color w:val="000000" w:themeColor="text1"/>
                      <w:sz w:val="21"/>
                      <w:szCs w:val="21"/>
                      <w:lang w:val="en-US" w:eastAsia="zh-CN"/>
                      <w14:textFill>
                        <w14:solidFill>
                          <w14:schemeClr w14:val="tx1"/>
                        </w14:solidFill>
                      </w14:textFill>
                    </w:rPr>
                    <w:t>16.7</w:t>
                  </w:r>
                  <w:r>
                    <w:rPr>
                      <w:rFonts w:hint="default" w:ascii="Times New Roman" w:hAnsi="Times New Roman" w:cs="Times New Roman"/>
                      <w:color w:val="000000" w:themeColor="text1"/>
                      <w:sz w:val="21"/>
                      <w:szCs w:val="21"/>
                      <w14:textFill>
                        <w14:solidFill>
                          <w14:schemeClr w14:val="tx1"/>
                        </w14:solidFill>
                      </w14:textFill>
                    </w:rPr>
                    <w:t>℃；沸点：</w:t>
                  </w:r>
                  <w:r>
                    <w:rPr>
                      <w:rFonts w:hint="eastAsia" w:cs="Times New Roman"/>
                      <w:color w:val="000000" w:themeColor="text1"/>
                      <w:sz w:val="21"/>
                      <w:szCs w:val="21"/>
                      <w:lang w:val="en-US" w:eastAsia="zh-CN"/>
                      <w14:textFill>
                        <w14:solidFill>
                          <w14:schemeClr w14:val="tx1"/>
                        </w14:solidFill>
                      </w14:textFill>
                    </w:rPr>
                    <w:t>118.1</w:t>
                  </w:r>
                  <w:r>
                    <w:rPr>
                      <w:rFonts w:hint="default" w:ascii="Times New Roman" w:hAnsi="Times New Roman" w:cs="Times New Roman"/>
                      <w:color w:val="000000" w:themeColor="text1"/>
                      <w:sz w:val="21"/>
                      <w:szCs w:val="21"/>
                      <w14:textFill>
                        <w14:solidFill>
                          <w14:schemeClr w14:val="tx1"/>
                        </w14:solidFill>
                      </w14:textFill>
                    </w:rPr>
                    <w:t>℃；相对密度（水=1）：</w:t>
                  </w:r>
                  <w:r>
                    <w:rPr>
                      <w:rFonts w:hint="eastAsia" w:cs="Times New Roman"/>
                      <w:color w:val="000000" w:themeColor="text1"/>
                      <w:sz w:val="21"/>
                      <w:szCs w:val="21"/>
                      <w:lang w:val="en-US" w:eastAsia="zh-CN"/>
                      <w14:textFill>
                        <w14:solidFill>
                          <w14:schemeClr w14:val="tx1"/>
                        </w14:solidFill>
                      </w14:textFill>
                    </w:rPr>
                    <w:t>1.05</w:t>
                  </w:r>
                </w:p>
                <w:p w14:paraId="6A60D65C">
                  <w:pPr>
                    <w:adjustRightInd w:val="0"/>
                    <w:snapToGrid w:val="0"/>
                    <w:spacing w:line="240" w:lineRule="auto"/>
                    <w:ind w:firstLine="0" w:firstLineChars="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w:t>
                  </w:r>
                  <w:r>
                    <w:rPr>
                      <w:rFonts w:hint="eastAsia" w:cs="Times New Roman"/>
                      <w:color w:val="000000" w:themeColor="text1"/>
                      <w:sz w:val="21"/>
                      <w:szCs w:val="21"/>
                      <w:lang w:val="en-US" w:eastAsia="zh-CN"/>
                      <w14:textFill>
                        <w14:solidFill>
                          <w14:schemeClr w14:val="tx1"/>
                        </w14:solidFill>
                      </w14:textFill>
                    </w:rPr>
                    <w:t>溶于水、醚、甘油、四氯化碳等常用有机溶剂，不溶于二硫化碳和C12以上脂肪烃。</w:t>
                  </w:r>
                </w:p>
                <w:p w14:paraId="664D8EAE">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cs="Times New Roman"/>
                      <w:color w:val="000000" w:themeColor="text1"/>
                      <w:sz w:val="21"/>
                      <w:szCs w:val="21"/>
                      <w14:textFill>
                        <w14:solidFill>
                          <w14:schemeClr w14:val="tx1"/>
                        </w14:solidFill>
                      </w14:textFill>
                    </w:rPr>
                    <w:t>易燃，其蒸气与空气可形成爆炸性混合物</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遇明火、高热能引起燃烧爆炸。与铬酸、过氧化钠、硝酸或其他氧化剂接触，有爆炸的危险。具有较强腐蚀性。</w:t>
                  </w:r>
                </w:p>
                <w:p w14:paraId="066E8C53">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color w:val="000000" w:themeColor="text1"/>
                      <w:sz w:val="21"/>
                      <w:szCs w:val="21"/>
                      <w:lang w:val="en-US" w:eastAsia="zh-CN"/>
                      <w14:textFill>
                        <w14:solidFill>
                          <w14:schemeClr w14:val="tx1"/>
                        </w14:solidFill>
                      </w14:textFill>
                    </w:rPr>
                    <w:t>毒性：</w:t>
                  </w:r>
                  <w:r>
                    <w:rPr>
                      <w:rFonts w:hint="default" w:ascii="Times New Roman" w:hAnsi="Times New Roman" w:cs="Times New Roman"/>
                      <w:color w:val="000000" w:themeColor="text1"/>
                      <w:sz w:val="21"/>
                      <w:szCs w:val="21"/>
                      <w14:textFill>
                        <w14:solidFill>
                          <w14:schemeClr w14:val="tx1"/>
                        </w14:solidFill>
                      </w14:textFill>
                    </w:rPr>
                    <w:t>LD</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3530</w:t>
                  </w:r>
                  <w:r>
                    <w:rPr>
                      <w:rFonts w:hint="default" w:ascii="Times New Roman" w:hAnsi="Times New Roman" w:cs="Times New Roman"/>
                      <w:color w:val="000000" w:themeColor="text1"/>
                      <w:sz w:val="21"/>
                      <w:szCs w:val="21"/>
                      <w14:textFill>
                        <w14:solidFill>
                          <w14:schemeClr w14:val="tx1"/>
                        </w14:solidFill>
                      </w14:textFill>
                    </w:rPr>
                    <w:t>mg/kg（大鼠经口），</w:t>
                  </w:r>
                  <w:r>
                    <w:rPr>
                      <w:rFonts w:hint="eastAsia" w:cs="Times New Roman"/>
                      <w:color w:val="000000" w:themeColor="text1"/>
                      <w:sz w:val="21"/>
                      <w:szCs w:val="21"/>
                      <w:lang w:val="en-US" w:eastAsia="zh-CN"/>
                      <w14:textFill>
                        <w14:solidFill>
                          <w14:schemeClr w14:val="tx1"/>
                        </w14:solidFill>
                      </w14:textFill>
                    </w:rPr>
                    <w:t>1060</w:t>
                  </w:r>
                  <w:r>
                    <w:rPr>
                      <w:rFonts w:hint="default" w:ascii="Times New Roman" w:hAnsi="Times New Roman" w:cs="Times New Roman"/>
                      <w:color w:val="000000" w:themeColor="text1"/>
                      <w:sz w:val="21"/>
                      <w:szCs w:val="21"/>
                      <w14:textFill>
                        <w14:solidFill>
                          <w14:schemeClr w14:val="tx1"/>
                        </w14:solidFill>
                      </w14:textFill>
                    </w:rPr>
                    <w:t>mg/kg（兔经皮）；LC</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13791mg/m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，1小时（小鼠吸入）</w:t>
                  </w:r>
                  <w:r>
                    <w:rPr>
                      <w:rFonts w:hint="default" w:ascii="Times New Roman" w:hAnsi="Times New Roman" w:cs="Times New Roman"/>
                      <w:color w:val="000000" w:themeColor="text1"/>
                      <w:sz w:val="21"/>
                      <w:szCs w:val="21"/>
                      <w14:textFill>
                        <w14:solidFill>
                          <w14:schemeClr w14:val="tx1"/>
                        </w14:solidFill>
                      </w14:textFill>
                    </w:rPr>
                    <w:t>。</w:t>
                  </w:r>
                </w:p>
              </w:tc>
            </w:tr>
            <w:tr w14:paraId="19482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531E353">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0" w:type="auto"/>
                  <w:shd w:val="clear" w:color="auto" w:fill="auto"/>
                  <w:vAlign w:val="center"/>
                </w:tcPr>
                <w:p w14:paraId="22A514E6">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异丙醇</w:t>
                  </w:r>
                </w:p>
              </w:tc>
              <w:tc>
                <w:tcPr>
                  <w:tcW w:w="0" w:type="auto"/>
                  <w:vAlign w:val="center"/>
                </w:tcPr>
                <w:p w14:paraId="4A18FE7F">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分子式：C</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7</w:t>
                  </w:r>
                  <w:r>
                    <w:rPr>
                      <w:rFonts w:hint="default" w:ascii="Times New Roman" w:hAnsi="Times New Roman" w:eastAsia="宋体" w:cs="Times New Roman"/>
                      <w:color w:val="000000" w:themeColor="text1"/>
                      <w:sz w:val="21"/>
                      <w:szCs w:val="21"/>
                      <w:lang w:eastAsia="zh-CN"/>
                      <w14:textFill>
                        <w14:solidFill>
                          <w14:schemeClr w14:val="tx1"/>
                        </w14:solidFill>
                      </w14:textFill>
                    </w:rPr>
                    <w:t>OH，分子量：60.095，CAS号：67-63-0。</w:t>
                  </w:r>
                </w:p>
                <w:p w14:paraId="4D4075ED">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外观与性状：无色透明液体，有似乙醇和丙酮混合物的气味。</w:t>
                  </w:r>
                </w:p>
                <w:p w14:paraId="386BE32E">
                  <w:pPr>
                    <w:adjustRightInd w:val="0"/>
                    <w:snapToGrid w:val="0"/>
                    <w:spacing w:line="240" w:lineRule="auto"/>
                    <w:ind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熔点：-88.5℃；沸点：82.5℃；闪点：11℃；相对密度（水=1）：0.79；溶解性：溶于水、乙醇、乙醚、苯、氯仿等多数有机溶剂。易燃。</w:t>
                  </w:r>
                </w:p>
                <w:p w14:paraId="33CFD7A9">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eastAsia="宋体" w:cs="Times New Roman"/>
                      <w:color w:val="000000" w:themeColor="text1"/>
                      <w:sz w:val="21"/>
                      <w:szCs w:val="21"/>
                      <w:lang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50</w:t>
                  </w:r>
                  <w:r>
                    <w:rPr>
                      <w:rFonts w:hint="default" w:ascii="Times New Roman" w:hAnsi="Times New Roman" w:eastAsia="宋体" w:cs="Times New Roman"/>
                      <w:color w:val="000000" w:themeColor="text1"/>
                      <w:sz w:val="21"/>
                      <w:szCs w:val="21"/>
                      <w:lang w:eastAsia="zh-CN"/>
                      <w14:textFill>
                        <w14:solidFill>
                          <w14:schemeClr w14:val="tx1"/>
                        </w14:solidFill>
                      </w14:textFill>
                    </w:rPr>
                    <w:t>：5045mg/kg(大鼠经口)；LC</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50</w:t>
                  </w:r>
                  <w:r>
                    <w:rPr>
                      <w:rFonts w:hint="default" w:ascii="Times New Roman" w:hAnsi="Times New Roman" w:eastAsia="宋体" w:cs="Times New Roman"/>
                      <w:color w:val="000000" w:themeColor="text1"/>
                      <w:sz w:val="21"/>
                      <w:szCs w:val="21"/>
                      <w:lang w:eastAsia="zh-CN"/>
                      <w14:textFill>
                        <w14:solidFill>
                          <w14:schemeClr w14:val="tx1"/>
                        </w14:solidFill>
                      </w14:textFill>
                    </w:rPr>
                    <w:t>：无资料。</w:t>
                  </w:r>
                </w:p>
              </w:tc>
            </w:tr>
            <w:tr w14:paraId="021F8E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3401B29">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0" w:type="auto"/>
                  <w:shd w:val="clear" w:color="auto" w:fill="auto"/>
                  <w:vAlign w:val="center"/>
                </w:tcPr>
                <w:p w14:paraId="7FA6C7D7">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正十四烷</w:t>
                  </w:r>
                </w:p>
              </w:tc>
              <w:tc>
                <w:tcPr>
                  <w:tcW w:w="0" w:type="auto"/>
                  <w:vAlign w:val="center"/>
                </w:tcPr>
                <w:p w14:paraId="448A6208">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分子式：C</w:t>
                  </w:r>
                  <w:r>
                    <w:rPr>
                      <w:rFonts w:hint="eastAsia" w:ascii="Times New Roman" w:hAnsi="Times New Roman" w:cs="Times New Roman"/>
                      <w:sz w:val="21"/>
                      <w:szCs w:val="21"/>
                      <w:vertAlign w:val="subscript"/>
                      <w:lang w:val="en-US" w:eastAsia="zh-CN"/>
                    </w:rPr>
                    <w:t>14</w:t>
                  </w:r>
                  <w:r>
                    <w:rPr>
                      <w:rFonts w:hint="default"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30</w:t>
                  </w:r>
                  <w:r>
                    <w:rPr>
                      <w:rFonts w:hint="default" w:ascii="Times New Roman" w:hAnsi="Times New Roman" w:cs="Times New Roman"/>
                      <w:sz w:val="21"/>
                      <w:szCs w:val="21"/>
                      <w:lang w:val="en-US" w:eastAsia="zh-CN"/>
                    </w:rPr>
                    <w:t>；分子量：</w:t>
                  </w:r>
                  <w:r>
                    <w:rPr>
                      <w:rFonts w:hint="eastAsia" w:ascii="Times New Roman" w:hAnsi="Times New Roman" w:cs="Times New Roman"/>
                      <w:sz w:val="21"/>
                      <w:szCs w:val="21"/>
                      <w:lang w:val="en-US" w:eastAsia="zh-CN"/>
                    </w:rPr>
                    <w:t>198.39</w:t>
                  </w:r>
                  <w:r>
                    <w:rPr>
                      <w:rFonts w:hint="default" w:ascii="Times New Roman" w:hAnsi="Times New Roman" w:cs="Times New Roman"/>
                      <w:sz w:val="21"/>
                      <w:szCs w:val="21"/>
                      <w:lang w:val="en-US" w:eastAsia="zh-CN"/>
                    </w:rPr>
                    <w:t>；CAS号：</w:t>
                  </w:r>
                  <w:r>
                    <w:rPr>
                      <w:rFonts w:hint="eastAsia" w:ascii="Times New Roman" w:hAnsi="Times New Roman" w:cs="Times New Roman"/>
                      <w:sz w:val="21"/>
                      <w:szCs w:val="21"/>
                      <w:lang w:val="en-US" w:eastAsia="zh-CN"/>
                    </w:rPr>
                    <w:t>629-59-4</w:t>
                  </w:r>
                </w:p>
                <w:p w14:paraId="2B5A3827">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外观与性状：无色液体</w:t>
                  </w:r>
                </w:p>
                <w:p w14:paraId="459F40E7">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熔点：</w:t>
                  </w:r>
                  <w:r>
                    <w:rPr>
                      <w:rFonts w:hint="eastAsia" w:ascii="Times New Roman" w:hAnsi="Times New Roman" w:cs="Times New Roman"/>
                      <w:sz w:val="21"/>
                      <w:szCs w:val="21"/>
                      <w:lang w:val="en-US" w:eastAsia="zh-CN"/>
                    </w:rPr>
                    <w:t>5.8</w:t>
                  </w:r>
                  <w:r>
                    <w:rPr>
                      <w:rFonts w:hint="default" w:ascii="Times New Roman" w:hAnsi="Times New Roman" w:cs="Times New Roman"/>
                      <w:sz w:val="21"/>
                      <w:szCs w:val="21"/>
                      <w:lang w:val="en-US" w:eastAsia="zh-CN"/>
                    </w:rPr>
                    <w:t>℃；沸点：77.15℃；相对密度（水=1）：0.90</w:t>
                  </w:r>
                </w:p>
                <w:p w14:paraId="22E003AE">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溶解性：与乙醇、丙酮、氯仿、乙醚混溶</w:t>
                  </w:r>
                </w:p>
                <w:p w14:paraId="0A7837DF">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lang w:val="en-US" w:eastAsia="zh-CN"/>
                    </w:rPr>
                    <w:t>毒性：LD</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：5620mg/kg（大鼠经口），4940mg/kg（兔经口）；LC</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：5760mg/m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（大鼠吸入，8h）</w:t>
                  </w:r>
                </w:p>
              </w:tc>
            </w:tr>
            <w:tr w14:paraId="46CADD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4365CA0F">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0" w:type="auto"/>
                  <w:shd w:val="clear" w:color="auto" w:fill="auto"/>
                  <w:vAlign w:val="center"/>
                </w:tcPr>
                <w:p w14:paraId="4F0F701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乙酸乙酯</w:t>
                  </w:r>
                </w:p>
              </w:tc>
              <w:tc>
                <w:tcPr>
                  <w:tcW w:w="0" w:type="auto"/>
                  <w:vAlign w:val="center"/>
                </w:tcPr>
                <w:p w14:paraId="51F1488F">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分子式：C</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8</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；分子量：88.10；CAS号：141-78-6</w:t>
                  </w:r>
                </w:p>
                <w:p w14:paraId="41B983B2">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外观与性状：无色透明水样液体，易挥发，有水果香味</w:t>
                  </w:r>
                </w:p>
                <w:p w14:paraId="3DEEF447">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熔点：-83.6℃；沸点：77.15℃；相对密度（水=1）：0.90</w:t>
                  </w:r>
                </w:p>
                <w:p w14:paraId="270EA388">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溶解性：与乙醇、丙酮、氯仿、乙醚混溶</w:t>
                  </w:r>
                </w:p>
                <w:p w14:paraId="074971E7">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lang w:val="en-US" w:eastAsia="zh-CN"/>
                    </w:rPr>
                    <w:t>毒性：LD</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：5620mg/kg（大鼠经口），4940mg/kg（兔经口）；LC</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：5760mg/m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（大鼠吸入，8h）</w:t>
                  </w:r>
                </w:p>
              </w:tc>
            </w:tr>
            <w:tr w14:paraId="29B9FF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D1D1E21">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0" w:type="auto"/>
                  <w:shd w:val="clear" w:color="auto" w:fill="auto"/>
                  <w:vAlign w:val="center"/>
                </w:tcPr>
                <w:p w14:paraId="2D71141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乙酸铵</w:t>
                  </w:r>
                </w:p>
              </w:tc>
              <w:tc>
                <w:tcPr>
                  <w:tcW w:w="0" w:type="auto"/>
                  <w:vAlign w:val="center"/>
                </w:tcPr>
                <w:p w14:paraId="7E1E278F">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分子式：C</w:t>
                  </w:r>
                  <w:r>
                    <w:rPr>
                      <w:rFonts w:hint="eastAsia"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eastAsia" w:cs="Times New Roman"/>
                      <w:sz w:val="21"/>
                      <w:szCs w:val="21"/>
                      <w:vertAlign w:val="subscript"/>
                      <w:lang w:val="en-US" w:eastAsia="zh-CN"/>
                    </w:rPr>
                    <w:t>7</w:t>
                  </w:r>
                  <w:r>
                    <w:rPr>
                      <w:rFonts w:hint="eastAsia" w:cs="Times New Roman"/>
                      <w:sz w:val="21"/>
                      <w:szCs w:val="21"/>
                      <w:vertAlign w:val="baseline"/>
                      <w:lang w:val="en-US" w:eastAsia="zh-CN"/>
                    </w:rPr>
                    <w:t>N</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；分子量：</w:t>
                  </w:r>
                  <w:r>
                    <w:rPr>
                      <w:rFonts w:hint="eastAsia" w:cs="Times New Roman"/>
                      <w:sz w:val="21"/>
                      <w:szCs w:val="21"/>
                      <w:lang w:val="en-US" w:eastAsia="zh-CN"/>
                    </w:rPr>
                    <w:t>77.08</w:t>
                  </w:r>
                  <w:r>
                    <w:rPr>
                      <w:rFonts w:hint="default" w:ascii="Times New Roman" w:hAnsi="Times New Roman" w:cs="Times New Roman"/>
                      <w:sz w:val="21"/>
                      <w:szCs w:val="21"/>
                      <w:lang w:val="en-US" w:eastAsia="zh-CN"/>
                    </w:rPr>
                    <w:t>；CAS号：</w:t>
                  </w:r>
                  <w:r>
                    <w:rPr>
                      <w:rFonts w:hint="eastAsia" w:cs="Times New Roman"/>
                      <w:sz w:val="21"/>
                      <w:szCs w:val="21"/>
                      <w:lang w:val="en-US" w:eastAsia="zh-CN"/>
                    </w:rPr>
                    <w:t>631-61-8</w:t>
                  </w:r>
                </w:p>
                <w:p w14:paraId="2939976D">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外观与性状：</w:t>
                  </w:r>
                  <w:r>
                    <w:rPr>
                      <w:rFonts w:hint="eastAsia" w:cs="Times New Roman"/>
                      <w:sz w:val="21"/>
                      <w:szCs w:val="21"/>
                      <w:lang w:val="en-US" w:eastAsia="zh-CN"/>
                    </w:rPr>
                    <w:t>白色粘附性的晶体</w:t>
                  </w:r>
                </w:p>
                <w:p w14:paraId="323D4316">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熔点：</w:t>
                  </w:r>
                  <w:r>
                    <w:rPr>
                      <w:rFonts w:hint="eastAsia" w:cs="Times New Roman"/>
                      <w:sz w:val="21"/>
                      <w:szCs w:val="21"/>
                      <w:lang w:val="en-US" w:eastAsia="zh-CN"/>
                    </w:rPr>
                    <w:t>110~112</w:t>
                  </w:r>
                  <w:r>
                    <w:rPr>
                      <w:rFonts w:hint="default" w:ascii="Times New Roman" w:hAnsi="Times New Roman" w:cs="Times New Roman"/>
                      <w:sz w:val="21"/>
                      <w:szCs w:val="21"/>
                      <w:lang w:val="en-US" w:eastAsia="zh-CN"/>
                    </w:rPr>
                    <w:t>℃；沸点：</w:t>
                  </w:r>
                  <w:r>
                    <w:rPr>
                      <w:rFonts w:hint="eastAsia" w:cs="Times New Roman"/>
                      <w:sz w:val="21"/>
                      <w:szCs w:val="21"/>
                      <w:lang w:val="en-US" w:eastAsia="zh-CN"/>
                    </w:rPr>
                    <w:t>117.1</w:t>
                  </w:r>
                  <w:r>
                    <w:rPr>
                      <w:rFonts w:hint="default" w:ascii="Times New Roman" w:hAnsi="Times New Roman" w:cs="Times New Roman"/>
                      <w:sz w:val="21"/>
                      <w:szCs w:val="21"/>
                      <w:lang w:val="en-US" w:eastAsia="zh-CN"/>
                    </w:rPr>
                    <w:t>℃；相对密度（水=1）：</w:t>
                  </w:r>
                  <w:r>
                    <w:rPr>
                      <w:rFonts w:hint="eastAsia" w:cs="Times New Roman"/>
                      <w:sz w:val="21"/>
                      <w:szCs w:val="21"/>
                      <w:lang w:val="en-US" w:eastAsia="zh-CN"/>
                    </w:rPr>
                    <w:t>1.07</w:t>
                  </w:r>
                </w:p>
                <w:p w14:paraId="6830B8D6">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溶解性：</w:t>
                  </w:r>
                  <w:r>
                    <w:rPr>
                      <w:rFonts w:hint="eastAsia" w:cs="Times New Roman"/>
                      <w:sz w:val="21"/>
                      <w:szCs w:val="21"/>
                      <w:lang w:val="en-US" w:eastAsia="zh-CN"/>
                    </w:rPr>
                    <w:t>溶于水</w:t>
                  </w:r>
                </w:p>
                <w:p w14:paraId="3AB0FB70">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lang w:val="en-US" w:eastAsia="zh-CN"/>
                    </w:rPr>
                    <w:t>毒性：LD</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w:t>
                  </w:r>
                  <w:r>
                    <w:rPr>
                      <w:rFonts w:hint="eastAsia" w:cs="Times New Roman"/>
                      <w:sz w:val="21"/>
                      <w:szCs w:val="21"/>
                      <w:lang w:val="en-US" w:eastAsia="zh-CN"/>
                    </w:rPr>
                    <w:t>632</w:t>
                  </w:r>
                  <w:r>
                    <w:rPr>
                      <w:rFonts w:hint="default" w:ascii="Times New Roman" w:hAnsi="Times New Roman" w:cs="Times New Roman"/>
                      <w:sz w:val="21"/>
                      <w:szCs w:val="21"/>
                      <w:lang w:val="en-US" w:eastAsia="zh-CN"/>
                    </w:rPr>
                    <w:t>mg/kg（大鼠</w:t>
                  </w:r>
                  <w:r>
                    <w:rPr>
                      <w:rFonts w:hint="eastAsia" w:cs="Times New Roman"/>
                      <w:sz w:val="21"/>
                      <w:szCs w:val="21"/>
                      <w:lang w:val="en-US" w:eastAsia="zh-CN"/>
                    </w:rPr>
                    <w:t>腹腔</w:t>
                  </w:r>
                  <w:r>
                    <w:rPr>
                      <w:rFonts w:hint="default" w:ascii="Times New Roman" w:hAnsi="Times New Roman" w:cs="Times New Roman"/>
                      <w:sz w:val="21"/>
                      <w:szCs w:val="21"/>
                      <w:lang w:val="en-US" w:eastAsia="zh-CN"/>
                    </w:rPr>
                    <w:t>），</w:t>
                  </w:r>
                  <w:r>
                    <w:rPr>
                      <w:rFonts w:hint="eastAsia" w:cs="Times New Roman"/>
                      <w:sz w:val="21"/>
                      <w:szCs w:val="21"/>
                      <w:lang w:val="en-US" w:eastAsia="zh-CN"/>
                    </w:rPr>
                    <w:t>386</w:t>
                  </w:r>
                  <w:r>
                    <w:rPr>
                      <w:rFonts w:hint="default" w:ascii="Times New Roman" w:hAnsi="Times New Roman" w:cs="Times New Roman"/>
                      <w:sz w:val="21"/>
                      <w:szCs w:val="21"/>
                      <w:lang w:val="en-US" w:eastAsia="zh-CN"/>
                    </w:rPr>
                    <w:t>mg/kg（</w:t>
                  </w:r>
                  <w:r>
                    <w:rPr>
                      <w:rFonts w:hint="eastAsia" w:cs="Times New Roman"/>
                      <w:sz w:val="21"/>
                      <w:szCs w:val="21"/>
                      <w:lang w:val="en-US" w:eastAsia="zh-CN"/>
                    </w:rPr>
                    <w:t>小鼠静脉</w:t>
                  </w:r>
                  <w:r>
                    <w:rPr>
                      <w:rFonts w:hint="default" w:ascii="Times New Roman" w:hAnsi="Times New Roman" w:cs="Times New Roman"/>
                      <w:sz w:val="21"/>
                      <w:szCs w:val="21"/>
                      <w:lang w:val="en-US" w:eastAsia="zh-CN"/>
                    </w:rPr>
                    <w:t>）</w:t>
                  </w:r>
                </w:p>
              </w:tc>
            </w:tr>
            <w:tr w14:paraId="2CCBC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E7E3FED">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0" w:type="auto"/>
                  <w:shd w:val="clear" w:color="auto" w:fill="auto"/>
                  <w:vAlign w:val="center"/>
                </w:tcPr>
                <w:p w14:paraId="46FFC311">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乙酰丙酮</w:t>
                  </w:r>
                </w:p>
              </w:tc>
              <w:tc>
                <w:tcPr>
                  <w:tcW w:w="0" w:type="auto"/>
                  <w:vAlign w:val="center"/>
                </w:tcPr>
                <w:p w14:paraId="3A19AED4">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分子式：C</w:t>
                  </w:r>
                  <w:r>
                    <w:rPr>
                      <w:rFonts w:hint="eastAsia" w:cs="Times New Roman"/>
                      <w:sz w:val="21"/>
                      <w:szCs w:val="21"/>
                      <w:vertAlign w:val="subscript"/>
                      <w:lang w:val="en-US" w:eastAsia="zh-CN"/>
                    </w:rPr>
                    <w:t>5</w:t>
                  </w:r>
                  <w:r>
                    <w:rPr>
                      <w:rFonts w:hint="default" w:ascii="Times New Roman" w:hAnsi="Times New Roman" w:cs="Times New Roman"/>
                      <w:sz w:val="21"/>
                      <w:szCs w:val="21"/>
                      <w:lang w:val="en-US" w:eastAsia="zh-CN"/>
                    </w:rPr>
                    <w:t>H</w:t>
                  </w:r>
                  <w:r>
                    <w:rPr>
                      <w:rFonts w:hint="eastAsia" w:cs="Times New Roman"/>
                      <w:sz w:val="21"/>
                      <w:szCs w:val="21"/>
                      <w:vertAlign w:val="subscript"/>
                      <w:lang w:val="en-US" w:eastAsia="zh-CN"/>
                    </w:rPr>
                    <w:t>8</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；分子量：</w:t>
                  </w:r>
                  <w:r>
                    <w:rPr>
                      <w:rFonts w:hint="eastAsia" w:cs="Times New Roman"/>
                      <w:sz w:val="21"/>
                      <w:szCs w:val="21"/>
                      <w:lang w:val="en-US" w:eastAsia="zh-CN"/>
                    </w:rPr>
                    <w:t>100.11</w:t>
                  </w:r>
                  <w:r>
                    <w:rPr>
                      <w:rFonts w:hint="default" w:ascii="Times New Roman" w:hAnsi="Times New Roman" w:cs="Times New Roman"/>
                      <w:sz w:val="21"/>
                      <w:szCs w:val="21"/>
                      <w:lang w:val="en-US" w:eastAsia="zh-CN"/>
                    </w:rPr>
                    <w:t>；CAS号：</w:t>
                  </w:r>
                  <w:r>
                    <w:rPr>
                      <w:rFonts w:hint="eastAsia" w:cs="Times New Roman"/>
                      <w:sz w:val="21"/>
                      <w:szCs w:val="21"/>
                      <w:lang w:val="en-US" w:eastAsia="zh-CN"/>
                    </w:rPr>
                    <w:t>123-54-6</w:t>
                  </w:r>
                </w:p>
                <w:p w14:paraId="5DDA5C8B">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外观与性状：</w:t>
                  </w:r>
                  <w:r>
                    <w:rPr>
                      <w:rFonts w:hint="eastAsia" w:cs="Times New Roman"/>
                      <w:sz w:val="21"/>
                      <w:szCs w:val="21"/>
                      <w:lang w:val="en-US" w:eastAsia="zh-CN"/>
                    </w:rPr>
                    <w:t>无色或微黄色液体，有酯的气味</w:t>
                  </w:r>
                </w:p>
                <w:p w14:paraId="35774550">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熔点：</w:t>
                  </w:r>
                  <w:r>
                    <w:rPr>
                      <w:rFonts w:hint="eastAsia" w:cs="Times New Roman"/>
                      <w:sz w:val="21"/>
                      <w:szCs w:val="21"/>
                      <w:lang w:val="en-US" w:eastAsia="zh-CN"/>
                    </w:rPr>
                    <w:t>-23.2</w:t>
                  </w:r>
                  <w:r>
                    <w:rPr>
                      <w:rFonts w:hint="default" w:ascii="Times New Roman" w:hAnsi="Times New Roman" w:cs="Times New Roman"/>
                      <w:sz w:val="21"/>
                      <w:szCs w:val="21"/>
                      <w:lang w:val="en-US" w:eastAsia="zh-CN"/>
                    </w:rPr>
                    <w:t>℃；沸点：</w:t>
                  </w:r>
                  <w:r>
                    <w:rPr>
                      <w:rFonts w:hint="eastAsia" w:cs="Times New Roman"/>
                      <w:sz w:val="21"/>
                      <w:szCs w:val="21"/>
                      <w:lang w:val="en-US" w:eastAsia="zh-CN"/>
                    </w:rPr>
                    <w:t>140.5</w:t>
                  </w:r>
                  <w:r>
                    <w:rPr>
                      <w:rFonts w:hint="default" w:ascii="Times New Roman" w:hAnsi="Times New Roman" w:cs="Times New Roman"/>
                      <w:sz w:val="21"/>
                      <w:szCs w:val="21"/>
                      <w:lang w:val="en-US" w:eastAsia="zh-CN"/>
                    </w:rPr>
                    <w:t>℃；相对密度（水=1）：</w:t>
                  </w:r>
                  <w:r>
                    <w:rPr>
                      <w:rFonts w:hint="eastAsia" w:cs="Times New Roman"/>
                      <w:sz w:val="21"/>
                      <w:szCs w:val="21"/>
                      <w:lang w:val="en-US" w:eastAsia="zh-CN"/>
                    </w:rPr>
                    <w:t>0.98</w:t>
                  </w:r>
                </w:p>
                <w:p w14:paraId="56D13411">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溶解性：</w:t>
                  </w:r>
                  <w:r>
                    <w:rPr>
                      <w:rFonts w:hint="eastAsia" w:cs="Times New Roman"/>
                      <w:sz w:val="21"/>
                      <w:szCs w:val="21"/>
                      <w:lang w:val="en-US" w:eastAsia="zh-CN"/>
                    </w:rPr>
                    <w:t>微溶于水，溶于醇、氯仿、醚、苯、丙酮等多数有机溶剂</w:t>
                  </w:r>
                </w:p>
                <w:p w14:paraId="1029E058">
                  <w:pPr>
                    <w:adjustRightInd w:val="0"/>
                    <w:snapToGrid w:val="0"/>
                    <w:spacing w:line="240" w:lineRule="auto"/>
                    <w:ind w:firstLine="0" w:firstLineChars="0"/>
                    <w:jc w:val="both"/>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cs="Times New Roman"/>
                      <w:color w:val="000000" w:themeColor="text1"/>
                      <w:sz w:val="21"/>
                      <w:szCs w:val="21"/>
                      <w14:textFill>
                        <w14:solidFill>
                          <w14:schemeClr w14:val="tx1"/>
                        </w14:solidFill>
                      </w14:textFill>
                    </w:rPr>
                    <w:t>易燃，</w:t>
                  </w:r>
                  <w:r>
                    <w:rPr>
                      <w:rFonts w:hint="eastAsia" w:cs="Times New Roman"/>
                      <w:color w:val="000000" w:themeColor="text1"/>
                      <w:sz w:val="21"/>
                      <w:szCs w:val="21"/>
                      <w:lang w:val="en-US" w:eastAsia="zh-CN"/>
                      <w14:textFill>
                        <w14:solidFill>
                          <w14:schemeClr w14:val="tx1"/>
                        </w14:solidFill>
                      </w14:textFill>
                    </w:rPr>
                    <w:t>遇明火、高热或与氧化剂接触有引起燃烧爆炸的风险；若遇高热，容器内压增大，有开裂和爆炸的危险。</w:t>
                  </w:r>
                </w:p>
                <w:p w14:paraId="44BE6C49">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lang w:val="en-US" w:eastAsia="zh-CN"/>
                    </w:rPr>
                    <w:t>毒性：LD</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w:t>
                  </w:r>
                  <w:r>
                    <w:rPr>
                      <w:rFonts w:hint="eastAsia" w:cs="Times New Roman"/>
                      <w:sz w:val="21"/>
                      <w:szCs w:val="21"/>
                      <w:lang w:val="en-US" w:eastAsia="zh-CN"/>
                    </w:rPr>
                    <w:t>590</w:t>
                  </w:r>
                  <w:r>
                    <w:rPr>
                      <w:rFonts w:hint="default" w:ascii="Times New Roman" w:hAnsi="Times New Roman" w:cs="Times New Roman"/>
                      <w:sz w:val="21"/>
                      <w:szCs w:val="21"/>
                      <w:lang w:val="en-US" w:eastAsia="zh-CN"/>
                    </w:rPr>
                    <w:t>mg/kg（大鼠</w:t>
                  </w:r>
                  <w:r>
                    <w:rPr>
                      <w:rFonts w:hint="eastAsia" w:cs="Times New Roman"/>
                      <w:sz w:val="21"/>
                      <w:szCs w:val="21"/>
                      <w:lang w:val="en-US" w:eastAsia="zh-CN"/>
                    </w:rPr>
                    <w:t>经口</w:t>
                  </w:r>
                  <w:r>
                    <w:rPr>
                      <w:rFonts w:hint="default" w:ascii="Times New Roman" w:hAnsi="Times New Roman" w:cs="Times New Roman"/>
                      <w:sz w:val="21"/>
                      <w:szCs w:val="21"/>
                      <w:lang w:val="en-US" w:eastAsia="zh-CN"/>
                    </w:rPr>
                    <w:t>），</w:t>
                  </w:r>
                  <w:r>
                    <w:rPr>
                      <w:rFonts w:hint="eastAsia" w:cs="Times New Roman"/>
                      <w:sz w:val="21"/>
                      <w:szCs w:val="21"/>
                      <w:lang w:val="en-US" w:eastAsia="zh-CN"/>
                    </w:rPr>
                    <w:t>810</w:t>
                  </w:r>
                  <w:r>
                    <w:rPr>
                      <w:rFonts w:hint="default" w:ascii="Times New Roman" w:hAnsi="Times New Roman" w:cs="Times New Roman"/>
                      <w:sz w:val="21"/>
                      <w:szCs w:val="21"/>
                      <w:lang w:val="en-US" w:eastAsia="zh-CN"/>
                    </w:rPr>
                    <w:t>mg/kg（</w:t>
                  </w:r>
                  <w:r>
                    <w:rPr>
                      <w:rFonts w:hint="eastAsia" w:cs="Times New Roman"/>
                      <w:sz w:val="21"/>
                      <w:szCs w:val="21"/>
                      <w:lang w:val="en-US" w:eastAsia="zh-CN"/>
                    </w:rPr>
                    <w:t>兔经皮</w:t>
                  </w:r>
                  <w:r>
                    <w:rPr>
                      <w:rFonts w:hint="default" w:ascii="Times New Roman" w:hAnsi="Times New Roman" w:cs="Times New Roman"/>
                      <w:sz w:val="21"/>
                      <w:szCs w:val="21"/>
                      <w:lang w:val="en-US" w:eastAsia="zh-CN"/>
                    </w:rPr>
                    <w:t>）</w:t>
                  </w:r>
                </w:p>
              </w:tc>
            </w:tr>
            <w:tr w14:paraId="510B56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81A3B16">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0" w:type="auto"/>
                  <w:shd w:val="clear" w:color="auto" w:fill="auto"/>
                  <w:vAlign w:val="center"/>
                </w:tcPr>
                <w:p w14:paraId="7B82DBB6">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二甲基甲酰胺</w:t>
                  </w:r>
                </w:p>
              </w:tc>
              <w:tc>
                <w:tcPr>
                  <w:tcW w:w="0" w:type="auto"/>
                  <w:vAlign w:val="center"/>
                </w:tcPr>
                <w:p w14:paraId="57367714">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分子式：C</w:t>
                  </w:r>
                  <w:r>
                    <w:rPr>
                      <w:rFonts w:hint="eastAsia" w:cs="Times New Roman"/>
                      <w:sz w:val="21"/>
                      <w:szCs w:val="21"/>
                      <w:vertAlign w:val="subscript"/>
                      <w:lang w:val="en-US" w:eastAsia="zh-CN"/>
                    </w:rPr>
                    <w:t>3</w:t>
                  </w:r>
                  <w:r>
                    <w:rPr>
                      <w:rFonts w:hint="default" w:ascii="Times New Roman" w:hAnsi="Times New Roman" w:cs="Times New Roman"/>
                      <w:sz w:val="21"/>
                      <w:szCs w:val="21"/>
                      <w:lang w:val="en-US" w:eastAsia="zh-CN"/>
                    </w:rPr>
                    <w:t>H</w:t>
                  </w:r>
                  <w:r>
                    <w:rPr>
                      <w:rFonts w:hint="eastAsia" w:cs="Times New Roman"/>
                      <w:sz w:val="21"/>
                      <w:szCs w:val="21"/>
                      <w:vertAlign w:val="subscript"/>
                      <w:lang w:val="en-US" w:eastAsia="zh-CN"/>
                    </w:rPr>
                    <w:t>7</w:t>
                  </w:r>
                  <w:r>
                    <w:rPr>
                      <w:rFonts w:hint="eastAsia" w:cs="Times New Roman"/>
                      <w:sz w:val="21"/>
                      <w:szCs w:val="21"/>
                      <w:vertAlign w:val="baseline"/>
                      <w:lang w:val="en-US" w:eastAsia="zh-CN"/>
                    </w:rPr>
                    <w:t>N</w:t>
                  </w:r>
                  <w:r>
                    <w:rPr>
                      <w:rFonts w:hint="default" w:ascii="Times New Roman" w:hAnsi="Times New Roman" w:cs="Times New Roman"/>
                      <w:sz w:val="21"/>
                      <w:szCs w:val="21"/>
                      <w:lang w:val="en-US" w:eastAsia="zh-CN"/>
                    </w:rPr>
                    <w:t>O；分子量：</w:t>
                  </w:r>
                  <w:r>
                    <w:rPr>
                      <w:rFonts w:hint="eastAsia" w:cs="Times New Roman"/>
                      <w:sz w:val="21"/>
                      <w:szCs w:val="21"/>
                      <w:lang w:val="en-US" w:eastAsia="zh-CN"/>
                    </w:rPr>
                    <w:t>73.09</w:t>
                  </w:r>
                  <w:r>
                    <w:rPr>
                      <w:rFonts w:hint="default" w:ascii="Times New Roman" w:hAnsi="Times New Roman" w:cs="Times New Roman"/>
                      <w:sz w:val="21"/>
                      <w:szCs w:val="21"/>
                      <w:lang w:val="en-US" w:eastAsia="zh-CN"/>
                    </w:rPr>
                    <w:t>；CAS号：</w:t>
                  </w:r>
                  <w:r>
                    <w:rPr>
                      <w:rFonts w:hint="eastAsia" w:cs="Times New Roman"/>
                      <w:sz w:val="21"/>
                      <w:szCs w:val="21"/>
                      <w:lang w:val="en-US" w:eastAsia="zh-CN"/>
                    </w:rPr>
                    <w:t>68-12-2</w:t>
                  </w:r>
                </w:p>
                <w:p w14:paraId="6FC63C6A">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外观与性状：</w:t>
                  </w:r>
                  <w:r>
                    <w:rPr>
                      <w:rFonts w:hint="eastAsia" w:cs="Times New Roman"/>
                      <w:sz w:val="21"/>
                      <w:szCs w:val="21"/>
                      <w:lang w:val="en-US" w:eastAsia="zh-CN"/>
                    </w:rPr>
                    <w:t>无色透明液体，有氨味</w:t>
                  </w:r>
                </w:p>
                <w:p w14:paraId="5DD45EBB">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熔点：</w:t>
                  </w:r>
                  <w:r>
                    <w:rPr>
                      <w:rFonts w:hint="eastAsia" w:cs="Times New Roman"/>
                      <w:sz w:val="21"/>
                      <w:szCs w:val="21"/>
                      <w:lang w:val="en-US" w:eastAsia="zh-CN"/>
                    </w:rPr>
                    <w:t>-61</w:t>
                  </w:r>
                  <w:r>
                    <w:rPr>
                      <w:rFonts w:hint="default" w:ascii="Times New Roman" w:hAnsi="Times New Roman" w:cs="Times New Roman"/>
                      <w:sz w:val="21"/>
                      <w:szCs w:val="21"/>
                      <w:lang w:val="en-US" w:eastAsia="zh-CN"/>
                    </w:rPr>
                    <w:t>℃；沸点：</w:t>
                  </w:r>
                  <w:r>
                    <w:rPr>
                      <w:rFonts w:hint="eastAsia" w:cs="Times New Roman"/>
                      <w:sz w:val="21"/>
                      <w:szCs w:val="21"/>
                      <w:lang w:val="en-US" w:eastAsia="zh-CN"/>
                    </w:rPr>
                    <w:t>152.8</w:t>
                  </w:r>
                  <w:r>
                    <w:rPr>
                      <w:rFonts w:hint="default" w:ascii="Times New Roman" w:hAnsi="Times New Roman" w:cs="Times New Roman"/>
                      <w:sz w:val="21"/>
                      <w:szCs w:val="21"/>
                      <w:lang w:val="en-US" w:eastAsia="zh-CN"/>
                    </w:rPr>
                    <w:t>℃；相对密度（水=1）：</w:t>
                  </w:r>
                  <w:r>
                    <w:rPr>
                      <w:rFonts w:hint="eastAsia" w:cs="Times New Roman"/>
                      <w:sz w:val="21"/>
                      <w:szCs w:val="21"/>
                      <w:lang w:val="en-US" w:eastAsia="zh-CN"/>
                    </w:rPr>
                    <w:t>0.94</w:t>
                  </w:r>
                </w:p>
                <w:p w14:paraId="5C65A89D">
                  <w:pPr>
                    <w:adjustRightInd w:val="0"/>
                    <w:snapToGrid w:val="0"/>
                    <w:spacing w:line="240" w:lineRule="auto"/>
                    <w:ind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溶解性：</w:t>
                  </w:r>
                  <w:r>
                    <w:rPr>
                      <w:rFonts w:hint="eastAsia" w:cs="Times New Roman"/>
                      <w:sz w:val="21"/>
                      <w:szCs w:val="21"/>
                      <w:lang w:val="en-US" w:eastAsia="zh-CN"/>
                    </w:rPr>
                    <w:t>易吸湿，能与水和大多数有机溶剂（醚、醇、酮、氯代烃、芳烃等）及许多无机液体相混溶，但不与脂肪烃相混溶。</w:t>
                  </w:r>
                </w:p>
                <w:p w14:paraId="15F988EF">
                  <w:pPr>
                    <w:adjustRightInd w:val="0"/>
                    <w:snapToGrid w:val="0"/>
                    <w:spacing w:line="240" w:lineRule="auto"/>
                    <w:ind w:firstLine="0" w:firstLineChars="0"/>
                    <w:jc w:val="both"/>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燃爆危险：</w:t>
                  </w:r>
                  <w:r>
                    <w:rPr>
                      <w:rFonts w:hint="default" w:ascii="Times New Roman" w:hAnsi="Times New Roman" w:cs="Times New Roman"/>
                      <w:color w:val="000000" w:themeColor="text1"/>
                      <w:sz w:val="21"/>
                      <w:szCs w:val="21"/>
                      <w14:textFill>
                        <w14:solidFill>
                          <w14:schemeClr w14:val="tx1"/>
                        </w14:solidFill>
                      </w14:textFill>
                    </w:rPr>
                    <w:t>易燃，</w:t>
                  </w:r>
                  <w:r>
                    <w:rPr>
                      <w:rFonts w:hint="eastAsia" w:cs="Times New Roman"/>
                      <w:color w:val="000000" w:themeColor="text1"/>
                      <w:sz w:val="21"/>
                      <w:szCs w:val="21"/>
                      <w:lang w:val="en-US" w:eastAsia="zh-CN"/>
                      <w14:textFill>
                        <w14:solidFill>
                          <w14:schemeClr w14:val="tx1"/>
                        </w14:solidFill>
                      </w14:textFill>
                    </w:rPr>
                    <w:t>遇明火、高热或与氧化剂接触有引起燃烧爆炸的风险；能与浓硫酸、发烟硝酸猛烈反应，甚至发生爆炸。</w:t>
                  </w:r>
                </w:p>
                <w:p w14:paraId="5D105DC4">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lang w:val="en-US" w:eastAsia="zh-CN"/>
                    </w:rPr>
                    <w:t>毒性：LD</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w:t>
                  </w:r>
                  <w:r>
                    <w:rPr>
                      <w:rFonts w:hint="eastAsia" w:cs="Times New Roman"/>
                      <w:sz w:val="21"/>
                      <w:szCs w:val="21"/>
                      <w:lang w:val="en-US" w:eastAsia="zh-CN"/>
                    </w:rPr>
                    <w:t>2800</w:t>
                  </w:r>
                  <w:r>
                    <w:rPr>
                      <w:rFonts w:hint="default" w:ascii="Times New Roman" w:hAnsi="Times New Roman" w:cs="Times New Roman"/>
                      <w:sz w:val="21"/>
                      <w:szCs w:val="21"/>
                      <w:lang w:val="en-US" w:eastAsia="zh-CN"/>
                    </w:rPr>
                    <w:t>mg/kg（大鼠</w:t>
                  </w:r>
                  <w:r>
                    <w:rPr>
                      <w:rFonts w:hint="eastAsia" w:cs="Times New Roman"/>
                      <w:sz w:val="21"/>
                      <w:szCs w:val="21"/>
                      <w:lang w:val="en-US" w:eastAsia="zh-CN"/>
                    </w:rPr>
                    <w:t>经口</w:t>
                  </w:r>
                  <w:r>
                    <w:rPr>
                      <w:rFonts w:hint="default" w:ascii="Times New Roman" w:hAnsi="Times New Roman" w:cs="Times New Roman"/>
                      <w:sz w:val="21"/>
                      <w:szCs w:val="21"/>
                      <w:lang w:val="en-US" w:eastAsia="zh-CN"/>
                    </w:rPr>
                    <w:t>），</w:t>
                  </w:r>
                  <w:r>
                    <w:rPr>
                      <w:rFonts w:hint="eastAsia" w:cs="Times New Roman"/>
                      <w:sz w:val="21"/>
                      <w:szCs w:val="21"/>
                      <w:lang w:val="en-US" w:eastAsia="zh-CN"/>
                    </w:rPr>
                    <w:t>4720</w:t>
                  </w:r>
                  <w:r>
                    <w:rPr>
                      <w:rFonts w:hint="default" w:ascii="Times New Roman" w:hAnsi="Times New Roman" w:cs="Times New Roman"/>
                      <w:sz w:val="21"/>
                      <w:szCs w:val="21"/>
                      <w:lang w:val="en-US" w:eastAsia="zh-CN"/>
                    </w:rPr>
                    <w:t>mg/kg（</w:t>
                  </w:r>
                  <w:r>
                    <w:rPr>
                      <w:rFonts w:hint="eastAsia" w:cs="Times New Roman"/>
                      <w:sz w:val="21"/>
                      <w:szCs w:val="21"/>
                      <w:lang w:val="en-US" w:eastAsia="zh-CN"/>
                    </w:rPr>
                    <w:t>兔经皮</w:t>
                  </w:r>
                  <w:r>
                    <w:rPr>
                      <w:rFonts w:hint="default" w:ascii="Times New Roman" w:hAnsi="Times New Roman" w:cs="Times New Roman"/>
                      <w:sz w:val="21"/>
                      <w:szCs w:val="21"/>
                      <w:lang w:val="en-US" w:eastAsia="zh-CN"/>
                    </w:rPr>
                    <w:t>）；LC</w:t>
                  </w:r>
                  <w:r>
                    <w:rPr>
                      <w:rFonts w:hint="default" w:ascii="Times New Roman" w:hAnsi="Times New Roman" w:cs="Times New Roman"/>
                      <w:sz w:val="21"/>
                      <w:szCs w:val="21"/>
                      <w:vertAlign w:val="subscript"/>
                      <w:lang w:val="en-US" w:eastAsia="zh-CN"/>
                    </w:rPr>
                    <w:t>50</w:t>
                  </w:r>
                  <w:r>
                    <w:rPr>
                      <w:rFonts w:hint="default" w:ascii="Times New Roman" w:hAnsi="Times New Roman" w:cs="Times New Roman"/>
                      <w:sz w:val="21"/>
                      <w:szCs w:val="21"/>
                      <w:lang w:val="en-US" w:eastAsia="zh-CN"/>
                    </w:rPr>
                    <w:t>：</w:t>
                  </w:r>
                  <w:r>
                    <w:rPr>
                      <w:rFonts w:hint="eastAsia" w:cs="Times New Roman"/>
                      <w:sz w:val="21"/>
                      <w:szCs w:val="21"/>
                      <w:lang w:val="en-US" w:eastAsia="zh-CN"/>
                    </w:rPr>
                    <w:t>9400</w:t>
                  </w: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（大鼠吸入，</w:t>
                  </w:r>
                  <w:r>
                    <w:rPr>
                      <w:rFonts w:hint="eastAsia" w:cs="Times New Roman"/>
                      <w:sz w:val="21"/>
                      <w:szCs w:val="21"/>
                      <w:lang w:val="en-US" w:eastAsia="zh-CN"/>
                    </w:rPr>
                    <w:t>2</w:t>
                  </w:r>
                  <w:r>
                    <w:rPr>
                      <w:rFonts w:hint="default" w:ascii="Times New Roman" w:hAnsi="Times New Roman" w:cs="Times New Roman"/>
                      <w:sz w:val="21"/>
                      <w:szCs w:val="21"/>
                      <w:lang w:val="en-US" w:eastAsia="zh-CN"/>
                    </w:rPr>
                    <w:t>h）</w:t>
                  </w:r>
                </w:p>
              </w:tc>
            </w:tr>
            <w:tr w14:paraId="49F0A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B7F2C45">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0" w:type="auto"/>
                  <w:shd w:val="clear" w:color="auto" w:fill="auto"/>
                  <w:vAlign w:val="center"/>
                </w:tcPr>
                <w:p w14:paraId="236E80E6">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硫酸</w:t>
                  </w:r>
                </w:p>
              </w:tc>
              <w:tc>
                <w:tcPr>
                  <w:tcW w:w="0" w:type="auto"/>
                  <w:vAlign w:val="center"/>
                </w:tcPr>
                <w:p w14:paraId="01D78663">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分子式：H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；分子量：98.08；CAS号：7664-93-9</w:t>
                  </w:r>
                </w:p>
                <w:p w14:paraId="27464642">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外观与性状：纯品为无色透明油状液体，无臭。</w:t>
                  </w:r>
                </w:p>
                <w:p w14:paraId="60A30CEA">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熔点：10.5℃；沸点：330℃；相对密度（水=1）：1.83</w:t>
                  </w:r>
                </w:p>
                <w:p w14:paraId="5E123EAC">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溶解性：与水混溶。</w:t>
                  </w:r>
                </w:p>
                <w:p w14:paraId="45F55316">
                  <w:pPr>
                    <w:adjustRightInd w:val="0"/>
                    <w:snapToGrid w:val="0"/>
                    <w:spacing w:line="240" w:lineRule="auto"/>
                    <w:ind w:firstLine="0" w:firstLineChars="0"/>
                    <w:jc w:val="both"/>
                    <w:rPr>
                      <w:rFonts w:hint="default" w:ascii="Times New Roman" w:hAnsi="Times New Roman" w:cs="Times New Roman"/>
                      <w:sz w:val="21"/>
                      <w:szCs w:val="21"/>
                    </w:rPr>
                  </w:pPr>
                  <w:r>
                    <w:rPr>
                      <w:rFonts w:hint="eastAsia" w:cs="Times New Roman"/>
                      <w:sz w:val="21"/>
                      <w:szCs w:val="21"/>
                      <w:lang w:val="en-US" w:eastAsia="zh-CN"/>
                    </w:rPr>
                    <w:t>燃爆危险：</w:t>
                  </w:r>
                  <w:r>
                    <w:rPr>
                      <w:rFonts w:hint="default" w:ascii="Times New Roman" w:hAnsi="Times New Roman" w:cs="Times New Roman"/>
                      <w:sz w:val="21"/>
                      <w:szCs w:val="21"/>
                    </w:rPr>
                    <w:t>助燃，具强腐蚀性、强刺激性。</w:t>
                  </w:r>
                </w:p>
                <w:p w14:paraId="17E6A283">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：2140mg/kg（大鼠经口）；LC</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：510mg/m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（大鼠吸入，2h），320mg/m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（小鼠吸入，2h）。</w:t>
                  </w:r>
                </w:p>
              </w:tc>
            </w:tr>
            <w:tr w14:paraId="39AC80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26ACF1C">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0" w:type="auto"/>
                  <w:shd w:val="clear" w:color="auto" w:fill="auto"/>
                  <w:vAlign w:val="center"/>
                </w:tcPr>
                <w:p w14:paraId="5570373C">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硝酸</w:t>
                  </w:r>
                </w:p>
              </w:tc>
              <w:tc>
                <w:tcPr>
                  <w:tcW w:w="0" w:type="auto"/>
                  <w:vAlign w:val="center"/>
                </w:tcPr>
                <w:p w14:paraId="7FCD7578">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分子式：H</w:t>
                  </w:r>
                  <w:r>
                    <w:rPr>
                      <w:rFonts w:hint="eastAsia" w:cs="Times New Roman"/>
                      <w:sz w:val="21"/>
                      <w:szCs w:val="21"/>
                      <w:lang w:val="en-US" w:eastAsia="zh-CN"/>
                    </w:rPr>
                    <w:t>NO</w:t>
                  </w:r>
                  <w:r>
                    <w:rPr>
                      <w:rFonts w:hint="eastAsia" w:cs="Times New Roman"/>
                      <w:sz w:val="21"/>
                      <w:szCs w:val="21"/>
                      <w:vertAlign w:val="subscript"/>
                      <w:lang w:val="en-US" w:eastAsia="zh-CN"/>
                    </w:rPr>
                    <w:t>3</w:t>
                  </w:r>
                  <w:r>
                    <w:rPr>
                      <w:rFonts w:hint="default" w:ascii="Times New Roman" w:hAnsi="Times New Roman" w:cs="Times New Roman"/>
                      <w:sz w:val="21"/>
                      <w:szCs w:val="21"/>
                    </w:rPr>
                    <w:t>；分子量：</w:t>
                  </w:r>
                  <w:r>
                    <w:rPr>
                      <w:rFonts w:hint="eastAsia" w:cs="Times New Roman"/>
                      <w:sz w:val="21"/>
                      <w:szCs w:val="21"/>
                      <w:lang w:val="en-US" w:eastAsia="zh-CN"/>
                    </w:rPr>
                    <w:t>63.02</w:t>
                  </w:r>
                  <w:r>
                    <w:rPr>
                      <w:rFonts w:hint="default" w:ascii="Times New Roman" w:hAnsi="Times New Roman" w:cs="Times New Roman"/>
                      <w:sz w:val="21"/>
                      <w:szCs w:val="21"/>
                    </w:rPr>
                    <w:t>；CAS号：</w:t>
                  </w:r>
                  <w:r>
                    <w:rPr>
                      <w:rFonts w:hint="eastAsia" w:cs="Times New Roman"/>
                      <w:sz w:val="21"/>
                      <w:szCs w:val="21"/>
                      <w:lang w:val="en-US" w:eastAsia="zh-CN"/>
                    </w:rPr>
                    <w:t>7697-37-2</w:t>
                  </w:r>
                </w:p>
                <w:p w14:paraId="4F401AB5">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r>
                    <w:rPr>
                      <w:rFonts w:hint="eastAsia" w:cs="Times New Roman"/>
                      <w:sz w:val="21"/>
                      <w:szCs w:val="21"/>
                      <w:lang w:val="en-US" w:eastAsia="zh-CN"/>
                    </w:rPr>
                    <w:t>纯品为无色透明发烟液体，有酸味</w:t>
                  </w:r>
                  <w:r>
                    <w:rPr>
                      <w:rFonts w:hint="default" w:ascii="Times New Roman" w:hAnsi="Times New Roman" w:cs="Times New Roman"/>
                      <w:sz w:val="21"/>
                      <w:szCs w:val="21"/>
                    </w:rPr>
                    <w:t>。</w:t>
                  </w:r>
                </w:p>
                <w:p w14:paraId="56B23D97">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熔点：-</w:t>
                  </w:r>
                  <w:r>
                    <w:rPr>
                      <w:rFonts w:hint="eastAsia" w:cs="Times New Roman"/>
                      <w:sz w:val="21"/>
                      <w:szCs w:val="21"/>
                      <w:lang w:val="en-US" w:eastAsia="zh-CN"/>
                    </w:rPr>
                    <w:t>42</w:t>
                  </w:r>
                  <w:r>
                    <w:rPr>
                      <w:rFonts w:hint="default" w:ascii="Times New Roman" w:hAnsi="Times New Roman" w:cs="Times New Roman"/>
                      <w:sz w:val="21"/>
                      <w:szCs w:val="21"/>
                    </w:rPr>
                    <w:t>℃；沸点：</w:t>
                  </w:r>
                  <w:r>
                    <w:rPr>
                      <w:rFonts w:hint="eastAsia" w:cs="Times New Roman"/>
                      <w:sz w:val="21"/>
                      <w:szCs w:val="21"/>
                      <w:lang w:val="en-US" w:eastAsia="zh-CN"/>
                    </w:rPr>
                    <w:t>86</w:t>
                  </w:r>
                  <w:r>
                    <w:rPr>
                      <w:rFonts w:hint="default" w:ascii="Times New Roman" w:hAnsi="Times New Roman" w:cs="Times New Roman"/>
                      <w:sz w:val="21"/>
                      <w:szCs w:val="21"/>
                    </w:rPr>
                    <w:t>℃；相对密度（水=1）：</w:t>
                  </w:r>
                  <w:r>
                    <w:rPr>
                      <w:rFonts w:hint="eastAsia" w:cs="Times New Roman"/>
                      <w:sz w:val="21"/>
                      <w:szCs w:val="21"/>
                      <w:lang w:val="en-US" w:eastAsia="zh-CN"/>
                    </w:rPr>
                    <w:t>1.50</w:t>
                  </w:r>
                </w:p>
                <w:p w14:paraId="7E774E53">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溶解性：与水混溶。</w:t>
                  </w:r>
                </w:p>
                <w:p w14:paraId="0FE70456">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燃爆危险：强氧化剂，能与多种物质如金属粉末、电石、硫化氢、松节油等猛烈反应，甚至发生爆炸</w:t>
                  </w:r>
                  <w:r>
                    <w:rPr>
                      <w:rFonts w:hint="default" w:ascii="Times New Roman" w:hAnsi="Times New Roman" w:cs="Times New Roman"/>
                      <w:sz w:val="21"/>
                      <w:szCs w:val="21"/>
                    </w:rPr>
                    <w:t>。</w:t>
                  </w:r>
                  <w:r>
                    <w:rPr>
                      <w:rFonts w:hint="eastAsia" w:cs="Times New Roman"/>
                      <w:sz w:val="21"/>
                      <w:szCs w:val="21"/>
                      <w:lang w:val="en-US" w:eastAsia="zh-CN"/>
                    </w:rPr>
                    <w:t>与还原剂、可燃物如糖、纤维素、木屑、棉花、稻草或废纱头等接触，引起燃烧并散发出剧毒的棕色烟雾。具有强腐蚀性。</w:t>
                  </w:r>
                </w:p>
                <w:p w14:paraId="22F6D425">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毒性：无资料</w:t>
                  </w:r>
                </w:p>
              </w:tc>
            </w:tr>
            <w:tr w14:paraId="62CB05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F11C12F">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0" w:type="auto"/>
                  <w:shd w:val="clear" w:color="auto" w:fill="auto"/>
                  <w:vAlign w:val="center"/>
                </w:tcPr>
                <w:p w14:paraId="18910D3F">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盐酸</w:t>
                  </w:r>
                </w:p>
              </w:tc>
              <w:tc>
                <w:tcPr>
                  <w:tcW w:w="0" w:type="auto"/>
                  <w:vAlign w:val="center"/>
                </w:tcPr>
                <w:p w14:paraId="670AC3E5">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分子式：HCl；分子量：36.46；CAS号：7647-01-0</w:t>
                  </w:r>
                </w:p>
                <w:p w14:paraId="1F8C3C58">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外观与性状：无色或微黄色发烟液体，有刺鼻的酸味。</w:t>
                  </w:r>
                </w:p>
                <w:p w14:paraId="6FCB93C8">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熔点：-114.8℃；沸点：108.6℃；相对密度（水=1）：1.20</w:t>
                  </w:r>
                </w:p>
                <w:p w14:paraId="6B91DA5E">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溶解性：与水混溶，溶于碱液。</w:t>
                  </w:r>
                </w:p>
                <w:p w14:paraId="3A9FBD4D">
                  <w:pPr>
                    <w:adjustRightInd w:val="0"/>
                    <w:snapToGrid w:val="0"/>
                    <w:spacing w:line="240" w:lineRule="auto"/>
                    <w:ind w:firstLine="0" w:firstLineChars="0"/>
                    <w:jc w:val="both"/>
                    <w:rPr>
                      <w:rFonts w:hint="default" w:ascii="Times New Roman" w:hAnsi="Times New Roman" w:cs="Times New Roman"/>
                      <w:sz w:val="21"/>
                      <w:szCs w:val="21"/>
                    </w:rPr>
                  </w:pPr>
                  <w:r>
                    <w:rPr>
                      <w:rFonts w:hint="eastAsia" w:cs="Times New Roman"/>
                      <w:sz w:val="21"/>
                      <w:szCs w:val="21"/>
                      <w:lang w:val="en-US" w:eastAsia="zh-CN"/>
                    </w:rPr>
                    <w:t>燃爆危险：</w:t>
                  </w:r>
                  <w:r>
                    <w:rPr>
                      <w:rFonts w:hint="default" w:ascii="Times New Roman" w:hAnsi="Times New Roman" w:cs="Times New Roman"/>
                      <w:sz w:val="21"/>
                      <w:szCs w:val="21"/>
                    </w:rPr>
                    <w:t>不燃，具有强腐蚀性。</w:t>
                  </w:r>
                </w:p>
                <w:p w14:paraId="1BF036D2">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：900mg/kg（兔经口）；LC</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：3124ppm（大鼠吸入，1h）。</w:t>
                  </w:r>
                </w:p>
              </w:tc>
            </w:tr>
            <w:tr w14:paraId="69FA6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D6DDC35">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19</w:t>
                  </w:r>
                </w:p>
              </w:tc>
              <w:tc>
                <w:tcPr>
                  <w:tcW w:w="0" w:type="auto"/>
                  <w:shd w:val="clear" w:color="auto" w:fill="auto"/>
                  <w:vAlign w:val="center"/>
                </w:tcPr>
                <w:p w14:paraId="6696541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水杨酸</w:t>
                  </w:r>
                </w:p>
              </w:tc>
              <w:tc>
                <w:tcPr>
                  <w:tcW w:w="0" w:type="auto"/>
                  <w:vAlign w:val="center"/>
                </w:tcPr>
                <w:p w14:paraId="5BCE21CF">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7</w:t>
                  </w:r>
                  <w:r>
                    <w:rPr>
                      <w:rFonts w:hint="eastAsia" w:cs="Times New Roman"/>
                      <w:sz w:val="21"/>
                      <w:szCs w:val="21"/>
                      <w:lang w:val="en-US" w:eastAsia="zh-CN"/>
                    </w:rPr>
                    <w:t>H</w:t>
                  </w:r>
                  <w:r>
                    <w:rPr>
                      <w:rFonts w:hint="eastAsia" w:cs="Times New Roman"/>
                      <w:sz w:val="21"/>
                      <w:szCs w:val="21"/>
                      <w:vertAlign w:val="subscript"/>
                      <w:lang w:val="en-US" w:eastAsia="zh-CN"/>
                    </w:rPr>
                    <w:t>6</w:t>
                  </w:r>
                  <w:r>
                    <w:rPr>
                      <w:rFonts w:hint="eastAsia" w:cs="Times New Roman"/>
                      <w:sz w:val="21"/>
                      <w:szCs w:val="21"/>
                      <w:lang w:val="en-US" w:eastAsia="zh-CN"/>
                    </w:rPr>
                    <w:t>O</w:t>
                  </w:r>
                  <w:r>
                    <w:rPr>
                      <w:rFonts w:hint="eastAsia" w:cs="Times New Roman"/>
                      <w:sz w:val="21"/>
                      <w:szCs w:val="21"/>
                      <w:vertAlign w:val="subscript"/>
                      <w:lang w:val="en-US" w:eastAsia="zh-CN"/>
                    </w:rPr>
                    <w:t>3</w:t>
                  </w:r>
                  <w:r>
                    <w:rPr>
                      <w:rFonts w:hint="default" w:ascii="Times New Roman" w:hAnsi="Times New Roman" w:cs="Times New Roman"/>
                      <w:sz w:val="21"/>
                      <w:szCs w:val="21"/>
                    </w:rPr>
                    <w:t>；分子量：</w:t>
                  </w:r>
                  <w:r>
                    <w:rPr>
                      <w:rFonts w:hint="eastAsia" w:cs="Times New Roman"/>
                      <w:sz w:val="21"/>
                      <w:szCs w:val="21"/>
                      <w:lang w:val="en-US" w:eastAsia="zh-CN"/>
                    </w:rPr>
                    <w:t>138.12</w:t>
                  </w:r>
                  <w:r>
                    <w:rPr>
                      <w:rFonts w:hint="default" w:ascii="Times New Roman" w:hAnsi="Times New Roman" w:cs="Times New Roman"/>
                      <w:sz w:val="21"/>
                      <w:szCs w:val="21"/>
                    </w:rPr>
                    <w:t>；CAS号：</w:t>
                  </w:r>
                  <w:r>
                    <w:rPr>
                      <w:rFonts w:hint="eastAsia" w:cs="Times New Roman"/>
                      <w:sz w:val="21"/>
                      <w:szCs w:val="21"/>
                      <w:lang w:val="en-US" w:eastAsia="zh-CN"/>
                    </w:rPr>
                    <w:t>69-72-7</w:t>
                  </w:r>
                </w:p>
                <w:p w14:paraId="1550C2FA">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外观与性状：</w:t>
                  </w:r>
                  <w:r>
                    <w:rPr>
                      <w:rFonts w:hint="eastAsia" w:cs="Times New Roman"/>
                      <w:sz w:val="21"/>
                      <w:szCs w:val="21"/>
                      <w:lang w:val="en-US" w:eastAsia="zh-CN"/>
                    </w:rPr>
                    <w:t>白色针状结晶或结晶性粉末，有辛辣味</w:t>
                  </w:r>
                </w:p>
                <w:p w14:paraId="7C22788F">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熔点：</w:t>
                  </w:r>
                  <w:r>
                    <w:rPr>
                      <w:rFonts w:hint="eastAsia" w:cs="Times New Roman"/>
                      <w:sz w:val="21"/>
                      <w:szCs w:val="21"/>
                      <w:lang w:val="en-US" w:eastAsia="zh-CN"/>
                    </w:rPr>
                    <w:t>158~161</w:t>
                  </w:r>
                  <w:r>
                    <w:rPr>
                      <w:rFonts w:hint="default" w:ascii="Times New Roman" w:hAnsi="Times New Roman" w:cs="Times New Roman"/>
                      <w:sz w:val="21"/>
                      <w:szCs w:val="21"/>
                    </w:rPr>
                    <w:t>℃；沸点：</w:t>
                  </w:r>
                  <w:r>
                    <w:rPr>
                      <w:rFonts w:hint="eastAsia" w:cs="Times New Roman"/>
                      <w:sz w:val="21"/>
                      <w:szCs w:val="21"/>
                      <w:lang w:val="en-US" w:eastAsia="zh-CN"/>
                    </w:rPr>
                    <w:t>211</w:t>
                  </w:r>
                  <w:r>
                    <w:rPr>
                      <w:rFonts w:hint="default" w:ascii="Times New Roman" w:hAnsi="Times New Roman" w:cs="Times New Roman"/>
                      <w:sz w:val="21"/>
                      <w:szCs w:val="21"/>
                    </w:rPr>
                    <w:t>℃；相对密度（水=1）：</w:t>
                  </w:r>
                  <w:r>
                    <w:rPr>
                      <w:rFonts w:hint="eastAsia" w:cs="Times New Roman"/>
                      <w:sz w:val="21"/>
                      <w:szCs w:val="21"/>
                      <w:lang w:val="en-US" w:eastAsia="zh-CN"/>
                    </w:rPr>
                    <w:t>1.44</w:t>
                  </w:r>
                </w:p>
                <w:p w14:paraId="7D901AA1">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微溶于冷水，易溶于热水、乙醇、乙醚和丙酮，溶于热苯</w:t>
                  </w:r>
                </w:p>
                <w:p w14:paraId="4029C904">
                  <w:pPr>
                    <w:adjustRightInd w:val="0"/>
                    <w:snapToGrid w:val="0"/>
                    <w:spacing w:line="240" w:lineRule="auto"/>
                    <w:ind w:firstLine="0" w:firstLineChars="0"/>
                    <w:jc w:val="both"/>
                    <w:rPr>
                      <w:rFonts w:hint="default" w:ascii="Times New Roman" w:hAnsi="Times New Roman" w:cs="Times New Roman"/>
                      <w:sz w:val="21"/>
                      <w:szCs w:val="21"/>
                    </w:rPr>
                  </w:pPr>
                  <w:r>
                    <w:rPr>
                      <w:rFonts w:hint="eastAsia" w:cs="Times New Roman"/>
                      <w:sz w:val="21"/>
                      <w:szCs w:val="21"/>
                      <w:lang w:val="en-US" w:eastAsia="zh-CN"/>
                    </w:rPr>
                    <w:t>燃爆危险：可燃，见光渐渐变色，有毒</w:t>
                  </w:r>
                  <w:r>
                    <w:rPr>
                      <w:rFonts w:hint="default" w:ascii="Times New Roman" w:hAnsi="Times New Roman" w:cs="Times New Roman"/>
                      <w:sz w:val="21"/>
                      <w:szCs w:val="21"/>
                    </w:rPr>
                    <w:t>。</w:t>
                  </w:r>
                </w:p>
                <w:p w14:paraId="58C00009">
                  <w:pPr>
                    <w:adjustRightInd w:val="0"/>
                    <w:snapToGrid w:val="0"/>
                    <w:spacing w:line="240" w:lineRule="auto"/>
                    <w:ind w:firstLine="0" w:firstLineChars="0"/>
                    <w:jc w:val="both"/>
                    <w:rPr>
                      <w:rFonts w:hint="eastAsia" w:eastAsia="宋体" w:cs="Times New Roman"/>
                      <w:color w:val="auto"/>
                      <w:sz w:val="21"/>
                      <w:szCs w:val="21"/>
                      <w:lang w:eastAsia="zh-CN"/>
                    </w:rPr>
                  </w:pPr>
                  <w:r>
                    <w:rPr>
                      <w:rFonts w:hint="eastAsia" w:cs="Times New Roman"/>
                      <w:sz w:val="21"/>
                      <w:szCs w:val="21"/>
                      <w:lang w:val="en-US" w:eastAsia="zh-CN"/>
                    </w:rPr>
                    <w:t>毒性：无资料</w:t>
                  </w:r>
                </w:p>
              </w:tc>
            </w:tr>
            <w:tr w14:paraId="6657C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665E9A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0" w:type="auto"/>
                  <w:shd w:val="clear" w:color="auto" w:fill="auto"/>
                  <w:vAlign w:val="center"/>
                </w:tcPr>
                <w:p w14:paraId="1A614ECA">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氢氧化钠</w:t>
                  </w:r>
                </w:p>
              </w:tc>
              <w:tc>
                <w:tcPr>
                  <w:tcW w:w="0" w:type="auto"/>
                  <w:vAlign w:val="center"/>
                </w:tcPr>
                <w:p w14:paraId="1B5C5DBB">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分子式：NaOH；分子量：40.01；CAS号：1310-73-2</w:t>
                  </w:r>
                </w:p>
                <w:p w14:paraId="1ACEE548">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外观与性状：白色不透明固体，易潮解。</w:t>
                  </w:r>
                </w:p>
                <w:p w14:paraId="48844F94">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熔点：318.4℃；沸点：1390℃；相对密度（水=1）：2.12</w:t>
                  </w:r>
                </w:p>
                <w:p w14:paraId="2360424C">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溶解性：易溶于水、乙醇、甘油，不溶于丙酮。</w:t>
                  </w:r>
                </w:p>
                <w:p w14:paraId="486C7F9B">
                  <w:pPr>
                    <w:adjustRightInd w:val="0"/>
                    <w:snapToGrid w:val="0"/>
                    <w:spacing w:line="240" w:lineRule="auto"/>
                    <w:ind w:firstLine="0" w:firstLineChars="0"/>
                    <w:jc w:val="both"/>
                    <w:rPr>
                      <w:rFonts w:hint="default" w:ascii="Times New Roman" w:hAnsi="Times New Roman" w:cs="Times New Roman"/>
                      <w:sz w:val="21"/>
                      <w:szCs w:val="21"/>
                    </w:rPr>
                  </w:pPr>
                  <w:r>
                    <w:rPr>
                      <w:rFonts w:hint="eastAsia" w:cs="Times New Roman"/>
                      <w:sz w:val="21"/>
                      <w:szCs w:val="21"/>
                      <w:lang w:val="en-US" w:eastAsia="zh-CN"/>
                    </w:rPr>
                    <w:t>燃爆危险：</w:t>
                  </w:r>
                  <w:r>
                    <w:rPr>
                      <w:rFonts w:hint="default" w:ascii="Times New Roman" w:hAnsi="Times New Roman" w:cs="Times New Roman"/>
                      <w:sz w:val="21"/>
                      <w:szCs w:val="21"/>
                    </w:rPr>
                    <w:t>不燃，具有强腐蚀性。</w:t>
                  </w:r>
                </w:p>
                <w:p w14:paraId="7961BB9B">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毒性：无资料</w:t>
                  </w:r>
                </w:p>
              </w:tc>
            </w:tr>
            <w:tr w14:paraId="2D8520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CF61A3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21</w:t>
                  </w:r>
                </w:p>
              </w:tc>
              <w:tc>
                <w:tcPr>
                  <w:tcW w:w="0" w:type="auto"/>
                  <w:shd w:val="clear" w:color="auto" w:fill="auto"/>
                  <w:vAlign w:val="center"/>
                </w:tcPr>
                <w:p w14:paraId="04CB25E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氢氧化钾</w:t>
                  </w:r>
                </w:p>
              </w:tc>
              <w:tc>
                <w:tcPr>
                  <w:tcW w:w="0" w:type="auto"/>
                  <w:vAlign w:val="center"/>
                </w:tcPr>
                <w:p w14:paraId="38FBD199">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K</w:t>
                  </w:r>
                  <w:r>
                    <w:rPr>
                      <w:rFonts w:hint="default" w:ascii="Times New Roman" w:hAnsi="Times New Roman" w:cs="Times New Roman"/>
                      <w:sz w:val="21"/>
                      <w:szCs w:val="21"/>
                    </w:rPr>
                    <w:t>OH；分子量：</w:t>
                  </w:r>
                  <w:r>
                    <w:rPr>
                      <w:rFonts w:hint="eastAsia" w:cs="Times New Roman"/>
                      <w:sz w:val="21"/>
                      <w:szCs w:val="21"/>
                      <w:lang w:val="en-US" w:eastAsia="zh-CN"/>
                    </w:rPr>
                    <w:t>56.11</w:t>
                  </w:r>
                  <w:r>
                    <w:rPr>
                      <w:rFonts w:hint="default" w:ascii="Times New Roman" w:hAnsi="Times New Roman" w:cs="Times New Roman"/>
                      <w:sz w:val="21"/>
                      <w:szCs w:val="21"/>
                    </w:rPr>
                    <w:t>；CAS号：1310-</w:t>
                  </w:r>
                  <w:r>
                    <w:rPr>
                      <w:rFonts w:hint="eastAsia" w:cs="Times New Roman"/>
                      <w:sz w:val="21"/>
                      <w:szCs w:val="21"/>
                      <w:lang w:val="en-US" w:eastAsia="zh-CN"/>
                    </w:rPr>
                    <w:t>58-3</w:t>
                  </w:r>
                </w:p>
                <w:p w14:paraId="6D4DA104">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外观与性状：白色</w:t>
                  </w:r>
                  <w:r>
                    <w:rPr>
                      <w:rFonts w:hint="eastAsia" w:cs="Times New Roman"/>
                      <w:sz w:val="21"/>
                      <w:szCs w:val="21"/>
                      <w:lang w:val="en-US" w:eastAsia="zh-CN"/>
                    </w:rPr>
                    <w:t>晶体</w:t>
                  </w:r>
                  <w:r>
                    <w:rPr>
                      <w:rFonts w:hint="default" w:ascii="Times New Roman" w:hAnsi="Times New Roman" w:cs="Times New Roman"/>
                      <w:sz w:val="21"/>
                      <w:szCs w:val="21"/>
                    </w:rPr>
                    <w:t>，易潮解。</w:t>
                  </w:r>
                </w:p>
                <w:p w14:paraId="058959E5">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熔点：</w:t>
                  </w:r>
                  <w:r>
                    <w:rPr>
                      <w:rFonts w:hint="eastAsia" w:cs="Times New Roman"/>
                      <w:sz w:val="21"/>
                      <w:szCs w:val="21"/>
                      <w:lang w:val="en-US" w:eastAsia="zh-CN"/>
                    </w:rPr>
                    <w:t>360.4</w:t>
                  </w:r>
                  <w:r>
                    <w:rPr>
                      <w:rFonts w:hint="default" w:ascii="Times New Roman" w:hAnsi="Times New Roman" w:cs="Times New Roman"/>
                      <w:sz w:val="21"/>
                      <w:szCs w:val="21"/>
                    </w:rPr>
                    <w:t>℃；沸点：</w:t>
                  </w:r>
                  <w:r>
                    <w:rPr>
                      <w:rFonts w:hint="eastAsia" w:cs="Times New Roman"/>
                      <w:sz w:val="21"/>
                      <w:szCs w:val="21"/>
                      <w:lang w:val="en-US" w:eastAsia="zh-CN"/>
                    </w:rPr>
                    <w:t>1320</w:t>
                  </w:r>
                  <w:r>
                    <w:rPr>
                      <w:rFonts w:hint="default" w:ascii="Times New Roman" w:hAnsi="Times New Roman" w:cs="Times New Roman"/>
                      <w:sz w:val="21"/>
                      <w:szCs w:val="21"/>
                    </w:rPr>
                    <w:t>℃；相对密度（水=1）：</w:t>
                  </w:r>
                  <w:r>
                    <w:rPr>
                      <w:rFonts w:hint="eastAsia" w:cs="Times New Roman"/>
                      <w:sz w:val="21"/>
                      <w:szCs w:val="21"/>
                      <w:lang w:val="en-US" w:eastAsia="zh-CN"/>
                    </w:rPr>
                    <w:t>2.04</w:t>
                  </w:r>
                </w:p>
                <w:p w14:paraId="36CF8472">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溶解性：溶于水、乙醇</w:t>
                  </w:r>
                  <w:r>
                    <w:rPr>
                      <w:rFonts w:hint="eastAsia" w:cs="Times New Roman"/>
                      <w:sz w:val="21"/>
                      <w:szCs w:val="21"/>
                      <w:lang w:eastAsia="zh-CN"/>
                    </w:rPr>
                    <w:t>，</w:t>
                  </w:r>
                  <w:r>
                    <w:rPr>
                      <w:rFonts w:hint="eastAsia" w:cs="Times New Roman"/>
                      <w:sz w:val="21"/>
                      <w:szCs w:val="21"/>
                      <w:lang w:val="en-US" w:eastAsia="zh-CN"/>
                    </w:rPr>
                    <w:t>微溶于醚</w:t>
                  </w:r>
                </w:p>
                <w:p w14:paraId="63729501">
                  <w:pPr>
                    <w:adjustRightInd w:val="0"/>
                    <w:snapToGrid w:val="0"/>
                    <w:spacing w:line="240" w:lineRule="auto"/>
                    <w:ind w:firstLine="0" w:firstLineChars="0"/>
                    <w:jc w:val="both"/>
                    <w:rPr>
                      <w:rFonts w:hint="default" w:ascii="Times New Roman" w:hAnsi="Times New Roman" w:cs="Times New Roman"/>
                      <w:sz w:val="21"/>
                      <w:szCs w:val="21"/>
                    </w:rPr>
                  </w:pPr>
                  <w:r>
                    <w:rPr>
                      <w:rFonts w:hint="eastAsia" w:cs="Times New Roman"/>
                      <w:sz w:val="21"/>
                      <w:szCs w:val="21"/>
                      <w:lang w:val="en-US" w:eastAsia="zh-CN"/>
                    </w:rPr>
                    <w:t>燃爆危险：</w:t>
                  </w:r>
                  <w:r>
                    <w:rPr>
                      <w:rFonts w:hint="default" w:ascii="Times New Roman" w:hAnsi="Times New Roman" w:cs="Times New Roman"/>
                      <w:sz w:val="21"/>
                      <w:szCs w:val="21"/>
                    </w:rPr>
                    <w:t>不燃，</w:t>
                  </w:r>
                  <w:r>
                    <w:rPr>
                      <w:rFonts w:hint="eastAsia" w:cs="Times New Roman"/>
                      <w:sz w:val="21"/>
                      <w:szCs w:val="21"/>
                      <w:lang w:val="en-US" w:eastAsia="zh-CN"/>
                    </w:rPr>
                    <w:t>与酸发生中和反应并放热，遇水和水蒸气大量放热，形成腐蚀性溶液，具有强腐蚀性</w:t>
                  </w:r>
                  <w:r>
                    <w:rPr>
                      <w:rFonts w:hint="default" w:ascii="Times New Roman" w:hAnsi="Times New Roman" w:cs="Times New Roman"/>
                      <w:sz w:val="21"/>
                      <w:szCs w:val="21"/>
                    </w:rPr>
                    <w:t>。</w:t>
                  </w:r>
                </w:p>
                <w:p w14:paraId="56B20275">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273</w:t>
                  </w:r>
                  <w:r>
                    <w:rPr>
                      <w:rFonts w:hint="default" w:ascii="Times New Roman" w:hAnsi="Times New Roman" w:cs="Times New Roman"/>
                      <w:sz w:val="21"/>
                      <w:szCs w:val="21"/>
                    </w:rPr>
                    <w:t>mg/kg（</w:t>
                  </w:r>
                  <w:r>
                    <w:rPr>
                      <w:rFonts w:hint="eastAsia" w:cs="Times New Roman"/>
                      <w:sz w:val="21"/>
                      <w:szCs w:val="21"/>
                      <w:lang w:val="en-US" w:eastAsia="zh-CN"/>
                    </w:rPr>
                    <w:t>大鼠</w:t>
                  </w:r>
                  <w:r>
                    <w:rPr>
                      <w:rFonts w:hint="default" w:ascii="Times New Roman" w:hAnsi="Times New Roman" w:cs="Times New Roman"/>
                      <w:sz w:val="21"/>
                      <w:szCs w:val="21"/>
                    </w:rPr>
                    <w:t>经口）</w:t>
                  </w:r>
                </w:p>
              </w:tc>
            </w:tr>
            <w:tr w14:paraId="27A412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4EBC24E">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0" w:type="auto"/>
                  <w:shd w:val="clear" w:color="auto" w:fill="auto"/>
                  <w:vAlign w:val="center"/>
                </w:tcPr>
                <w:p w14:paraId="69BFC14D">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氨水</w:t>
                  </w:r>
                </w:p>
              </w:tc>
              <w:tc>
                <w:tcPr>
                  <w:tcW w:w="0" w:type="auto"/>
                  <w:vAlign w:val="center"/>
                </w:tcPr>
                <w:p w14:paraId="5BF037BE">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NH</w:t>
                  </w:r>
                  <w:r>
                    <w:rPr>
                      <w:rFonts w:hint="eastAsia" w:cs="Times New Roman"/>
                      <w:sz w:val="21"/>
                      <w:szCs w:val="21"/>
                      <w:vertAlign w:val="subscript"/>
                      <w:lang w:val="en-US" w:eastAsia="zh-CN"/>
                    </w:rPr>
                    <w:t>4</w:t>
                  </w:r>
                  <w:r>
                    <w:rPr>
                      <w:rFonts w:hint="eastAsia" w:cs="Times New Roman"/>
                      <w:sz w:val="21"/>
                      <w:szCs w:val="21"/>
                      <w:lang w:val="en-US" w:eastAsia="zh-CN"/>
                    </w:rPr>
                    <w:t>OH</w:t>
                  </w:r>
                  <w:r>
                    <w:rPr>
                      <w:rFonts w:hint="default" w:ascii="Times New Roman" w:hAnsi="Times New Roman" w:cs="Times New Roman"/>
                      <w:sz w:val="21"/>
                      <w:szCs w:val="21"/>
                    </w:rPr>
                    <w:t>；分子量：</w:t>
                  </w:r>
                  <w:r>
                    <w:rPr>
                      <w:rFonts w:hint="eastAsia" w:cs="Times New Roman"/>
                      <w:sz w:val="21"/>
                      <w:szCs w:val="21"/>
                      <w:lang w:val="en-US" w:eastAsia="zh-CN"/>
                    </w:rPr>
                    <w:t>35.05</w:t>
                  </w:r>
                  <w:r>
                    <w:rPr>
                      <w:rFonts w:hint="default" w:ascii="Times New Roman" w:hAnsi="Times New Roman" w:cs="Times New Roman"/>
                      <w:sz w:val="21"/>
                      <w:szCs w:val="21"/>
                    </w:rPr>
                    <w:t>；CAS号：</w:t>
                  </w:r>
                  <w:r>
                    <w:rPr>
                      <w:rFonts w:hint="eastAsia" w:cs="Times New Roman"/>
                      <w:sz w:val="21"/>
                      <w:szCs w:val="21"/>
                      <w:lang w:val="en-US" w:eastAsia="zh-CN"/>
                    </w:rPr>
                    <w:t>1336-21-6</w:t>
                  </w:r>
                </w:p>
                <w:p w14:paraId="0BC22593">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r>
                    <w:rPr>
                      <w:rFonts w:hint="eastAsia" w:cs="Times New Roman"/>
                      <w:sz w:val="21"/>
                      <w:szCs w:val="21"/>
                      <w:lang w:val="en-US" w:eastAsia="zh-CN"/>
                    </w:rPr>
                    <w:t>无色透明液体，有强烈的刺激性臭味</w:t>
                  </w:r>
                  <w:r>
                    <w:rPr>
                      <w:rFonts w:hint="default" w:ascii="Times New Roman" w:hAnsi="Times New Roman" w:cs="Times New Roman"/>
                      <w:sz w:val="21"/>
                      <w:szCs w:val="21"/>
                    </w:rPr>
                    <w:t>。</w:t>
                  </w:r>
                </w:p>
                <w:p w14:paraId="3A5939D4">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；相对密度（水=1）：</w:t>
                  </w:r>
                  <w:r>
                    <w:rPr>
                      <w:rFonts w:hint="eastAsia" w:cs="Times New Roman"/>
                      <w:sz w:val="21"/>
                      <w:szCs w:val="21"/>
                      <w:lang w:val="en-US" w:eastAsia="zh-CN"/>
                    </w:rPr>
                    <w:t>0.91</w:t>
                  </w:r>
                </w:p>
                <w:p w14:paraId="313D6A51">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溶于水、醇。</w:t>
                  </w:r>
                </w:p>
                <w:p w14:paraId="1308111E">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燃爆危险：易分解放出氨气，温度越高，分解速度越快，可形成爆炸性气氛。</w:t>
                  </w:r>
                </w:p>
                <w:p w14:paraId="5B9D8A1C">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350</w:t>
                  </w:r>
                  <w:r>
                    <w:rPr>
                      <w:rFonts w:hint="default" w:ascii="Times New Roman" w:hAnsi="Times New Roman" w:cs="Times New Roman"/>
                      <w:sz w:val="21"/>
                      <w:szCs w:val="21"/>
                    </w:rPr>
                    <w:t>mg/kg（大鼠经口）；LC</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无资料</w:t>
                  </w:r>
                </w:p>
              </w:tc>
            </w:tr>
            <w:tr w14:paraId="1272C2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238D62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0" w:type="auto"/>
                  <w:shd w:val="clear" w:color="auto" w:fill="auto"/>
                  <w:vAlign w:val="center"/>
                </w:tcPr>
                <w:p w14:paraId="36BE4A49">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柠檬酸钠</w:t>
                  </w:r>
                </w:p>
              </w:tc>
              <w:tc>
                <w:tcPr>
                  <w:tcW w:w="0" w:type="auto"/>
                  <w:vAlign w:val="center"/>
                </w:tcPr>
                <w:p w14:paraId="04C8CDF6">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6</w:t>
                  </w:r>
                  <w:r>
                    <w:rPr>
                      <w:rFonts w:hint="eastAsia" w:cs="Times New Roman"/>
                      <w:sz w:val="21"/>
                      <w:szCs w:val="21"/>
                      <w:lang w:val="en-US" w:eastAsia="zh-CN"/>
                    </w:rPr>
                    <w:t>H</w:t>
                  </w:r>
                  <w:r>
                    <w:rPr>
                      <w:rFonts w:hint="eastAsia" w:cs="Times New Roman"/>
                      <w:sz w:val="21"/>
                      <w:szCs w:val="21"/>
                      <w:vertAlign w:val="subscript"/>
                      <w:lang w:val="en-US" w:eastAsia="zh-CN"/>
                    </w:rPr>
                    <w:t>9</w:t>
                  </w:r>
                  <w:r>
                    <w:rPr>
                      <w:rFonts w:hint="eastAsia" w:cs="Times New Roman"/>
                      <w:sz w:val="21"/>
                      <w:szCs w:val="21"/>
                      <w:lang w:val="en-US" w:eastAsia="zh-CN"/>
                    </w:rPr>
                    <w:t>Na</w:t>
                  </w:r>
                  <w:r>
                    <w:rPr>
                      <w:rFonts w:hint="eastAsia" w:cs="Times New Roman"/>
                      <w:sz w:val="21"/>
                      <w:szCs w:val="21"/>
                      <w:vertAlign w:val="subscript"/>
                      <w:lang w:val="en-US" w:eastAsia="zh-CN"/>
                    </w:rPr>
                    <w:t>3</w:t>
                  </w:r>
                  <w:r>
                    <w:rPr>
                      <w:rFonts w:hint="eastAsia" w:cs="Times New Roman"/>
                      <w:sz w:val="21"/>
                      <w:szCs w:val="21"/>
                      <w:lang w:val="en-US" w:eastAsia="zh-CN"/>
                    </w:rPr>
                    <w:t>O</w:t>
                  </w:r>
                  <w:r>
                    <w:rPr>
                      <w:rFonts w:hint="eastAsia" w:cs="Times New Roman"/>
                      <w:sz w:val="21"/>
                      <w:szCs w:val="21"/>
                      <w:vertAlign w:val="subscript"/>
                      <w:lang w:val="en-US" w:eastAsia="zh-CN"/>
                    </w:rPr>
                    <w:t>9</w:t>
                  </w:r>
                  <w:r>
                    <w:rPr>
                      <w:rFonts w:hint="default" w:ascii="Times New Roman" w:hAnsi="Times New Roman" w:cs="Times New Roman"/>
                      <w:sz w:val="21"/>
                      <w:szCs w:val="21"/>
                    </w:rPr>
                    <w:t>；分子量：</w:t>
                  </w:r>
                  <w:r>
                    <w:rPr>
                      <w:rFonts w:hint="eastAsia" w:cs="Times New Roman"/>
                      <w:sz w:val="21"/>
                      <w:szCs w:val="21"/>
                      <w:lang w:val="en-US" w:eastAsia="zh-CN"/>
                    </w:rPr>
                    <w:t>294.1</w:t>
                  </w:r>
                  <w:r>
                    <w:rPr>
                      <w:rFonts w:hint="default" w:ascii="Times New Roman" w:hAnsi="Times New Roman" w:cs="Times New Roman"/>
                      <w:sz w:val="21"/>
                      <w:szCs w:val="21"/>
                    </w:rPr>
                    <w:t>；CAS号：</w:t>
                  </w:r>
                  <w:r>
                    <w:rPr>
                      <w:rFonts w:hint="eastAsia" w:cs="Times New Roman"/>
                      <w:sz w:val="21"/>
                      <w:szCs w:val="21"/>
                      <w:lang w:val="en-US" w:eastAsia="zh-CN"/>
                    </w:rPr>
                    <w:t>6132-04-3</w:t>
                  </w:r>
                </w:p>
                <w:p w14:paraId="4059CA1D">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r>
                    <w:rPr>
                      <w:rFonts w:hint="eastAsia" w:cs="Times New Roman"/>
                      <w:sz w:val="21"/>
                      <w:szCs w:val="21"/>
                      <w:lang w:val="en-US" w:eastAsia="zh-CN"/>
                    </w:rPr>
                    <w:t>无色结晶或白色结晶性粉末状，无臭，有清凉咸味</w:t>
                  </w:r>
                </w:p>
                <w:p w14:paraId="03C28733">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300</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；相对密度（水=1）：</w:t>
                  </w:r>
                  <w:r>
                    <w:rPr>
                      <w:rFonts w:hint="eastAsia" w:cs="Times New Roman"/>
                      <w:sz w:val="21"/>
                      <w:szCs w:val="21"/>
                      <w:lang w:val="en-US" w:eastAsia="zh-CN"/>
                    </w:rPr>
                    <w:t>1.008</w:t>
                  </w:r>
                </w:p>
                <w:p w14:paraId="40E5B7FC">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易溶于水，不溶于乙醇。</w:t>
                  </w:r>
                </w:p>
              </w:tc>
            </w:tr>
            <w:tr w14:paraId="63E516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7CF2747">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0" w:type="auto"/>
                  <w:shd w:val="clear" w:color="auto" w:fill="auto"/>
                  <w:vAlign w:val="center"/>
                </w:tcPr>
                <w:p w14:paraId="0527889F">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亚硝基铁氰化钠</w:t>
                  </w:r>
                </w:p>
              </w:tc>
              <w:tc>
                <w:tcPr>
                  <w:tcW w:w="0" w:type="auto"/>
                  <w:vAlign w:val="center"/>
                </w:tcPr>
                <w:p w14:paraId="4EA4A69F">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Na</w:t>
                  </w:r>
                  <w:r>
                    <w:rPr>
                      <w:rFonts w:hint="eastAsia" w:cs="Times New Roman"/>
                      <w:sz w:val="21"/>
                      <w:szCs w:val="21"/>
                      <w:vertAlign w:val="subscript"/>
                      <w:lang w:val="en-US" w:eastAsia="zh-CN"/>
                    </w:rPr>
                    <w:t>2</w:t>
                  </w:r>
                  <w:r>
                    <w:rPr>
                      <w:rFonts w:hint="eastAsia" w:cs="Times New Roman"/>
                      <w:sz w:val="21"/>
                      <w:szCs w:val="21"/>
                      <w:lang w:val="en-US" w:eastAsia="zh-CN"/>
                    </w:rPr>
                    <w:t>[Fe(CN)</w:t>
                  </w:r>
                  <w:r>
                    <w:rPr>
                      <w:rFonts w:hint="eastAsia" w:cs="Times New Roman"/>
                      <w:sz w:val="21"/>
                      <w:szCs w:val="21"/>
                      <w:vertAlign w:val="subscript"/>
                      <w:lang w:val="en-US" w:eastAsia="zh-CN"/>
                    </w:rPr>
                    <w:t>5</w:t>
                  </w:r>
                  <w:r>
                    <w:rPr>
                      <w:rFonts w:hint="eastAsia" w:cs="Times New Roman"/>
                      <w:sz w:val="21"/>
                      <w:szCs w:val="21"/>
                      <w:lang w:val="en-US" w:eastAsia="zh-CN"/>
                    </w:rPr>
                    <w:t>NO]</w:t>
                  </w:r>
                  <w:r>
                    <w:rPr>
                      <w:rFonts w:hint="default" w:ascii="Times New Roman" w:hAnsi="Times New Roman" w:cs="Times New Roman"/>
                      <w:sz w:val="21"/>
                      <w:szCs w:val="21"/>
                    </w:rPr>
                    <w:t>；分子量：</w:t>
                  </w:r>
                  <w:r>
                    <w:rPr>
                      <w:rFonts w:hint="eastAsia" w:cs="Times New Roman"/>
                      <w:sz w:val="21"/>
                      <w:szCs w:val="21"/>
                      <w:lang w:val="en-US" w:eastAsia="zh-CN"/>
                    </w:rPr>
                    <w:t>261.92</w:t>
                  </w:r>
                  <w:r>
                    <w:rPr>
                      <w:rFonts w:hint="default" w:ascii="Times New Roman" w:hAnsi="Times New Roman" w:cs="Times New Roman"/>
                      <w:sz w:val="21"/>
                      <w:szCs w:val="21"/>
                    </w:rPr>
                    <w:t>；CAS号：</w:t>
                  </w:r>
                  <w:r>
                    <w:rPr>
                      <w:rFonts w:hint="eastAsia" w:cs="Times New Roman"/>
                      <w:sz w:val="21"/>
                      <w:szCs w:val="21"/>
                      <w:lang w:val="en-US" w:eastAsia="zh-CN"/>
                    </w:rPr>
                    <w:t>14402-89-2</w:t>
                  </w:r>
                </w:p>
                <w:p w14:paraId="6A3A49AC">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深红色晶体</w:t>
                  </w:r>
                </w:p>
                <w:p w14:paraId="0D04968A">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1.72</w:t>
                  </w:r>
                </w:p>
                <w:p w14:paraId="0989EF3A">
                  <w:pPr>
                    <w:adjustRightInd w:val="0"/>
                    <w:snapToGrid w:val="0"/>
                    <w:spacing w:line="240" w:lineRule="auto"/>
                    <w:ind w:firstLine="0" w:firstLineChars="0"/>
                    <w:jc w:val="both"/>
                    <w:rPr>
                      <w:rFonts w:hint="eastAsia" w:cs="Times New Roman"/>
                      <w:sz w:val="21"/>
                      <w:szCs w:val="21"/>
                      <w:lang w:val="en-US" w:eastAsia="zh-CN"/>
                    </w:rPr>
                  </w:pPr>
                  <w:r>
                    <w:rPr>
                      <w:rFonts w:hint="default" w:ascii="Times New Roman" w:hAnsi="Times New Roman" w:cs="Times New Roman"/>
                      <w:sz w:val="21"/>
                      <w:szCs w:val="21"/>
                    </w:rPr>
                    <w:t>溶解性：</w:t>
                  </w:r>
                  <w:r>
                    <w:rPr>
                      <w:rFonts w:hint="eastAsia" w:cs="Times New Roman"/>
                      <w:sz w:val="21"/>
                      <w:szCs w:val="21"/>
                      <w:lang w:val="en-US" w:eastAsia="zh-CN"/>
                    </w:rPr>
                    <w:t>易溶于水</w:t>
                  </w:r>
                </w:p>
                <w:p w14:paraId="50CBA691">
                  <w:pPr>
                    <w:adjustRightInd w:val="0"/>
                    <w:snapToGrid w:val="0"/>
                    <w:spacing w:line="240" w:lineRule="auto"/>
                    <w:ind w:firstLine="0" w:firstLineChars="0"/>
                    <w:jc w:val="both"/>
                    <w:rPr>
                      <w:rFonts w:hint="eastAsia" w:eastAsia="宋体" w:cs="Times New Roman"/>
                      <w:color w:val="auto"/>
                      <w:sz w:val="21"/>
                      <w:szCs w:val="21"/>
                      <w:lang w:val="en-US" w:eastAsia="zh-CN"/>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40</w:t>
                  </w:r>
                  <w:r>
                    <w:rPr>
                      <w:rFonts w:hint="default" w:ascii="Times New Roman" w:hAnsi="Times New Roman" w:cs="Times New Roman"/>
                      <w:sz w:val="21"/>
                      <w:szCs w:val="21"/>
                    </w:rPr>
                    <w:t>mg/kg（大鼠经口）；LC</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20</w:t>
                  </w:r>
                  <w:r>
                    <w:rPr>
                      <w:rFonts w:hint="default" w:ascii="Times New Roman" w:hAnsi="Times New Roman" w:cs="Times New Roman"/>
                      <w:sz w:val="21"/>
                      <w:szCs w:val="21"/>
                    </w:rPr>
                    <w:t>mg/kg</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小鼠</w:t>
                  </w:r>
                  <w:r>
                    <w:rPr>
                      <w:rFonts w:hint="default" w:ascii="Times New Roman" w:hAnsi="Times New Roman" w:cs="Times New Roman"/>
                      <w:sz w:val="21"/>
                      <w:szCs w:val="21"/>
                    </w:rPr>
                    <w:t>经口</w:t>
                  </w:r>
                  <w:r>
                    <w:rPr>
                      <w:rFonts w:hint="eastAsia" w:ascii="Times New Roman" w:hAnsi="Times New Roman" w:cs="Times New Roman"/>
                      <w:sz w:val="21"/>
                      <w:szCs w:val="21"/>
                      <w:lang w:eastAsia="zh-CN"/>
                    </w:rPr>
                    <w:t>）</w:t>
                  </w:r>
                </w:p>
              </w:tc>
            </w:tr>
            <w:tr w14:paraId="28D174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406A56F1">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25</w:t>
                  </w:r>
                </w:p>
              </w:tc>
              <w:tc>
                <w:tcPr>
                  <w:tcW w:w="0" w:type="auto"/>
                  <w:shd w:val="clear" w:color="auto" w:fill="auto"/>
                  <w:vAlign w:val="center"/>
                </w:tcPr>
                <w:p w14:paraId="1A43E77D">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三乙醇胺</w:t>
                  </w:r>
                </w:p>
              </w:tc>
              <w:tc>
                <w:tcPr>
                  <w:tcW w:w="0" w:type="auto"/>
                  <w:vAlign w:val="center"/>
                </w:tcPr>
                <w:p w14:paraId="4F9B72E3">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6</w:t>
                  </w:r>
                  <w:r>
                    <w:rPr>
                      <w:rFonts w:hint="eastAsia" w:cs="Times New Roman"/>
                      <w:sz w:val="21"/>
                      <w:szCs w:val="21"/>
                      <w:lang w:val="en-US" w:eastAsia="zh-CN"/>
                    </w:rPr>
                    <w:t>H</w:t>
                  </w:r>
                  <w:r>
                    <w:rPr>
                      <w:rFonts w:hint="eastAsia" w:cs="Times New Roman"/>
                      <w:sz w:val="21"/>
                      <w:szCs w:val="21"/>
                      <w:vertAlign w:val="subscript"/>
                      <w:lang w:val="en-US" w:eastAsia="zh-CN"/>
                    </w:rPr>
                    <w:t>15</w:t>
                  </w:r>
                  <w:r>
                    <w:rPr>
                      <w:rFonts w:hint="eastAsia" w:cs="Times New Roman"/>
                      <w:sz w:val="21"/>
                      <w:szCs w:val="21"/>
                      <w:lang w:val="en-US" w:eastAsia="zh-CN"/>
                    </w:rPr>
                    <w:t>NO</w:t>
                  </w:r>
                  <w:r>
                    <w:rPr>
                      <w:rFonts w:hint="eastAsia" w:cs="Times New Roman"/>
                      <w:sz w:val="21"/>
                      <w:szCs w:val="21"/>
                      <w:vertAlign w:val="subscript"/>
                      <w:lang w:val="en-US" w:eastAsia="zh-CN"/>
                    </w:rPr>
                    <w:t>3</w:t>
                  </w:r>
                  <w:r>
                    <w:rPr>
                      <w:rFonts w:hint="default" w:ascii="Times New Roman" w:hAnsi="Times New Roman" w:cs="Times New Roman"/>
                      <w:sz w:val="21"/>
                      <w:szCs w:val="21"/>
                    </w:rPr>
                    <w:t>；分子量：</w:t>
                  </w:r>
                  <w:r>
                    <w:rPr>
                      <w:rFonts w:hint="eastAsia" w:cs="Times New Roman"/>
                      <w:sz w:val="21"/>
                      <w:szCs w:val="21"/>
                      <w:lang w:val="en-US" w:eastAsia="zh-CN"/>
                    </w:rPr>
                    <w:t>149.19</w:t>
                  </w:r>
                  <w:r>
                    <w:rPr>
                      <w:rFonts w:hint="default" w:ascii="Times New Roman" w:hAnsi="Times New Roman" w:cs="Times New Roman"/>
                      <w:sz w:val="21"/>
                      <w:szCs w:val="21"/>
                    </w:rPr>
                    <w:t>；CAS号：</w:t>
                  </w:r>
                  <w:r>
                    <w:rPr>
                      <w:rFonts w:hint="eastAsia" w:cs="Times New Roman"/>
                      <w:sz w:val="21"/>
                      <w:szCs w:val="21"/>
                      <w:lang w:val="en-US" w:eastAsia="zh-CN"/>
                    </w:rPr>
                    <w:t>102-71-6-9</w:t>
                  </w:r>
                </w:p>
                <w:p w14:paraId="26BAC4FD">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无色油状液体或白色固体，碱性、稍有氨的气味</w:t>
                  </w:r>
                </w:p>
                <w:p w14:paraId="67DEE009">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21.2</w:t>
                  </w:r>
                  <w:r>
                    <w:rPr>
                      <w:rFonts w:hint="default" w:ascii="Times New Roman" w:hAnsi="Times New Roman" w:cs="Times New Roman"/>
                      <w:sz w:val="21"/>
                      <w:szCs w:val="21"/>
                    </w:rPr>
                    <w:t>℃；沸点：</w:t>
                  </w:r>
                  <w:r>
                    <w:rPr>
                      <w:rFonts w:hint="eastAsia" w:cs="Times New Roman"/>
                      <w:sz w:val="21"/>
                      <w:szCs w:val="21"/>
                      <w:lang w:val="en-US" w:eastAsia="zh-CN"/>
                    </w:rPr>
                    <w:t>335.4</w:t>
                  </w:r>
                  <w:r>
                    <w:rPr>
                      <w:rFonts w:hint="default" w:ascii="Times New Roman" w:hAnsi="Times New Roman" w:cs="Times New Roman"/>
                      <w:sz w:val="21"/>
                      <w:szCs w:val="21"/>
                    </w:rPr>
                    <w:t>℃；相对密度（</w:t>
                  </w:r>
                  <w:r>
                    <w:rPr>
                      <w:rFonts w:hint="eastAsia" w:cs="Times New Roman"/>
                      <w:sz w:val="21"/>
                      <w:szCs w:val="21"/>
                      <w:lang w:val="en-US" w:eastAsia="zh-CN"/>
                    </w:rPr>
                    <w:t>空气</w:t>
                  </w:r>
                  <w:r>
                    <w:rPr>
                      <w:rFonts w:hint="default" w:ascii="Times New Roman" w:hAnsi="Times New Roman" w:cs="Times New Roman"/>
                      <w:sz w:val="21"/>
                      <w:szCs w:val="21"/>
                    </w:rPr>
                    <w:t>=1）：</w:t>
                  </w:r>
                  <w:r>
                    <w:rPr>
                      <w:rFonts w:hint="eastAsia" w:cs="Times New Roman"/>
                      <w:sz w:val="21"/>
                      <w:szCs w:val="21"/>
                      <w:lang w:val="en-US" w:eastAsia="zh-CN"/>
                    </w:rPr>
                    <w:t>5.14</w:t>
                  </w:r>
                </w:p>
                <w:p w14:paraId="667CCECA">
                  <w:pPr>
                    <w:adjustRightInd w:val="0"/>
                    <w:snapToGrid w:val="0"/>
                    <w:spacing w:line="240" w:lineRule="auto"/>
                    <w:ind w:firstLine="0" w:firstLineChars="0"/>
                    <w:jc w:val="both"/>
                    <w:rPr>
                      <w:rFonts w:hint="eastAsia" w:cs="Times New Roman"/>
                      <w:sz w:val="21"/>
                      <w:szCs w:val="21"/>
                      <w:lang w:val="en-US" w:eastAsia="zh-CN"/>
                    </w:rPr>
                  </w:pPr>
                  <w:r>
                    <w:rPr>
                      <w:rFonts w:hint="default" w:ascii="Times New Roman" w:hAnsi="Times New Roman" w:cs="Times New Roman"/>
                      <w:sz w:val="21"/>
                      <w:szCs w:val="21"/>
                    </w:rPr>
                    <w:t>溶解性：</w:t>
                  </w:r>
                  <w:r>
                    <w:rPr>
                      <w:rFonts w:hint="eastAsia" w:cs="Times New Roman"/>
                      <w:sz w:val="21"/>
                      <w:szCs w:val="21"/>
                      <w:lang w:val="en-US" w:eastAsia="zh-CN"/>
                    </w:rPr>
                    <w:t>有吸湿性，能与水、乙醇、丙酮等混溶。</w:t>
                  </w:r>
                </w:p>
                <w:p w14:paraId="320DB819">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燃爆危险：遇明火、高热可燃。</w:t>
                  </w:r>
                </w:p>
                <w:p w14:paraId="50CD47C9">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5000~9000</w:t>
                  </w:r>
                  <w:r>
                    <w:rPr>
                      <w:rFonts w:hint="default" w:ascii="Times New Roman" w:hAnsi="Times New Roman" w:cs="Times New Roman"/>
                      <w:sz w:val="21"/>
                      <w:szCs w:val="21"/>
                    </w:rPr>
                    <w:t>mg/kg（大鼠经口）</w:t>
                  </w:r>
                </w:p>
              </w:tc>
            </w:tr>
            <w:tr w14:paraId="20659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4D6B0E47">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26</w:t>
                  </w:r>
                </w:p>
              </w:tc>
              <w:tc>
                <w:tcPr>
                  <w:tcW w:w="0" w:type="auto"/>
                  <w:shd w:val="clear" w:color="auto" w:fill="auto"/>
                  <w:vAlign w:val="center"/>
                </w:tcPr>
                <w:p w14:paraId="514C7B2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偏重亚硫酸钠</w:t>
                  </w:r>
                </w:p>
              </w:tc>
              <w:tc>
                <w:tcPr>
                  <w:tcW w:w="0" w:type="auto"/>
                  <w:vAlign w:val="center"/>
                </w:tcPr>
                <w:p w14:paraId="74EA7F23">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Na</w:t>
                  </w:r>
                  <w:r>
                    <w:rPr>
                      <w:rFonts w:hint="eastAsia" w:cs="Times New Roman"/>
                      <w:sz w:val="21"/>
                      <w:szCs w:val="21"/>
                      <w:vertAlign w:val="subscript"/>
                      <w:lang w:val="en-US" w:eastAsia="zh-CN"/>
                    </w:rPr>
                    <w:t>2</w:t>
                  </w:r>
                  <w:r>
                    <w:rPr>
                      <w:rFonts w:hint="eastAsia" w:cs="Times New Roman"/>
                      <w:sz w:val="21"/>
                      <w:szCs w:val="21"/>
                      <w:lang w:val="en-US" w:eastAsia="zh-CN"/>
                    </w:rPr>
                    <w:t>S</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eastAsia" w:cs="Times New Roman"/>
                      <w:sz w:val="21"/>
                      <w:szCs w:val="21"/>
                      <w:vertAlign w:val="subscript"/>
                      <w:lang w:val="en-US" w:eastAsia="zh-CN"/>
                    </w:rPr>
                    <w:t>5</w:t>
                  </w:r>
                  <w:r>
                    <w:rPr>
                      <w:rFonts w:hint="default" w:ascii="Times New Roman" w:hAnsi="Times New Roman" w:cs="Times New Roman"/>
                      <w:sz w:val="21"/>
                      <w:szCs w:val="21"/>
                    </w:rPr>
                    <w:t>；分子量：</w:t>
                  </w:r>
                  <w:r>
                    <w:rPr>
                      <w:rFonts w:hint="eastAsia" w:cs="Times New Roman"/>
                      <w:sz w:val="21"/>
                      <w:szCs w:val="21"/>
                      <w:lang w:val="en-US" w:eastAsia="zh-CN"/>
                    </w:rPr>
                    <w:t>190.10</w:t>
                  </w:r>
                  <w:r>
                    <w:rPr>
                      <w:rFonts w:hint="default" w:ascii="Times New Roman" w:hAnsi="Times New Roman" w:cs="Times New Roman"/>
                      <w:sz w:val="21"/>
                      <w:szCs w:val="21"/>
                    </w:rPr>
                    <w:t>；CAS号：</w:t>
                  </w:r>
                  <w:r>
                    <w:rPr>
                      <w:rFonts w:hint="eastAsia" w:cs="Times New Roman"/>
                      <w:sz w:val="21"/>
                      <w:szCs w:val="21"/>
                      <w:lang w:val="en-US" w:eastAsia="zh-CN"/>
                    </w:rPr>
                    <w:t>7681-57-4</w:t>
                  </w:r>
                </w:p>
                <w:p w14:paraId="7A730090">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白色结晶性粉末，有刺激性气味</w:t>
                  </w:r>
                </w:p>
                <w:p w14:paraId="0C804AFB">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150</w:t>
                  </w:r>
                  <w:r>
                    <w:rPr>
                      <w:rFonts w:hint="default" w:ascii="Times New Roman" w:hAnsi="Times New Roman" w:cs="Times New Roman"/>
                      <w:sz w:val="21"/>
                      <w:szCs w:val="21"/>
                    </w:rPr>
                    <w:t>℃；沸点：℃；相对密度（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1.48</w:t>
                  </w:r>
                </w:p>
                <w:p w14:paraId="6BC5CA44">
                  <w:pPr>
                    <w:adjustRightInd w:val="0"/>
                    <w:snapToGrid w:val="0"/>
                    <w:spacing w:line="240" w:lineRule="auto"/>
                    <w:ind w:firstLine="0" w:firstLineChars="0"/>
                    <w:jc w:val="both"/>
                    <w:rPr>
                      <w:rFonts w:hint="eastAsia" w:cs="Times New Roman"/>
                      <w:sz w:val="21"/>
                      <w:szCs w:val="21"/>
                      <w:lang w:val="en-US" w:eastAsia="zh-CN"/>
                    </w:rPr>
                  </w:pPr>
                  <w:r>
                    <w:rPr>
                      <w:rFonts w:hint="default" w:ascii="Times New Roman" w:hAnsi="Times New Roman" w:cs="Times New Roman"/>
                      <w:sz w:val="21"/>
                      <w:szCs w:val="21"/>
                    </w:rPr>
                    <w:t>溶解性：</w:t>
                  </w:r>
                  <w:r>
                    <w:rPr>
                      <w:rFonts w:hint="eastAsia" w:cs="Times New Roman"/>
                      <w:sz w:val="21"/>
                      <w:szCs w:val="21"/>
                      <w:lang w:val="en-US" w:eastAsia="zh-CN"/>
                    </w:rPr>
                    <w:t>溶于水，可溶于甘油，微溶于乙醇。</w:t>
                  </w:r>
                </w:p>
                <w:p w14:paraId="39FA2B2C">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燃爆危险：不燃</w:t>
                  </w:r>
                </w:p>
                <w:p w14:paraId="4D382F3B">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1131</w:t>
                  </w:r>
                  <w:r>
                    <w:rPr>
                      <w:rFonts w:hint="default" w:ascii="Times New Roman" w:hAnsi="Times New Roman" w:cs="Times New Roman"/>
                      <w:sz w:val="21"/>
                      <w:szCs w:val="21"/>
                    </w:rPr>
                    <w:t>mg/kg（大鼠经口）</w:t>
                  </w:r>
                </w:p>
              </w:tc>
            </w:tr>
            <w:tr w14:paraId="17F89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A19869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27</w:t>
                  </w:r>
                </w:p>
              </w:tc>
              <w:tc>
                <w:tcPr>
                  <w:tcW w:w="0" w:type="auto"/>
                  <w:shd w:val="clear" w:color="auto" w:fill="auto"/>
                  <w:vAlign w:val="center"/>
                </w:tcPr>
                <w:p w14:paraId="6B3C096D">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乙二胺四乙酸二钠</w:t>
                  </w:r>
                </w:p>
              </w:tc>
              <w:tc>
                <w:tcPr>
                  <w:tcW w:w="0" w:type="auto"/>
                  <w:vAlign w:val="center"/>
                </w:tcPr>
                <w:p w14:paraId="75E120E5">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10</w:t>
                  </w:r>
                  <w:r>
                    <w:rPr>
                      <w:rFonts w:hint="eastAsia" w:cs="Times New Roman"/>
                      <w:sz w:val="21"/>
                      <w:szCs w:val="21"/>
                      <w:lang w:val="en-US" w:eastAsia="zh-CN"/>
                    </w:rPr>
                    <w:t>H</w:t>
                  </w:r>
                  <w:r>
                    <w:rPr>
                      <w:rFonts w:hint="eastAsia" w:cs="Times New Roman"/>
                      <w:sz w:val="21"/>
                      <w:szCs w:val="21"/>
                      <w:vertAlign w:val="subscript"/>
                      <w:lang w:val="en-US" w:eastAsia="zh-CN"/>
                    </w:rPr>
                    <w:t>14</w:t>
                  </w:r>
                  <w:r>
                    <w:rPr>
                      <w:rFonts w:hint="eastAsia" w:cs="Times New Roman"/>
                      <w:sz w:val="21"/>
                      <w:szCs w:val="21"/>
                      <w:lang w:val="en-US" w:eastAsia="zh-CN"/>
                    </w:rPr>
                    <w:t>Na</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eastAsia" w:cs="Times New Roman"/>
                      <w:sz w:val="21"/>
                      <w:szCs w:val="21"/>
                      <w:vertAlign w:val="subscript"/>
                      <w:lang w:val="en-US" w:eastAsia="zh-CN"/>
                    </w:rPr>
                    <w:t>8</w:t>
                  </w:r>
                  <w:r>
                    <w:rPr>
                      <w:rFonts w:hint="default" w:ascii="Times New Roman" w:hAnsi="Times New Roman" w:cs="Times New Roman"/>
                      <w:sz w:val="21"/>
                      <w:szCs w:val="21"/>
                    </w:rPr>
                    <w:t>；分子量：</w:t>
                  </w:r>
                  <w:r>
                    <w:rPr>
                      <w:rFonts w:hint="eastAsia" w:cs="Times New Roman"/>
                      <w:sz w:val="21"/>
                      <w:szCs w:val="21"/>
                      <w:lang w:val="en-US" w:eastAsia="zh-CN"/>
                    </w:rPr>
                    <w:t>336.21</w:t>
                  </w:r>
                  <w:r>
                    <w:rPr>
                      <w:rFonts w:hint="default" w:ascii="Times New Roman" w:hAnsi="Times New Roman" w:cs="Times New Roman"/>
                      <w:sz w:val="21"/>
                      <w:szCs w:val="21"/>
                    </w:rPr>
                    <w:t>；CAS号：</w:t>
                  </w:r>
                  <w:r>
                    <w:rPr>
                      <w:rFonts w:hint="eastAsia" w:cs="Times New Roman"/>
                      <w:sz w:val="21"/>
                      <w:szCs w:val="21"/>
                      <w:lang w:val="en-US" w:eastAsia="zh-CN"/>
                    </w:rPr>
                    <w:t>139-33-3</w:t>
                  </w:r>
                </w:p>
                <w:p w14:paraId="5121E782">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白色结晶性粉末</w:t>
                  </w:r>
                </w:p>
                <w:p w14:paraId="3595569E">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248</w:t>
                  </w:r>
                  <w:r>
                    <w:rPr>
                      <w:rFonts w:hint="default" w:ascii="Times New Roman" w:hAnsi="Times New Roman" w:cs="Times New Roman"/>
                      <w:sz w:val="21"/>
                      <w:szCs w:val="21"/>
                    </w:rPr>
                    <w:t>℃；沸点：</w:t>
                  </w:r>
                  <w:r>
                    <w:rPr>
                      <w:rFonts w:hint="eastAsia" w:cs="Times New Roman"/>
                      <w:sz w:val="21"/>
                      <w:szCs w:val="21"/>
                      <w:lang w:val="en-US" w:eastAsia="zh-CN"/>
                    </w:rPr>
                    <w:t>614.2</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1.77</w:t>
                  </w:r>
                </w:p>
                <w:p w14:paraId="594892AB">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易溶于水，微溶于乙醇，不溶于乙醚。</w:t>
                  </w:r>
                </w:p>
              </w:tc>
            </w:tr>
            <w:tr w14:paraId="49254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66B11BE">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28</w:t>
                  </w:r>
                </w:p>
              </w:tc>
              <w:tc>
                <w:tcPr>
                  <w:tcW w:w="0" w:type="auto"/>
                  <w:shd w:val="clear" w:color="auto" w:fill="auto"/>
                  <w:vAlign w:val="center"/>
                </w:tcPr>
                <w:p w14:paraId="47E9D388">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高碘酸钾</w:t>
                  </w:r>
                </w:p>
              </w:tc>
              <w:tc>
                <w:tcPr>
                  <w:tcW w:w="0" w:type="auto"/>
                  <w:vAlign w:val="center"/>
                </w:tcPr>
                <w:p w14:paraId="449BCEE6">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分子式：</w:t>
                  </w:r>
                  <w:r>
                    <w:rPr>
                      <w:rFonts w:hint="eastAsia" w:cs="Times New Roman"/>
                      <w:sz w:val="21"/>
                      <w:szCs w:val="21"/>
                      <w:lang w:val="en-US" w:eastAsia="zh-CN"/>
                    </w:rPr>
                    <w:t>KMnO</w:t>
                  </w:r>
                  <w:r>
                    <w:rPr>
                      <w:rFonts w:hint="eastAsia" w:cs="Times New Roman"/>
                      <w:sz w:val="21"/>
                      <w:szCs w:val="21"/>
                      <w:vertAlign w:val="subscript"/>
                      <w:lang w:val="en-US" w:eastAsia="zh-CN"/>
                    </w:rPr>
                    <w:t>4</w:t>
                  </w:r>
                  <w:r>
                    <w:rPr>
                      <w:rFonts w:hint="default" w:ascii="Times New Roman" w:hAnsi="Times New Roman" w:cs="Times New Roman"/>
                      <w:sz w:val="21"/>
                      <w:szCs w:val="21"/>
                    </w:rPr>
                    <w:t>；分子量：</w:t>
                  </w:r>
                  <w:r>
                    <w:rPr>
                      <w:rFonts w:hint="eastAsia" w:cs="Times New Roman"/>
                      <w:sz w:val="21"/>
                      <w:szCs w:val="21"/>
                      <w:lang w:val="en-US" w:eastAsia="zh-CN"/>
                    </w:rPr>
                    <w:t>158.03</w:t>
                  </w:r>
                  <w:r>
                    <w:rPr>
                      <w:rFonts w:hint="default" w:ascii="Times New Roman" w:hAnsi="Times New Roman" w:cs="Times New Roman"/>
                      <w:sz w:val="21"/>
                      <w:szCs w:val="21"/>
                    </w:rPr>
                    <w:t>；CAS号：</w:t>
                  </w:r>
                  <w:r>
                    <w:rPr>
                      <w:rFonts w:hint="eastAsia" w:cs="Times New Roman"/>
                      <w:sz w:val="21"/>
                      <w:szCs w:val="21"/>
                      <w:lang w:val="en-US" w:eastAsia="zh-CN"/>
                    </w:rPr>
                    <w:t>7722-64-7</w:t>
                  </w:r>
                </w:p>
                <w:p w14:paraId="703B2562">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r>
                    <w:rPr>
                      <w:rFonts w:hint="eastAsia" w:cs="Times New Roman"/>
                      <w:sz w:val="21"/>
                      <w:szCs w:val="21"/>
                      <w:lang w:val="en-US" w:eastAsia="zh-CN"/>
                    </w:rPr>
                    <w:t>深紫色细长斜方柱状结晶，有金属光泽</w:t>
                  </w:r>
                  <w:r>
                    <w:rPr>
                      <w:rFonts w:hint="default" w:ascii="Times New Roman" w:hAnsi="Times New Roman" w:cs="Times New Roman"/>
                      <w:sz w:val="21"/>
                      <w:szCs w:val="21"/>
                    </w:rPr>
                    <w:t>。</w:t>
                  </w:r>
                </w:p>
                <w:p w14:paraId="3424615C">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熔点：</w:t>
                  </w:r>
                  <w:r>
                    <w:rPr>
                      <w:rFonts w:hint="eastAsia" w:cs="Times New Roman"/>
                      <w:sz w:val="21"/>
                      <w:szCs w:val="21"/>
                      <w:lang w:val="en-US" w:eastAsia="zh-CN"/>
                    </w:rPr>
                    <w:t>/</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；相对密度（水=1）：</w:t>
                  </w:r>
                  <w:r>
                    <w:rPr>
                      <w:rFonts w:hint="eastAsia" w:cs="Times New Roman"/>
                      <w:sz w:val="21"/>
                      <w:szCs w:val="21"/>
                      <w:lang w:val="en-US" w:eastAsia="zh-CN"/>
                    </w:rPr>
                    <w:t>2.7</w:t>
                  </w:r>
                </w:p>
                <w:p w14:paraId="19203726">
                  <w:pPr>
                    <w:adjustRightInd w:val="0"/>
                    <w:snapToGrid w:val="0"/>
                    <w:spacing w:line="240" w:lineRule="auto"/>
                    <w:ind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溶于水、碱液，微溶于甲醇、丙酮、硫酸</w:t>
                  </w:r>
                  <w:r>
                    <w:rPr>
                      <w:rFonts w:hint="default" w:ascii="Times New Roman" w:hAnsi="Times New Roman" w:cs="Times New Roman"/>
                      <w:sz w:val="21"/>
                      <w:szCs w:val="21"/>
                    </w:rPr>
                    <w:t>。</w:t>
                  </w:r>
                </w:p>
                <w:p w14:paraId="04C383A2">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燃爆危险：强氧化剂</w:t>
                  </w:r>
                  <w:r>
                    <w:rPr>
                      <w:rFonts w:hint="default" w:ascii="Times New Roman" w:hAnsi="Times New Roman" w:cs="Times New Roman"/>
                      <w:sz w:val="21"/>
                      <w:szCs w:val="21"/>
                    </w:rPr>
                    <w:t>。</w:t>
                  </w:r>
                  <w:r>
                    <w:rPr>
                      <w:rFonts w:hint="eastAsia" w:cs="Times New Roman"/>
                      <w:sz w:val="21"/>
                      <w:szCs w:val="21"/>
                      <w:lang w:val="en-US" w:eastAsia="zh-CN"/>
                    </w:rPr>
                    <w:t>遇硫酸、铵盐或过氧化氢能发生爆炸。遇甘油、乙醇能引起自燃。与有机物、还原剂、易燃物如硫、磷等接触或混合时有引起燃烧爆炸的危险。</w:t>
                  </w:r>
                </w:p>
                <w:p w14:paraId="0D760F68">
                  <w:pPr>
                    <w:adjustRightInd w:val="0"/>
                    <w:snapToGrid w:val="0"/>
                    <w:spacing w:line="240" w:lineRule="auto"/>
                    <w:ind w:firstLine="0" w:firstLineChars="0"/>
                    <w:jc w:val="both"/>
                    <w:rPr>
                      <w:rFonts w:hint="default" w:eastAsia="宋体" w:cs="Times New Roman"/>
                      <w:color w:val="auto"/>
                      <w:sz w:val="21"/>
                      <w:szCs w:val="21"/>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1090</w:t>
                  </w:r>
                  <w:r>
                    <w:rPr>
                      <w:rFonts w:hint="default" w:ascii="Times New Roman" w:hAnsi="Times New Roman" w:cs="Times New Roman"/>
                      <w:sz w:val="21"/>
                      <w:szCs w:val="21"/>
                    </w:rPr>
                    <w:t>mg/kg（大鼠经口）；LC</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无资料</w:t>
                  </w:r>
                </w:p>
              </w:tc>
            </w:tr>
            <w:tr w14:paraId="017D62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786EEF7">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29</w:t>
                  </w:r>
                </w:p>
              </w:tc>
              <w:tc>
                <w:tcPr>
                  <w:tcW w:w="0" w:type="auto"/>
                  <w:shd w:val="clear" w:color="auto" w:fill="auto"/>
                  <w:vAlign w:val="center"/>
                </w:tcPr>
                <w:p w14:paraId="5C7F5134">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钼酸铵</w:t>
                  </w:r>
                </w:p>
              </w:tc>
              <w:tc>
                <w:tcPr>
                  <w:tcW w:w="0" w:type="auto"/>
                  <w:vAlign w:val="center"/>
                </w:tcPr>
                <w:p w14:paraId="73A8C9FC">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(NH</w:t>
                  </w:r>
                  <w:r>
                    <w:rPr>
                      <w:rFonts w:hint="eastAsia" w:cs="Times New Roman"/>
                      <w:sz w:val="21"/>
                      <w:szCs w:val="21"/>
                      <w:vertAlign w:val="subscript"/>
                      <w:lang w:val="en-US" w:eastAsia="zh-CN"/>
                    </w:rPr>
                    <w:t>4</w:t>
                  </w:r>
                  <w:r>
                    <w:rPr>
                      <w:rFonts w:hint="eastAsia" w:cs="Times New Roman"/>
                      <w:sz w:val="21"/>
                      <w:szCs w:val="21"/>
                      <w:lang w:val="en-US" w:eastAsia="zh-CN"/>
                    </w:rPr>
                    <w:t>)</w:t>
                  </w:r>
                  <w:r>
                    <w:rPr>
                      <w:rFonts w:hint="eastAsia" w:cs="Times New Roman"/>
                      <w:sz w:val="21"/>
                      <w:szCs w:val="21"/>
                      <w:vertAlign w:val="subscript"/>
                      <w:lang w:val="en-US" w:eastAsia="zh-CN"/>
                    </w:rPr>
                    <w:t>2</w:t>
                  </w:r>
                  <w:r>
                    <w:rPr>
                      <w:rFonts w:hint="eastAsia" w:cs="Times New Roman"/>
                      <w:sz w:val="21"/>
                      <w:szCs w:val="21"/>
                      <w:lang w:val="en-US" w:eastAsia="zh-CN"/>
                    </w:rPr>
                    <w:t>MoO</w:t>
                  </w:r>
                  <w:r>
                    <w:rPr>
                      <w:rFonts w:hint="eastAsia" w:cs="Times New Roman"/>
                      <w:sz w:val="21"/>
                      <w:szCs w:val="21"/>
                      <w:vertAlign w:val="subscript"/>
                      <w:lang w:val="en-US" w:eastAsia="zh-CN"/>
                    </w:rPr>
                    <w:t>4</w:t>
                  </w:r>
                  <w:r>
                    <w:rPr>
                      <w:rFonts w:hint="default" w:ascii="Times New Roman" w:hAnsi="Times New Roman" w:cs="Times New Roman"/>
                      <w:sz w:val="21"/>
                      <w:szCs w:val="21"/>
                    </w:rPr>
                    <w:t>；分子量：</w:t>
                  </w:r>
                  <w:r>
                    <w:rPr>
                      <w:rFonts w:hint="eastAsia" w:cs="Times New Roman"/>
                      <w:sz w:val="21"/>
                      <w:szCs w:val="21"/>
                      <w:lang w:val="en-US" w:eastAsia="zh-CN"/>
                    </w:rPr>
                    <w:t>196.02</w:t>
                  </w:r>
                  <w:r>
                    <w:rPr>
                      <w:rFonts w:hint="default" w:ascii="Times New Roman" w:hAnsi="Times New Roman" w:cs="Times New Roman"/>
                      <w:sz w:val="21"/>
                      <w:szCs w:val="21"/>
                    </w:rPr>
                    <w:t>；CAS号：</w:t>
                  </w:r>
                  <w:r>
                    <w:rPr>
                      <w:rFonts w:hint="eastAsia" w:cs="Times New Roman"/>
                      <w:sz w:val="21"/>
                      <w:szCs w:val="21"/>
                      <w:lang w:val="en-US" w:eastAsia="zh-CN"/>
                    </w:rPr>
                    <w:t>13106-76-8</w:t>
                  </w:r>
                </w:p>
                <w:p w14:paraId="25D60C4F">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外观与性状：</w:t>
                  </w:r>
                  <w:r>
                    <w:rPr>
                      <w:rFonts w:hint="eastAsia" w:cs="Times New Roman"/>
                      <w:sz w:val="21"/>
                      <w:szCs w:val="21"/>
                      <w:lang w:val="en-US" w:eastAsia="zh-CN"/>
                    </w:rPr>
                    <w:t>无色或浅黄色单斜结晶</w:t>
                  </w:r>
                </w:p>
                <w:p w14:paraId="015F7DC0">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170</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2.50</w:t>
                  </w:r>
                </w:p>
                <w:p w14:paraId="798ACE4D">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溶于水、酸和碱，不溶于乙醇。</w:t>
                  </w:r>
                </w:p>
              </w:tc>
            </w:tr>
            <w:tr w14:paraId="79D354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3D4B81F4">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0" w:type="auto"/>
                  <w:shd w:val="clear" w:color="auto" w:fill="auto"/>
                  <w:vAlign w:val="center"/>
                </w:tcPr>
                <w:p w14:paraId="0C70EEF7">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抗坏血酸</w:t>
                  </w:r>
                </w:p>
              </w:tc>
              <w:tc>
                <w:tcPr>
                  <w:tcW w:w="0" w:type="auto"/>
                  <w:vAlign w:val="center"/>
                </w:tcPr>
                <w:p w14:paraId="36AD03DC">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6</w:t>
                  </w:r>
                  <w:r>
                    <w:rPr>
                      <w:rFonts w:hint="eastAsia" w:cs="Times New Roman"/>
                      <w:sz w:val="21"/>
                      <w:szCs w:val="21"/>
                      <w:lang w:val="en-US" w:eastAsia="zh-CN"/>
                    </w:rPr>
                    <w:t>H</w:t>
                  </w:r>
                  <w:r>
                    <w:rPr>
                      <w:rFonts w:hint="eastAsia" w:cs="Times New Roman"/>
                      <w:sz w:val="21"/>
                      <w:szCs w:val="21"/>
                      <w:vertAlign w:val="subscript"/>
                      <w:lang w:val="en-US" w:eastAsia="zh-CN"/>
                    </w:rPr>
                    <w:t>8</w:t>
                  </w:r>
                  <w:r>
                    <w:rPr>
                      <w:rFonts w:hint="eastAsia" w:cs="Times New Roman"/>
                      <w:sz w:val="21"/>
                      <w:szCs w:val="21"/>
                      <w:lang w:val="en-US" w:eastAsia="zh-CN"/>
                    </w:rPr>
                    <w:t>O</w:t>
                  </w:r>
                  <w:r>
                    <w:rPr>
                      <w:rFonts w:hint="eastAsia" w:cs="Times New Roman"/>
                      <w:sz w:val="21"/>
                      <w:szCs w:val="21"/>
                      <w:vertAlign w:val="subscript"/>
                      <w:lang w:val="en-US" w:eastAsia="zh-CN"/>
                    </w:rPr>
                    <w:t>6</w:t>
                  </w:r>
                  <w:r>
                    <w:rPr>
                      <w:rFonts w:hint="default" w:ascii="Times New Roman" w:hAnsi="Times New Roman" w:cs="Times New Roman"/>
                      <w:sz w:val="21"/>
                      <w:szCs w:val="21"/>
                    </w:rPr>
                    <w:t>；分子量：</w:t>
                  </w:r>
                  <w:r>
                    <w:rPr>
                      <w:rFonts w:hint="eastAsia" w:cs="Times New Roman"/>
                      <w:sz w:val="21"/>
                      <w:szCs w:val="21"/>
                      <w:lang w:val="en-US" w:eastAsia="zh-CN"/>
                    </w:rPr>
                    <w:t>176.12</w:t>
                  </w:r>
                  <w:r>
                    <w:rPr>
                      <w:rFonts w:hint="default" w:ascii="Times New Roman" w:hAnsi="Times New Roman" w:cs="Times New Roman"/>
                      <w:sz w:val="21"/>
                      <w:szCs w:val="21"/>
                    </w:rPr>
                    <w:t>；CAS号：</w:t>
                  </w:r>
                  <w:r>
                    <w:rPr>
                      <w:rFonts w:hint="eastAsia" w:cs="Times New Roman"/>
                      <w:sz w:val="21"/>
                      <w:szCs w:val="21"/>
                      <w:lang w:val="en-US" w:eastAsia="zh-CN"/>
                    </w:rPr>
                    <w:t>50-81-7</w:t>
                  </w:r>
                </w:p>
                <w:p w14:paraId="4DABB922">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外观与性状：</w:t>
                  </w:r>
                  <w:r>
                    <w:rPr>
                      <w:rFonts w:hint="eastAsia" w:cs="Times New Roman"/>
                      <w:sz w:val="21"/>
                      <w:szCs w:val="21"/>
                      <w:lang w:val="en-US" w:eastAsia="zh-CN"/>
                    </w:rPr>
                    <w:t>白色至非常淡黄色结晶粉末</w:t>
                  </w:r>
                </w:p>
                <w:p w14:paraId="38A7CCB8">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190</w:t>
                  </w:r>
                  <w:r>
                    <w:rPr>
                      <w:rFonts w:hint="default" w:ascii="Times New Roman" w:hAnsi="Times New Roman" w:cs="Times New Roman"/>
                      <w:sz w:val="21"/>
                      <w:szCs w:val="21"/>
                    </w:rPr>
                    <w:t>℃；沸点：</w:t>
                  </w:r>
                  <w:r>
                    <w:rPr>
                      <w:rFonts w:hint="eastAsia" w:cs="Times New Roman"/>
                      <w:sz w:val="21"/>
                      <w:szCs w:val="21"/>
                      <w:lang w:val="en-US" w:eastAsia="zh-CN"/>
                    </w:rPr>
                    <w:t>552.7</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2.1</w:t>
                  </w:r>
                </w:p>
                <w:p w14:paraId="32B19510">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易溶于水，略溶于乙醇，不溶于氯仿、乙醚、苯、石油醚、油类和脂肪。</w:t>
                  </w:r>
                </w:p>
              </w:tc>
            </w:tr>
            <w:tr w14:paraId="72D449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42BCE6AF">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31</w:t>
                  </w:r>
                </w:p>
              </w:tc>
              <w:tc>
                <w:tcPr>
                  <w:tcW w:w="0" w:type="auto"/>
                  <w:shd w:val="clear" w:color="auto" w:fill="auto"/>
                  <w:vAlign w:val="center"/>
                </w:tcPr>
                <w:p w14:paraId="6879A2AF">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氯化铵</w:t>
                  </w:r>
                </w:p>
              </w:tc>
              <w:tc>
                <w:tcPr>
                  <w:tcW w:w="0" w:type="auto"/>
                  <w:vAlign w:val="center"/>
                </w:tcPr>
                <w:p w14:paraId="01671D96">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NH</w:t>
                  </w:r>
                  <w:r>
                    <w:rPr>
                      <w:rFonts w:hint="eastAsia" w:cs="Times New Roman"/>
                      <w:sz w:val="21"/>
                      <w:szCs w:val="21"/>
                      <w:vertAlign w:val="subscript"/>
                      <w:lang w:val="en-US" w:eastAsia="zh-CN"/>
                    </w:rPr>
                    <w:t>4</w:t>
                  </w:r>
                  <w:r>
                    <w:rPr>
                      <w:rFonts w:hint="eastAsia" w:cs="Times New Roman"/>
                      <w:sz w:val="21"/>
                      <w:szCs w:val="21"/>
                      <w:lang w:val="en-US" w:eastAsia="zh-CN"/>
                    </w:rPr>
                    <w:t>Cl</w:t>
                  </w:r>
                  <w:r>
                    <w:rPr>
                      <w:rFonts w:hint="default" w:ascii="Times New Roman" w:hAnsi="Times New Roman" w:cs="Times New Roman"/>
                      <w:sz w:val="21"/>
                      <w:szCs w:val="21"/>
                    </w:rPr>
                    <w:t>；分子量：</w:t>
                  </w:r>
                  <w:r>
                    <w:rPr>
                      <w:rFonts w:hint="eastAsia" w:cs="Times New Roman"/>
                      <w:sz w:val="21"/>
                      <w:szCs w:val="21"/>
                      <w:lang w:val="en-US" w:eastAsia="zh-CN"/>
                    </w:rPr>
                    <w:t>53.50</w:t>
                  </w:r>
                  <w:r>
                    <w:rPr>
                      <w:rFonts w:hint="default" w:ascii="Times New Roman" w:hAnsi="Times New Roman" w:cs="Times New Roman"/>
                      <w:sz w:val="21"/>
                      <w:szCs w:val="21"/>
                    </w:rPr>
                    <w:t>；CAS号：</w:t>
                  </w:r>
                  <w:r>
                    <w:rPr>
                      <w:rFonts w:hint="eastAsia" w:cs="Times New Roman"/>
                      <w:sz w:val="21"/>
                      <w:szCs w:val="21"/>
                      <w:lang w:val="en-US" w:eastAsia="zh-CN"/>
                    </w:rPr>
                    <w:t>12125-02-9</w:t>
                  </w:r>
                </w:p>
                <w:p w14:paraId="3D098DB8">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白色结晶，易潮解</w:t>
                  </w:r>
                </w:p>
                <w:p w14:paraId="240F8942">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337.8</w:t>
                  </w:r>
                  <w:r>
                    <w:rPr>
                      <w:rFonts w:hint="default" w:ascii="Times New Roman" w:hAnsi="Times New Roman" w:cs="Times New Roman"/>
                      <w:sz w:val="21"/>
                      <w:szCs w:val="21"/>
                    </w:rPr>
                    <w:t>℃；沸点：</w:t>
                  </w:r>
                  <w:r>
                    <w:rPr>
                      <w:rFonts w:hint="eastAsia" w:cs="Times New Roman"/>
                      <w:sz w:val="21"/>
                      <w:szCs w:val="21"/>
                      <w:lang w:val="en-US" w:eastAsia="zh-CN"/>
                    </w:rPr>
                    <w:t>520</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1.53</w:t>
                  </w:r>
                </w:p>
                <w:p w14:paraId="18806462">
                  <w:pPr>
                    <w:adjustRightInd w:val="0"/>
                    <w:snapToGrid w:val="0"/>
                    <w:spacing w:line="240" w:lineRule="auto"/>
                    <w:ind w:firstLine="0" w:firstLineChars="0"/>
                    <w:jc w:val="both"/>
                    <w:rPr>
                      <w:rFonts w:hint="eastAsia" w:cs="Times New Roman"/>
                      <w:sz w:val="21"/>
                      <w:szCs w:val="21"/>
                      <w:lang w:val="en-US" w:eastAsia="zh-CN"/>
                    </w:rPr>
                  </w:pPr>
                  <w:r>
                    <w:rPr>
                      <w:rFonts w:hint="default" w:ascii="Times New Roman" w:hAnsi="Times New Roman" w:cs="Times New Roman"/>
                      <w:sz w:val="21"/>
                      <w:szCs w:val="21"/>
                    </w:rPr>
                    <w:t>溶解性：</w:t>
                  </w:r>
                  <w:r>
                    <w:rPr>
                      <w:rFonts w:hint="eastAsia" w:cs="Times New Roman"/>
                      <w:sz w:val="21"/>
                      <w:szCs w:val="21"/>
                      <w:lang w:val="en-US" w:eastAsia="zh-CN"/>
                    </w:rPr>
                    <w:t>溶于水、醇、甘油，不溶于丙酮、乙醚、乙酸乙酯</w:t>
                  </w:r>
                </w:p>
                <w:p w14:paraId="79C1185E">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燃爆危险：不燃</w:t>
                  </w:r>
                </w:p>
                <w:p w14:paraId="09513C27">
                  <w:pPr>
                    <w:adjustRightInd w:val="0"/>
                    <w:snapToGrid w:val="0"/>
                    <w:spacing w:line="240" w:lineRule="auto"/>
                    <w:ind w:firstLine="0" w:firstLineChars="0"/>
                    <w:jc w:val="both"/>
                    <w:rPr>
                      <w:rFonts w:hint="default" w:eastAsia="宋体" w:cs="Times New Roman"/>
                      <w:color w:val="auto"/>
                      <w:sz w:val="21"/>
                      <w:szCs w:val="21"/>
                      <w:lang w:val="en-US" w:eastAsia="zh-CN"/>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1650</w:t>
                  </w:r>
                  <w:r>
                    <w:rPr>
                      <w:rFonts w:hint="default" w:ascii="Times New Roman" w:hAnsi="Times New Roman" w:cs="Times New Roman"/>
                      <w:sz w:val="21"/>
                      <w:szCs w:val="21"/>
                    </w:rPr>
                    <w:t>mg/kg（大鼠经口）</w:t>
                  </w:r>
                </w:p>
              </w:tc>
            </w:tr>
            <w:tr w14:paraId="2F47DD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3D9BD6F">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0" w:type="auto"/>
                  <w:shd w:val="clear" w:color="auto" w:fill="auto"/>
                  <w:vAlign w:val="center"/>
                </w:tcPr>
                <w:p w14:paraId="69072CE3">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磺基水杨酸</w:t>
                  </w:r>
                </w:p>
              </w:tc>
              <w:tc>
                <w:tcPr>
                  <w:tcW w:w="0" w:type="auto"/>
                  <w:vAlign w:val="center"/>
                </w:tcPr>
                <w:p w14:paraId="489723FE">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7</w:t>
                  </w:r>
                  <w:r>
                    <w:rPr>
                      <w:rFonts w:hint="eastAsia" w:cs="Times New Roman"/>
                      <w:sz w:val="21"/>
                      <w:szCs w:val="21"/>
                      <w:lang w:val="en-US" w:eastAsia="zh-CN"/>
                    </w:rPr>
                    <w:t>H</w:t>
                  </w:r>
                  <w:r>
                    <w:rPr>
                      <w:rFonts w:hint="eastAsia" w:cs="Times New Roman"/>
                      <w:sz w:val="21"/>
                      <w:szCs w:val="21"/>
                      <w:vertAlign w:val="subscript"/>
                      <w:lang w:val="en-US" w:eastAsia="zh-CN"/>
                    </w:rPr>
                    <w:t>6</w:t>
                  </w:r>
                  <w:r>
                    <w:rPr>
                      <w:rFonts w:hint="eastAsia" w:cs="Times New Roman"/>
                      <w:sz w:val="21"/>
                      <w:szCs w:val="21"/>
                      <w:lang w:val="en-US" w:eastAsia="zh-CN"/>
                    </w:rPr>
                    <w:t>O</w:t>
                  </w:r>
                  <w:r>
                    <w:rPr>
                      <w:rFonts w:hint="eastAsia" w:cs="Times New Roman"/>
                      <w:sz w:val="21"/>
                      <w:szCs w:val="21"/>
                      <w:vertAlign w:val="subscript"/>
                      <w:lang w:val="en-US" w:eastAsia="zh-CN"/>
                    </w:rPr>
                    <w:t>6</w:t>
                  </w:r>
                  <w:r>
                    <w:rPr>
                      <w:rFonts w:hint="eastAsia" w:cs="Times New Roman"/>
                      <w:sz w:val="21"/>
                      <w:szCs w:val="21"/>
                      <w:lang w:val="en-US" w:eastAsia="zh-CN"/>
                    </w:rPr>
                    <w:t>S</w:t>
                  </w:r>
                  <w:r>
                    <w:rPr>
                      <w:rFonts w:hint="default" w:ascii="Times New Roman" w:hAnsi="Times New Roman" w:cs="Times New Roman"/>
                      <w:sz w:val="21"/>
                      <w:szCs w:val="21"/>
                      <w:lang w:val="en-US" w:eastAsia="zh-CN"/>
                    </w:rPr>
                    <w:t>·</w:t>
                  </w:r>
                  <w:r>
                    <w:rPr>
                      <w:rFonts w:hint="eastAsia" w:cs="Times New Roman"/>
                      <w:sz w:val="21"/>
                      <w:szCs w:val="21"/>
                      <w:lang w:val="en-US" w:eastAsia="zh-CN"/>
                    </w:rPr>
                    <w:t>2(H</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default" w:ascii="Times New Roman" w:hAnsi="Times New Roman" w:cs="Times New Roman"/>
                      <w:sz w:val="21"/>
                      <w:szCs w:val="21"/>
                    </w:rPr>
                    <w:t>；分子量：</w:t>
                  </w:r>
                  <w:r>
                    <w:rPr>
                      <w:rFonts w:hint="eastAsia" w:cs="Times New Roman"/>
                      <w:sz w:val="21"/>
                      <w:szCs w:val="21"/>
                      <w:lang w:val="en-US" w:eastAsia="zh-CN"/>
                    </w:rPr>
                    <w:t>254.21</w:t>
                  </w:r>
                  <w:r>
                    <w:rPr>
                      <w:rFonts w:hint="default" w:ascii="Times New Roman" w:hAnsi="Times New Roman" w:cs="Times New Roman"/>
                      <w:sz w:val="21"/>
                      <w:szCs w:val="21"/>
                    </w:rPr>
                    <w:t>；CAS号：</w:t>
                  </w:r>
                  <w:r>
                    <w:rPr>
                      <w:rFonts w:hint="eastAsia" w:cs="Times New Roman"/>
                      <w:sz w:val="21"/>
                      <w:szCs w:val="21"/>
                      <w:lang w:val="en-US" w:eastAsia="zh-CN"/>
                    </w:rPr>
                    <w:t>5965-83-3</w:t>
                  </w:r>
                </w:p>
                <w:p w14:paraId="2FD2EA10">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白色至灰白色、吸湿的结晶粉末，遇铁成粉红色</w:t>
                  </w:r>
                </w:p>
                <w:p w14:paraId="62AF4574">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120</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w:t>
                  </w:r>
                </w:p>
                <w:p w14:paraId="2BEF1DA5">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易溶于水和乙醇，溶于乙醚</w:t>
                  </w:r>
                </w:p>
              </w:tc>
            </w:tr>
            <w:tr w14:paraId="0EBF21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087959A3">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33</w:t>
                  </w:r>
                </w:p>
              </w:tc>
              <w:tc>
                <w:tcPr>
                  <w:tcW w:w="0" w:type="auto"/>
                  <w:shd w:val="clear" w:color="auto" w:fill="auto"/>
                  <w:vAlign w:val="center"/>
                </w:tcPr>
                <w:p w14:paraId="5530273A">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溴酚蓝</w:t>
                  </w:r>
                </w:p>
              </w:tc>
              <w:tc>
                <w:tcPr>
                  <w:tcW w:w="0" w:type="auto"/>
                  <w:vAlign w:val="center"/>
                </w:tcPr>
                <w:p w14:paraId="2EBF9F50">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19</w:t>
                  </w:r>
                  <w:r>
                    <w:rPr>
                      <w:rFonts w:hint="eastAsia" w:cs="Times New Roman"/>
                      <w:sz w:val="21"/>
                      <w:szCs w:val="21"/>
                      <w:lang w:val="en-US" w:eastAsia="zh-CN"/>
                    </w:rPr>
                    <w:t>H</w:t>
                  </w:r>
                  <w:r>
                    <w:rPr>
                      <w:rFonts w:hint="eastAsia" w:cs="Times New Roman"/>
                      <w:sz w:val="21"/>
                      <w:szCs w:val="21"/>
                      <w:vertAlign w:val="subscript"/>
                      <w:lang w:val="en-US" w:eastAsia="zh-CN"/>
                    </w:rPr>
                    <w:t>10</w:t>
                  </w:r>
                  <w:r>
                    <w:rPr>
                      <w:rFonts w:hint="eastAsia" w:cs="Times New Roman"/>
                      <w:sz w:val="21"/>
                      <w:szCs w:val="21"/>
                      <w:lang w:val="en-US" w:eastAsia="zh-CN"/>
                    </w:rPr>
                    <w:t>Br</w:t>
                  </w:r>
                  <w:r>
                    <w:rPr>
                      <w:rFonts w:hint="eastAsia" w:cs="Times New Roman"/>
                      <w:sz w:val="21"/>
                      <w:szCs w:val="21"/>
                      <w:vertAlign w:val="subscript"/>
                      <w:lang w:val="en-US" w:eastAsia="zh-CN"/>
                    </w:rPr>
                    <w:t>4</w:t>
                  </w:r>
                  <w:r>
                    <w:rPr>
                      <w:rFonts w:hint="eastAsia" w:cs="Times New Roman"/>
                      <w:sz w:val="21"/>
                      <w:szCs w:val="21"/>
                      <w:lang w:val="en-US" w:eastAsia="zh-CN"/>
                    </w:rPr>
                    <w:t>O</w:t>
                  </w:r>
                  <w:r>
                    <w:rPr>
                      <w:rFonts w:hint="eastAsia" w:cs="Times New Roman"/>
                      <w:sz w:val="21"/>
                      <w:szCs w:val="21"/>
                      <w:vertAlign w:val="subscript"/>
                      <w:lang w:val="en-US" w:eastAsia="zh-CN"/>
                    </w:rPr>
                    <w:t>5</w:t>
                  </w:r>
                  <w:r>
                    <w:rPr>
                      <w:rFonts w:hint="eastAsia" w:cs="Times New Roman"/>
                      <w:sz w:val="21"/>
                      <w:szCs w:val="21"/>
                      <w:lang w:val="en-US" w:eastAsia="zh-CN"/>
                    </w:rPr>
                    <w:t>S</w:t>
                  </w:r>
                  <w:r>
                    <w:rPr>
                      <w:rFonts w:hint="default" w:ascii="Times New Roman" w:hAnsi="Times New Roman" w:cs="Times New Roman"/>
                      <w:sz w:val="21"/>
                      <w:szCs w:val="21"/>
                    </w:rPr>
                    <w:t>；分子量：</w:t>
                  </w:r>
                  <w:r>
                    <w:rPr>
                      <w:rFonts w:hint="eastAsia" w:cs="Times New Roman"/>
                      <w:sz w:val="21"/>
                      <w:szCs w:val="21"/>
                      <w:lang w:val="en-US" w:eastAsia="zh-CN"/>
                    </w:rPr>
                    <w:t>669.961</w:t>
                  </w:r>
                  <w:r>
                    <w:rPr>
                      <w:rFonts w:hint="default" w:ascii="Times New Roman" w:hAnsi="Times New Roman" w:cs="Times New Roman"/>
                      <w:sz w:val="21"/>
                      <w:szCs w:val="21"/>
                    </w:rPr>
                    <w:t>；CAS号：</w:t>
                  </w:r>
                  <w:r>
                    <w:rPr>
                      <w:rFonts w:hint="eastAsia" w:cs="Times New Roman"/>
                      <w:sz w:val="21"/>
                      <w:szCs w:val="21"/>
                      <w:lang w:val="en-US" w:eastAsia="zh-CN"/>
                    </w:rPr>
                    <w:t>115-39-9</w:t>
                  </w:r>
                </w:p>
                <w:p w14:paraId="0B949193">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浅黄色到棕黄色粉末</w:t>
                  </w:r>
                </w:p>
                <w:p w14:paraId="68BF5223">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273</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2.2</w:t>
                  </w:r>
                </w:p>
                <w:p w14:paraId="639371C5">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易溶于氢氧化钠溶液，溶于甲醇、乙醇和苯，微溶于水</w:t>
                  </w:r>
                </w:p>
              </w:tc>
            </w:tr>
            <w:tr w14:paraId="259D1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4C19382">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34</w:t>
                  </w:r>
                </w:p>
              </w:tc>
              <w:tc>
                <w:tcPr>
                  <w:tcW w:w="0" w:type="auto"/>
                  <w:shd w:val="clear" w:color="auto" w:fill="auto"/>
                  <w:vAlign w:val="center"/>
                </w:tcPr>
                <w:p w14:paraId="4E831BD2">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焦硫酸钠</w:t>
                  </w:r>
                </w:p>
              </w:tc>
              <w:tc>
                <w:tcPr>
                  <w:tcW w:w="0" w:type="auto"/>
                  <w:vAlign w:val="center"/>
                </w:tcPr>
                <w:p w14:paraId="38CFEB55">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Na</w:t>
                  </w:r>
                  <w:r>
                    <w:rPr>
                      <w:rFonts w:hint="eastAsia" w:cs="Times New Roman"/>
                      <w:sz w:val="21"/>
                      <w:szCs w:val="21"/>
                      <w:vertAlign w:val="subscript"/>
                      <w:lang w:val="en-US" w:eastAsia="zh-CN"/>
                    </w:rPr>
                    <w:t>2</w:t>
                  </w:r>
                  <w:r>
                    <w:rPr>
                      <w:rFonts w:hint="eastAsia" w:cs="Times New Roman"/>
                      <w:sz w:val="21"/>
                      <w:szCs w:val="21"/>
                      <w:lang w:val="en-US" w:eastAsia="zh-CN"/>
                    </w:rPr>
                    <w:t>S</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eastAsia" w:cs="Times New Roman"/>
                      <w:sz w:val="21"/>
                      <w:szCs w:val="21"/>
                      <w:vertAlign w:val="subscript"/>
                      <w:lang w:val="en-US" w:eastAsia="zh-CN"/>
                    </w:rPr>
                    <w:t>7</w:t>
                  </w:r>
                  <w:r>
                    <w:rPr>
                      <w:rFonts w:hint="default" w:ascii="Times New Roman" w:hAnsi="Times New Roman" w:cs="Times New Roman"/>
                      <w:sz w:val="21"/>
                      <w:szCs w:val="21"/>
                    </w:rPr>
                    <w:t>；分子量：</w:t>
                  </w:r>
                  <w:r>
                    <w:rPr>
                      <w:rFonts w:hint="eastAsia" w:cs="Times New Roman"/>
                      <w:sz w:val="21"/>
                      <w:szCs w:val="21"/>
                      <w:lang w:val="en-US" w:eastAsia="zh-CN"/>
                    </w:rPr>
                    <w:t>222.10</w:t>
                  </w:r>
                  <w:r>
                    <w:rPr>
                      <w:rFonts w:hint="default" w:ascii="Times New Roman" w:hAnsi="Times New Roman" w:cs="Times New Roman"/>
                      <w:sz w:val="21"/>
                      <w:szCs w:val="21"/>
                    </w:rPr>
                    <w:t>；CAS号：</w:t>
                  </w:r>
                  <w:r>
                    <w:rPr>
                      <w:rFonts w:hint="eastAsia" w:cs="Times New Roman"/>
                      <w:sz w:val="21"/>
                      <w:szCs w:val="21"/>
                      <w:lang w:val="en-US" w:eastAsia="zh-CN"/>
                    </w:rPr>
                    <w:t>13870-29-6</w:t>
                  </w:r>
                </w:p>
                <w:p w14:paraId="32236A82">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白色半透明结晶或固体</w:t>
                  </w:r>
                </w:p>
                <w:p w14:paraId="68FA7396">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401</w:t>
                  </w:r>
                  <w:r>
                    <w:rPr>
                      <w:rFonts w:hint="default" w:ascii="Times New Roman" w:hAnsi="Times New Roman" w:cs="Times New Roman"/>
                      <w:sz w:val="21"/>
                      <w:szCs w:val="21"/>
                    </w:rPr>
                    <w:t>℃；沸点：</w:t>
                  </w:r>
                  <w:r>
                    <w:rPr>
                      <w:rFonts w:hint="eastAsia" w:cs="Times New Roman"/>
                      <w:sz w:val="21"/>
                      <w:szCs w:val="21"/>
                      <w:lang w:val="en-US" w:eastAsia="zh-CN"/>
                    </w:rPr>
                    <w:t>/</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2.475</w:t>
                  </w:r>
                </w:p>
                <w:p w14:paraId="50F2571C">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可溶于发烟硫酸，不溶于乙醇</w:t>
                  </w:r>
                </w:p>
              </w:tc>
            </w:tr>
            <w:tr w14:paraId="299C6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8A0C373">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35</w:t>
                  </w:r>
                </w:p>
              </w:tc>
              <w:tc>
                <w:tcPr>
                  <w:tcW w:w="0" w:type="auto"/>
                  <w:shd w:val="clear" w:color="auto" w:fill="auto"/>
                  <w:vAlign w:val="center"/>
                </w:tcPr>
                <w:p w14:paraId="1DF0C5E2">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AHMT</w:t>
                  </w:r>
                </w:p>
              </w:tc>
              <w:tc>
                <w:tcPr>
                  <w:tcW w:w="0" w:type="auto"/>
                  <w:vAlign w:val="center"/>
                </w:tcPr>
                <w:p w14:paraId="69E2F214">
                  <w:pPr>
                    <w:numPr>
                      <w:numId w:val="0"/>
                    </w:numPr>
                    <w:adjustRightInd w:val="0"/>
                    <w:snapToGrid w:val="0"/>
                    <w:spacing w:line="240" w:lineRule="auto"/>
                    <w:jc w:val="both"/>
                    <w:rPr>
                      <w:rFonts w:hint="eastAsia" w:cs="Times New Roman"/>
                      <w:color w:val="auto"/>
                      <w:sz w:val="21"/>
                      <w:szCs w:val="21"/>
                      <w:lang w:eastAsia="zh-CN"/>
                    </w:rPr>
                  </w:pPr>
                  <w:r>
                    <w:rPr>
                      <w:rFonts w:hint="eastAsia" w:cs="Times New Roman"/>
                      <w:color w:val="auto"/>
                      <w:sz w:val="21"/>
                      <w:szCs w:val="21"/>
                      <w:lang w:val="en-US" w:eastAsia="zh-CN"/>
                    </w:rPr>
                    <w:t>中文名：4-</w:t>
                  </w:r>
                  <w:r>
                    <w:rPr>
                      <w:rFonts w:hint="default" w:eastAsia="宋体" w:cs="Times New Roman"/>
                      <w:color w:val="auto"/>
                      <w:sz w:val="21"/>
                      <w:szCs w:val="21"/>
                    </w:rPr>
                    <w:t>氨基-3-联氮-5-巯基-1,2,4-三氮杂茂</w:t>
                  </w:r>
                </w:p>
                <w:p w14:paraId="44D21BDD">
                  <w:pPr>
                    <w:numPr>
                      <w:numId w:val="0"/>
                    </w:numPr>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2</w:t>
                  </w:r>
                  <w:r>
                    <w:rPr>
                      <w:rFonts w:hint="eastAsia" w:cs="Times New Roman"/>
                      <w:sz w:val="21"/>
                      <w:szCs w:val="21"/>
                      <w:lang w:val="en-US" w:eastAsia="zh-CN"/>
                    </w:rPr>
                    <w:t>H</w:t>
                  </w:r>
                  <w:r>
                    <w:rPr>
                      <w:rFonts w:hint="eastAsia" w:cs="Times New Roman"/>
                      <w:sz w:val="21"/>
                      <w:szCs w:val="21"/>
                      <w:vertAlign w:val="subscript"/>
                      <w:lang w:val="en-US" w:eastAsia="zh-CN"/>
                    </w:rPr>
                    <w:t>6</w:t>
                  </w:r>
                  <w:r>
                    <w:rPr>
                      <w:rFonts w:hint="eastAsia" w:cs="Times New Roman"/>
                      <w:sz w:val="21"/>
                      <w:szCs w:val="21"/>
                      <w:vertAlign w:val="baseline"/>
                      <w:lang w:val="en-US" w:eastAsia="zh-CN"/>
                    </w:rPr>
                    <w:t>N</w:t>
                  </w:r>
                  <w:r>
                    <w:rPr>
                      <w:rFonts w:hint="eastAsia" w:cs="Times New Roman"/>
                      <w:sz w:val="21"/>
                      <w:szCs w:val="21"/>
                      <w:vertAlign w:val="subscript"/>
                      <w:lang w:val="en-US" w:eastAsia="zh-CN"/>
                    </w:rPr>
                    <w:t>6</w:t>
                  </w:r>
                  <w:r>
                    <w:rPr>
                      <w:rFonts w:hint="eastAsia" w:cs="Times New Roman"/>
                      <w:sz w:val="21"/>
                      <w:szCs w:val="21"/>
                      <w:lang w:val="en-US" w:eastAsia="zh-CN"/>
                    </w:rPr>
                    <w:t>S</w:t>
                  </w:r>
                  <w:r>
                    <w:rPr>
                      <w:rFonts w:hint="default" w:ascii="Times New Roman" w:hAnsi="Times New Roman" w:cs="Times New Roman"/>
                      <w:sz w:val="21"/>
                      <w:szCs w:val="21"/>
                    </w:rPr>
                    <w:t>；分子量：</w:t>
                  </w:r>
                  <w:r>
                    <w:rPr>
                      <w:rFonts w:hint="eastAsia" w:cs="Times New Roman"/>
                      <w:sz w:val="21"/>
                      <w:szCs w:val="21"/>
                      <w:lang w:val="en-US" w:eastAsia="zh-CN"/>
                    </w:rPr>
                    <w:t>146.17</w:t>
                  </w:r>
                  <w:r>
                    <w:rPr>
                      <w:rFonts w:hint="default" w:ascii="Times New Roman" w:hAnsi="Times New Roman" w:cs="Times New Roman"/>
                      <w:sz w:val="21"/>
                      <w:szCs w:val="21"/>
                    </w:rPr>
                    <w:t>；CAS号：</w:t>
                  </w:r>
                  <w:r>
                    <w:rPr>
                      <w:rFonts w:hint="eastAsia" w:cs="Times New Roman"/>
                      <w:sz w:val="21"/>
                      <w:szCs w:val="21"/>
                      <w:lang w:val="en-US" w:eastAsia="zh-CN"/>
                    </w:rPr>
                    <w:t>1750-12-5</w:t>
                  </w:r>
                </w:p>
                <w:p w14:paraId="4E230F5D">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白色粉末</w:t>
                  </w:r>
                </w:p>
                <w:p w14:paraId="5879E7E9">
                  <w:pPr>
                    <w:adjustRightInd w:val="0"/>
                    <w:snapToGrid w:val="0"/>
                    <w:spacing w:line="240" w:lineRule="auto"/>
                    <w:ind w:firstLine="0" w:firstLineChars="0"/>
                    <w:jc w:val="both"/>
                    <w:rPr>
                      <w:rFonts w:hint="eastAsia" w:eastAsia="宋体" w:cs="Times New Roman"/>
                      <w:color w:val="auto"/>
                      <w:sz w:val="21"/>
                      <w:szCs w:val="21"/>
                      <w:lang w:eastAsia="zh-CN"/>
                    </w:rPr>
                  </w:pPr>
                  <w:r>
                    <w:rPr>
                      <w:rFonts w:hint="default" w:ascii="Times New Roman" w:hAnsi="Times New Roman" w:cs="Times New Roman"/>
                      <w:sz w:val="21"/>
                      <w:szCs w:val="21"/>
                    </w:rPr>
                    <w:t>熔点：</w:t>
                  </w:r>
                  <w:r>
                    <w:rPr>
                      <w:rFonts w:hint="eastAsia" w:cs="Times New Roman"/>
                      <w:sz w:val="21"/>
                      <w:szCs w:val="21"/>
                      <w:lang w:val="en-US" w:eastAsia="zh-CN"/>
                    </w:rPr>
                    <w:t>228~230</w:t>
                  </w:r>
                  <w:r>
                    <w:rPr>
                      <w:rFonts w:hint="default" w:ascii="Times New Roman" w:hAnsi="Times New Roman" w:cs="Times New Roman"/>
                      <w:sz w:val="21"/>
                      <w:szCs w:val="21"/>
                    </w:rPr>
                    <w:t>℃；</w:t>
                  </w:r>
                </w:p>
              </w:tc>
            </w:tr>
            <w:tr w14:paraId="59672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1EE8A86">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0" w:type="auto"/>
                  <w:shd w:val="clear" w:color="auto" w:fill="auto"/>
                  <w:vAlign w:val="center"/>
                </w:tcPr>
                <w:p w14:paraId="25526AB1">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EDTA二钠</w:t>
                  </w:r>
                </w:p>
              </w:tc>
              <w:tc>
                <w:tcPr>
                  <w:tcW w:w="0" w:type="auto"/>
                  <w:vAlign w:val="center"/>
                </w:tcPr>
                <w:p w14:paraId="19989AEF">
                  <w:pPr>
                    <w:numPr>
                      <w:ilvl w:val="0"/>
                      <w:numId w:val="0"/>
                    </w:numPr>
                    <w:adjustRightInd w:val="0"/>
                    <w:snapToGrid w:val="0"/>
                    <w:spacing w:line="240" w:lineRule="auto"/>
                    <w:jc w:val="both"/>
                    <w:rPr>
                      <w:rFonts w:hint="eastAsia" w:cs="Times New Roman"/>
                      <w:color w:val="auto"/>
                      <w:sz w:val="21"/>
                      <w:szCs w:val="21"/>
                      <w:lang w:eastAsia="zh-CN"/>
                    </w:rPr>
                  </w:pPr>
                  <w:r>
                    <w:rPr>
                      <w:rFonts w:hint="eastAsia" w:cs="Times New Roman"/>
                      <w:color w:val="auto"/>
                      <w:sz w:val="21"/>
                      <w:szCs w:val="21"/>
                      <w:lang w:val="en-US" w:eastAsia="zh-CN"/>
                    </w:rPr>
                    <w:t>中文名：乙二胺四乙酸二钠</w:t>
                  </w:r>
                </w:p>
                <w:p w14:paraId="4A7CEB00">
                  <w:pPr>
                    <w:numPr>
                      <w:ilvl w:val="0"/>
                      <w:numId w:val="0"/>
                    </w:numPr>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10</w:t>
                  </w:r>
                  <w:r>
                    <w:rPr>
                      <w:rFonts w:hint="eastAsia" w:cs="Times New Roman"/>
                      <w:sz w:val="21"/>
                      <w:szCs w:val="21"/>
                      <w:lang w:val="en-US" w:eastAsia="zh-CN"/>
                    </w:rPr>
                    <w:t>H</w:t>
                  </w:r>
                  <w:r>
                    <w:rPr>
                      <w:rFonts w:hint="eastAsia" w:cs="Times New Roman"/>
                      <w:sz w:val="21"/>
                      <w:szCs w:val="21"/>
                      <w:vertAlign w:val="subscript"/>
                      <w:lang w:val="en-US" w:eastAsia="zh-CN"/>
                    </w:rPr>
                    <w:t>14</w:t>
                  </w:r>
                  <w:r>
                    <w:rPr>
                      <w:rFonts w:hint="eastAsia" w:cs="Times New Roman"/>
                      <w:sz w:val="21"/>
                      <w:szCs w:val="21"/>
                      <w:lang w:val="en-US" w:eastAsia="zh-CN"/>
                    </w:rPr>
                    <w:t>N</w:t>
                  </w:r>
                  <w:r>
                    <w:rPr>
                      <w:rFonts w:hint="eastAsia" w:cs="Times New Roman"/>
                      <w:sz w:val="21"/>
                      <w:szCs w:val="21"/>
                      <w:vertAlign w:val="subscript"/>
                      <w:lang w:val="en-US" w:eastAsia="zh-CN"/>
                    </w:rPr>
                    <w:t>2</w:t>
                  </w:r>
                  <w:r>
                    <w:rPr>
                      <w:rFonts w:hint="eastAsia" w:cs="Times New Roman"/>
                      <w:sz w:val="21"/>
                      <w:szCs w:val="21"/>
                      <w:lang w:val="en-US" w:eastAsia="zh-CN"/>
                    </w:rPr>
                    <w:t>Na</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eastAsia" w:cs="Times New Roman"/>
                      <w:sz w:val="21"/>
                      <w:szCs w:val="21"/>
                      <w:vertAlign w:val="subscript"/>
                      <w:lang w:val="en-US" w:eastAsia="zh-CN"/>
                    </w:rPr>
                    <w:t>8</w:t>
                  </w:r>
                  <w:r>
                    <w:rPr>
                      <w:rFonts w:hint="default" w:ascii="Times New Roman" w:hAnsi="Times New Roman" w:cs="Times New Roman"/>
                      <w:sz w:val="21"/>
                      <w:szCs w:val="21"/>
                    </w:rPr>
                    <w:t>；分子量：</w:t>
                  </w:r>
                  <w:r>
                    <w:rPr>
                      <w:rFonts w:hint="eastAsia" w:cs="Times New Roman"/>
                      <w:sz w:val="21"/>
                      <w:szCs w:val="21"/>
                      <w:lang w:val="en-US" w:eastAsia="zh-CN"/>
                    </w:rPr>
                    <w:t>336.21</w:t>
                  </w:r>
                  <w:r>
                    <w:rPr>
                      <w:rFonts w:hint="default" w:ascii="Times New Roman" w:hAnsi="Times New Roman" w:cs="Times New Roman"/>
                      <w:sz w:val="21"/>
                      <w:szCs w:val="21"/>
                    </w:rPr>
                    <w:t>；CAS号：</w:t>
                  </w:r>
                  <w:r>
                    <w:rPr>
                      <w:rFonts w:hint="eastAsia" w:cs="Times New Roman"/>
                      <w:sz w:val="21"/>
                      <w:szCs w:val="21"/>
                      <w:lang w:val="en-US" w:eastAsia="zh-CN"/>
                    </w:rPr>
                    <w:t>139-33-3</w:t>
                  </w:r>
                </w:p>
                <w:p w14:paraId="0EB3A634">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白色结晶性粉末</w:t>
                  </w:r>
                </w:p>
                <w:p w14:paraId="2D137EDA">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248</w:t>
                  </w:r>
                  <w:r>
                    <w:rPr>
                      <w:rFonts w:hint="default" w:ascii="Times New Roman" w:hAnsi="Times New Roman" w:cs="Times New Roman"/>
                      <w:sz w:val="21"/>
                      <w:szCs w:val="21"/>
                    </w:rPr>
                    <w:t>℃；沸点：</w:t>
                  </w:r>
                  <w:r>
                    <w:rPr>
                      <w:rFonts w:hint="eastAsia" w:cs="Times New Roman"/>
                      <w:sz w:val="21"/>
                      <w:szCs w:val="21"/>
                      <w:lang w:val="en-US" w:eastAsia="zh-CN"/>
                    </w:rPr>
                    <w:t>614.2</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1.77</w:t>
                  </w:r>
                </w:p>
                <w:p w14:paraId="40EA51B1">
                  <w:pPr>
                    <w:adjustRightInd w:val="0"/>
                    <w:snapToGrid w:val="0"/>
                    <w:spacing w:line="240" w:lineRule="auto"/>
                    <w:ind w:firstLine="0" w:firstLineChars="0"/>
                    <w:jc w:val="both"/>
                    <w:rPr>
                      <w:rFonts w:hint="default" w:eastAsia="宋体" w:cs="Times New Roman"/>
                      <w:color w:val="auto"/>
                      <w:sz w:val="21"/>
                      <w:szCs w:val="21"/>
                    </w:rPr>
                  </w:pPr>
                  <w:r>
                    <w:rPr>
                      <w:rFonts w:hint="default" w:ascii="Times New Roman" w:hAnsi="Times New Roman" w:cs="Times New Roman"/>
                      <w:sz w:val="21"/>
                      <w:szCs w:val="21"/>
                    </w:rPr>
                    <w:t>溶解性：</w:t>
                  </w:r>
                  <w:r>
                    <w:rPr>
                      <w:rFonts w:hint="eastAsia" w:cs="Times New Roman"/>
                      <w:sz w:val="21"/>
                      <w:szCs w:val="21"/>
                      <w:lang w:val="en-US" w:eastAsia="zh-CN"/>
                    </w:rPr>
                    <w:t>可溶于水</w:t>
                  </w:r>
                </w:p>
              </w:tc>
            </w:tr>
            <w:tr w14:paraId="0A6AD8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280D9715">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37</w:t>
                  </w:r>
                </w:p>
              </w:tc>
              <w:tc>
                <w:tcPr>
                  <w:tcW w:w="0" w:type="auto"/>
                  <w:shd w:val="clear" w:color="auto" w:fill="auto"/>
                  <w:vAlign w:val="center"/>
                </w:tcPr>
                <w:p w14:paraId="7BC6A1B5">
                  <w:pPr>
                    <w:pStyle w:val="26"/>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TDI</w:t>
                  </w:r>
                </w:p>
              </w:tc>
              <w:tc>
                <w:tcPr>
                  <w:tcW w:w="0" w:type="auto"/>
                  <w:vAlign w:val="center"/>
                </w:tcPr>
                <w:p w14:paraId="1B331C8D">
                  <w:pPr>
                    <w:numPr>
                      <w:ilvl w:val="0"/>
                      <w:numId w:val="0"/>
                    </w:numPr>
                    <w:adjustRightInd w:val="0"/>
                    <w:snapToGrid w:val="0"/>
                    <w:spacing w:line="240" w:lineRule="auto"/>
                    <w:jc w:val="both"/>
                    <w:rPr>
                      <w:rFonts w:hint="eastAsia" w:cs="Times New Roman"/>
                      <w:color w:val="auto"/>
                      <w:sz w:val="21"/>
                      <w:szCs w:val="21"/>
                      <w:lang w:eastAsia="zh-CN"/>
                    </w:rPr>
                  </w:pPr>
                  <w:r>
                    <w:rPr>
                      <w:rFonts w:hint="eastAsia" w:cs="Times New Roman"/>
                      <w:color w:val="auto"/>
                      <w:sz w:val="21"/>
                      <w:szCs w:val="21"/>
                      <w:lang w:val="en-US" w:eastAsia="zh-CN"/>
                    </w:rPr>
                    <w:t>中文名：甲苯二异氰酸酯</w:t>
                  </w:r>
                </w:p>
                <w:p w14:paraId="71CE5025">
                  <w:pPr>
                    <w:numPr>
                      <w:ilvl w:val="0"/>
                      <w:numId w:val="0"/>
                    </w:numPr>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分子式：</w:t>
                  </w:r>
                  <w:r>
                    <w:rPr>
                      <w:rFonts w:hint="eastAsia" w:cs="Times New Roman"/>
                      <w:sz w:val="21"/>
                      <w:szCs w:val="21"/>
                      <w:lang w:val="en-US" w:eastAsia="zh-CN"/>
                    </w:rPr>
                    <w:t>C</w:t>
                  </w:r>
                  <w:r>
                    <w:rPr>
                      <w:rFonts w:hint="eastAsia" w:cs="Times New Roman"/>
                      <w:sz w:val="21"/>
                      <w:szCs w:val="21"/>
                      <w:vertAlign w:val="subscript"/>
                      <w:lang w:val="en-US" w:eastAsia="zh-CN"/>
                    </w:rPr>
                    <w:t>9</w:t>
                  </w:r>
                  <w:r>
                    <w:rPr>
                      <w:rFonts w:hint="eastAsia" w:cs="Times New Roman"/>
                      <w:sz w:val="21"/>
                      <w:szCs w:val="21"/>
                      <w:lang w:val="en-US" w:eastAsia="zh-CN"/>
                    </w:rPr>
                    <w:t>H</w:t>
                  </w:r>
                  <w:r>
                    <w:rPr>
                      <w:rFonts w:hint="eastAsia" w:cs="Times New Roman"/>
                      <w:sz w:val="21"/>
                      <w:szCs w:val="21"/>
                      <w:vertAlign w:val="subscript"/>
                      <w:lang w:val="en-US" w:eastAsia="zh-CN"/>
                    </w:rPr>
                    <w:t>6</w:t>
                  </w:r>
                  <w:r>
                    <w:rPr>
                      <w:rFonts w:hint="eastAsia" w:cs="Times New Roman"/>
                      <w:sz w:val="21"/>
                      <w:szCs w:val="21"/>
                      <w:lang w:val="en-US" w:eastAsia="zh-CN"/>
                    </w:rPr>
                    <w:t>N</w:t>
                  </w:r>
                  <w:r>
                    <w:rPr>
                      <w:rFonts w:hint="eastAsia" w:cs="Times New Roman"/>
                      <w:sz w:val="21"/>
                      <w:szCs w:val="21"/>
                      <w:vertAlign w:val="subscript"/>
                      <w:lang w:val="en-US" w:eastAsia="zh-CN"/>
                    </w:rPr>
                    <w:t>2</w:t>
                  </w:r>
                  <w:r>
                    <w:rPr>
                      <w:rFonts w:hint="eastAsia" w:cs="Times New Roman"/>
                      <w:sz w:val="21"/>
                      <w:szCs w:val="21"/>
                      <w:lang w:val="en-US" w:eastAsia="zh-CN"/>
                    </w:rPr>
                    <w:t>O</w:t>
                  </w:r>
                  <w:r>
                    <w:rPr>
                      <w:rFonts w:hint="eastAsia" w:cs="Times New Roman"/>
                      <w:sz w:val="21"/>
                      <w:szCs w:val="21"/>
                      <w:vertAlign w:val="subscript"/>
                      <w:lang w:val="en-US" w:eastAsia="zh-CN"/>
                    </w:rPr>
                    <w:t>2</w:t>
                  </w:r>
                  <w:r>
                    <w:rPr>
                      <w:rFonts w:hint="default" w:ascii="Times New Roman" w:hAnsi="Times New Roman" w:cs="Times New Roman"/>
                      <w:sz w:val="21"/>
                      <w:szCs w:val="21"/>
                    </w:rPr>
                    <w:t>；分子量：</w:t>
                  </w:r>
                  <w:r>
                    <w:rPr>
                      <w:rFonts w:hint="eastAsia" w:cs="Times New Roman"/>
                      <w:sz w:val="21"/>
                      <w:szCs w:val="21"/>
                      <w:lang w:val="en-US" w:eastAsia="zh-CN"/>
                    </w:rPr>
                    <w:t>174.16</w:t>
                  </w:r>
                  <w:r>
                    <w:rPr>
                      <w:rFonts w:hint="default" w:ascii="Times New Roman" w:hAnsi="Times New Roman" w:cs="Times New Roman"/>
                      <w:sz w:val="21"/>
                      <w:szCs w:val="21"/>
                    </w:rPr>
                    <w:t>；CAS号：</w:t>
                  </w:r>
                  <w:r>
                    <w:rPr>
                      <w:rFonts w:hint="eastAsia" w:cs="Times New Roman"/>
                      <w:sz w:val="21"/>
                      <w:szCs w:val="21"/>
                      <w:lang w:val="en-US" w:eastAsia="zh-CN"/>
                    </w:rPr>
                    <w:t>584-84-9</w:t>
                  </w:r>
                </w:p>
                <w:p w14:paraId="7A2BF943">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外观与性状：</w:t>
                  </w:r>
                  <w:r>
                    <w:rPr>
                      <w:rFonts w:hint="eastAsia" w:cs="Times New Roman"/>
                      <w:sz w:val="21"/>
                      <w:szCs w:val="21"/>
                      <w:lang w:val="en-US" w:eastAsia="zh-CN"/>
                    </w:rPr>
                    <w:t>白色结晶性粉末</w:t>
                  </w:r>
                </w:p>
                <w:p w14:paraId="4F8C7211">
                  <w:pPr>
                    <w:adjustRightInd w:val="0"/>
                    <w:snapToGrid w:val="0"/>
                    <w:spacing w:line="240" w:lineRule="auto"/>
                    <w:ind w:firstLine="0" w:firstLineChars="0"/>
                    <w:jc w:val="both"/>
                    <w:rPr>
                      <w:rFonts w:hint="default" w:ascii="Times New Roman" w:hAnsi="Times New Roman" w:cs="Times New Roman"/>
                      <w:sz w:val="21"/>
                      <w:szCs w:val="21"/>
                      <w:lang w:val="en-US"/>
                    </w:rPr>
                  </w:pPr>
                  <w:r>
                    <w:rPr>
                      <w:rFonts w:hint="default" w:ascii="Times New Roman" w:hAnsi="Times New Roman" w:cs="Times New Roman"/>
                      <w:sz w:val="21"/>
                      <w:szCs w:val="21"/>
                    </w:rPr>
                    <w:t>熔点：</w:t>
                  </w:r>
                  <w:r>
                    <w:rPr>
                      <w:rFonts w:hint="eastAsia" w:cs="Times New Roman"/>
                      <w:sz w:val="21"/>
                      <w:szCs w:val="21"/>
                      <w:lang w:val="en-US" w:eastAsia="zh-CN"/>
                    </w:rPr>
                    <w:t>20~22</w:t>
                  </w:r>
                  <w:r>
                    <w:rPr>
                      <w:rFonts w:hint="default" w:ascii="Times New Roman" w:hAnsi="Times New Roman" w:cs="Times New Roman"/>
                      <w:sz w:val="21"/>
                      <w:szCs w:val="21"/>
                    </w:rPr>
                    <w:t>℃；沸点：</w:t>
                  </w:r>
                  <w:r>
                    <w:rPr>
                      <w:rFonts w:hint="eastAsia" w:cs="Times New Roman"/>
                      <w:sz w:val="21"/>
                      <w:szCs w:val="21"/>
                      <w:lang w:val="en-US" w:eastAsia="zh-CN"/>
                    </w:rPr>
                    <w:t>251.0</w:t>
                  </w:r>
                  <w:r>
                    <w:rPr>
                      <w:rFonts w:hint="default" w:ascii="Times New Roman" w:hAnsi="Times New Roman" w:cs="Times New Roman"/>
                      <w:sz w:val="21"/>
                      <w:szCs w:val="21"/>
                    </w:rPr>
                    <w:t>℃；相对密度（</w:t>
                  </w:r>
                  <w:r>
                    <w:rPr>
                      <w:rFonts w:hint="eastAsia" w:cs="Times New Roman"/>
                      <w:sz w:val="21"/>
                      <w:szCs w:val="21"/>
                      <w:lang w:val="en-US" w:eastAsia="zh-CN"/>
                    </w:rPr>
                    <w:t>水</w:t>
                  </w:r>
                  <w:r>
                    <w:rPr>
                      <w:rFonts w:hint="default" w:ascii="Times New Roman" w:hAnsi="Times New Roman" w:cs="Times New Roman"/>
                      <w:sz w:val="21"/>
                      <w:szCs w:val="21"/>
                    </w:rPr>
                    <w:t>=1）：</w:t>
                  </w:r>
                  <w:r>
                    <w:rPr>
                      <w:rFonts w:hint="eastAsia" w:cs="Times New Roman"/>
                      <w:sz w:val="21"/>
                      <w:szCs w:val="21"/>
                      <w:lang w:val="en-US" w:eastAsia="zh-CN"/>
                    </w:rPr>
                    <w:t>1.225</w:t>
                  </w:r>
                </w:p>
                <w:p w14:paraId="3BCFBEF2">
                  <w:pPr>
                    <w:adjustRightInd w:val="0"/>
                    <w:snapToGrid w:val="0"/>
                    <w:spacing w:line="240" w:lineRule="auto"/>
                    <w:ind w:firstLine="0" w:firstLineChars="0"/>
                    <w:jc w:val="both"/>
                    <w:rPr>
                      <w:rFonts w:hint="default" w:cs="Times New Roman"/>
                      <w:sz w:val="21"/>
                      <w:szCs w:val="21"/>
                      <w:lang w:val="en-US" w:eastAsia="zh-CN"/>
                    </w:rPr>
                  </w:pPr>
                  <w:r>
                    <w:rPr>
                      <w:rFonts w:hint="default" w:ascii="Times New Roman" w:hAnsi="Times New Roman" w:cs="Times New Roman"/>
                      <w:sz w:val="21"/>
                      <w:szCs w:val="21"/>
                    </w:rPr>
                    <w:t>溶解性：</w:t>
                  </w:r>
                  <w:r>
                    <w:rPr>
                      <w:rFonts w:hint="eastAsia" w:cs="Times New Roman"/>
                      <w:sz w:val="21"/>
                      <w:szCs w:val="21"/>
                      <w:lang w:val="en-US" w:eastAsia="zh-CN"/>
                    </w:rPr>
                    <w:t>溶于丙酮、醚</w:t>
                  </w:r>
                </w:p>
                <w:p w14:paraId="4226B8B6">
                  <w:pPr>
                    <w:adjustRightInd w:val="0"/>
                    <w:snapToGrid w:val="0"/>
                    <w:spacing w:line="240" w:lineRule="auto"/>
                    <w:ind w:firstLine="0" w:firstLineChars="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燃爆危险：可燃，蒸气与空气能形成爆炸性混合物，遇明火、高热能引起燃烧或爆炸。蒸气比空气重，能在较低处扩散到相当远的地方，遇火源会着火回燃和爆炸。</w:t>
                  </w:r>
                </w:p>
                <w:p w14:paraId="5A02E7C0">
                  <w:pPr>
                    <w:adjustRightInd w:val="0"/>
                    <w:snapToGrid w:val="0"/>
                    <w:spacing w:line="240" w:lineRule="auto"/>
                    <w:ind w:firstLine="0" w:firstLineChars="0"/>
                    <w:jc w:val="both"/>
                    <w:rPr>
                      <w:rFonts w:hint="default" w:eastAsia="宋体" w:cs="Times New Roman"/>
                      <w:color w:val="auto"/>
                      <w:sz w:val="21"/>
                      <w:szCs w:val="21"/>
                      <w:lang w:val="en-US" w:eastAsia="zh-CN"/>
                    </w:rPr>
                  </w:pPr>
                  <w:r>
                    <w:rPr>
                      <w:rFonts w:hint="eastAsia" w:cs="Times New Roman"/>
                      <w:sz w:val="21"/>
                      <w:szCs w:val="21"/>
                      <w:lang w:val="en-US" w:eastAsia="zh-CN"/>
                    </w:rPr>
                    <w:t>毒性：</w:t>
                  </w:r>
                  <w:r>
                    <w:rPr>
                      <w:rFonts w:hint="default" w:ascii="Times New Roman" w:hAnsi="Times New Roman" w:cs="Times New Roman"/>
                      <w:sz w:val="21"/>
                      <w:szCs w:val="21"/>
                    </w:rPr>
                    <w:t>LD</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w:t>
                  </w:r>
                  <w:r>
                    <w:rPr>
                      <w:rFonts w:hint="eastAsia" w:cs="Times New Roman"/>
                      <w:sz w:val="21"/>
                      <w:szCs w:val="21"/>
                      <w:lang w:val="en-US" w:eastAsia="zh-CN"/>
                    </w:rPr>
                    <w:t>5800</w:t>
                  </w:r>
                  <w:r>
                    <w:rPr>
                      <w:rFonts w:hint="default" w:ascii="Times New Roman" w:hAnsi="Times New Roman" w:cs="Times New Roman"/>
                      <w:sz w:val="21"/>
                      <w:szCs w:val="21"/>
                    </w:rPr>
                    <w:t>mg/kg（大鼠经口）</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LC</w:t>
                  </w:r>
                  <w:r>
                    <w:rPr>
                      <w:rFonts w:hint="eastAsia" w:ascii="Times New Roman" w:hAnsi="Times New Roman" w:cs="Times New Roman"/>
                      <w:sz w:val="21"/>
                      <w:szCs w:val="21"/>
                      <w:vertAlign w:val="subscript"/>
                      <w:lang w:val="en-US" w:eastAsia="zh-CN"/>
                    </w:rPr>
                    <w:t>50</w:t>
                  </w:r>
                  <w:r>
                    <w:rPr>
                      <w:rFonts w:hint="eastAsia" w:ascii="Times New Roman" w:hAnsi="Times New Roman" w:cs="Times New Roman"/>
                      <w:sz w:val="21"/>
                      <w:szCs w:val="21"/>
                      <w:lang w:val="en-US" w:eastAsia="zh-CN"/>
                    </w:rPr>
                    <w:t>：14ppm（大鼠吸入，4小时）</w:t>
                  </w:r>
                </w:p>
              </w:tc>
            </w:tr>
          </w:tbl>
          <w:p w14:paraId="6221CE8C">
            <w:pPr>
              <w:ind w:firstLine="480"/>
              <w:rPr>
                <w:rFonts w:hint="eastAsia"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7</w:t>
            </w:r>
            <w:r>
              <w:rPr>
                <w:rFonts w:hint="eastAsia" w:cs="Times New Roman"/>
                <w:color w:val="auto"/>
                <w:lang w:eastAsia="zh-CN"/>
              </w:rPr>
              <w:t>）</w:t>
            </w:r>
            <w:r>
              <w:rPr>
                <w:rFonts w:hint="eastAsia" w:cs="Times New Roman"/>
                <w:color w:val="auto"/>
              </w:rPr>
              <w:t>主要原辅料及样品与污染物排放的关系</w:t>
            </w:r>
          </w:p>
          <w:p w14:paraId="44651A5A">
            <w:pPr>
              <w:ind w:firstLine="480"/>
              <w:rPr>
                <w:rFonts w:hint="eastAsia" w:cs="Times New Roman"/>
                <w:color w:val="auto"/>
              </w:rPr>
            </w:pPr>
            <w:r>
              <w:rPr>
                <w:rFonts w:hint="eastAsia" w:cs="Times New Roman"/>
                <w:color w:val="auto"/>
              </w:rPr>
              <w:t>原辅料苯甲酸燃烧会产生酸性气体。</w:t>
            </w:r>
          </w:p>
          <w:p w14:paraId="77D1D2CF">
            <w:pPr>
              <w:ind w:firstLine="480"/>
              <w:rPr>
                <w:rFonts w:hint="eastAsia" w:cs="Times New Roman"/>
                <w:color w:val="auto"/>
              </w:rPr>
            </w:pPr>
            <w:r>
              <w:rPr>
                <w:rFonts w:hint="eastAsia" w:cs="Times New Roman"/>
                <w:color w:val="auto"/>
              </w:rPr>
              <w:t>甲烷、丙烷燃烧会产生颗粒物。</w:t>
            </w:r>
          </w:p>
          <w:p w14:paraId="2355C24E">
            <w:pPr>
              <w:ind w:firstLine="480"/>
              <w:rPr>
                <w:rFonts w:hint="eastAsia" w:cs="Times New Roman"/>
                <w:color w:val="auto"/>
              </w:rPr>
            </w:pPr>
            <w:r>
              <w:rPr>
                <w:rFonts w:hint="eastAsia" w:cs="Times New Roman"/>
                <w:color w:val="auto"/>
              </w:rPr>
              <w:t>样品包括聚氨酯复合保温板、防火涂料、挤塑聚苯板、模塑聚苯板、纸面石膏板、壁纸、壁布、橡塑、矿棉吸音板、卷材地板、窗帘等。其中聚氨酯板核心成分是多异氰酸酯和多元醇，聚苯板的核心成分是聚苯乙烯树脂，防火涂料的核心成分是聚氨酯树脂并添加碳酸钙、滑石粉、高岭土等，石膏板的核心成分是建筑石膏和护面纸，橡塑材料的核心成分是高分子树脂，矿棉吸音板的核心成分是矿物纤维（矿渣棉或岩棉）与粘结剂，卷材地板主要成分聚氯乙烯，窗帘主要成分是天然纤维、化学纤维、人造纤维等。燃烧实验会产生废气非甲烷总烃、一氧化碳、氯化氢、颗粒物及固体废物燃烧残余物。</w:t>
            </w:r>
          </w:p>
          <w:p w14:paraId="1943BF14">
            <w:pPr>
              <w:ind w:firstLine="480"/>
              <w:rPr>
                <w:rFonts w:hint="eastAsia" w:cs="Times New Roman"/>
                <w:color w:val="auto"/>
              </w:rPr>
            </w:pPr>
            <w:r>
              <w:rPr>
                <w:rFonts w:hint="eastAsia" w:cs="Times New Roman"/>
                <w:color w:val="auto"/>
              </w:rPr>
              <w:t>根据建设单位提供的资料，检测各类板材</w:t>
            </w:r>
            <w:r>
              <w:rPr>
                <w:rFonts w:hint="eastAsia" w:cs="Times New Roman"/>
                <w:color w:val="auto"/>
                <w:lang w:val="en-US" w:eastAsia="zh-CN"/>
              </w:rPr>
              <w:t>2</w:t>
            </w:r>
            <w:r>
              <w:rPr>
                <w:rFonts w:hint="eastAsia" w:cs="Times New Roman"/>
                <w:color w:val="auto"/>
              </w:rPr>
              <w:t>t/a，检测纺织装饰物窗帘</w:t>
            </w:r>
            <w:r>
              <w:rPr>
                <w:rFonts w:hint="eastAsia" w:cs="Times New Roman"/>
                <w:color w:val="auto"/>
                <w:lang w:val="en-US" w:eastAsia="zh-CN"/>
              </w:rPr>
              <w:t>0.01</w:t>
            </w:r>
            <w:r>
              <w:rPr>
                <w:rFonts w:hint="eastAsia" w:cs="Times New Roman"/>
                <w:color w:val="auto"/>
              </w:rPr>
              <w:t>t/a。</w:t>
            </w:r>
          </w:p>
          <w:p w14:paraId="4AE4C89E">
            <w:pPr>
              <w:ind w:firstLine="480"/>
              <w:rPr>
                <w:rFonts w:cs="Times New Roman"/>
                <w:color w:val="auto"/>
              </w:rPr>
            </w:pPr>
            <w:r>
              <w:rPr>
                <w:rFonts w:cs="Times New Roman"/>
                <w:color w:val="auto"/>
              </w:rPr>
              <w:t>（</w:t>
            </w:r>
            <w:r>
              <w:rPr>
                <w:rFonts w:hint="eastAsia" w:cs="Times New Roman"/>
                <w:color w:val="auto"/>
                <w:lang w:val="en-US" w:eastAsia="zh-CN"/>
              </w:rPr>
              <w:t>8</w:t>
            </w:r>
            <w:r>
              <w:rPr>
                <w:rFonts w:cs="Times New Roman"/>
                <w:color w:val="auto"/>
              </w:rPr>
              <w:t>）劳动定员及工作制度</w:t>
            </w:r>
          </w:p>
          <w:p w14:paraId="2EA675F4">
            <w:pPr>
              <w:ind w:firstLine="480"/>
              <w:rPr>
                <w:rFonts w:cs="Times New Roman"/>
                <w:color w:val="auto"/>
              </w:rPr>
            </w:pPr>
            <w:r>
              <w:rPr>
                <w:rFonts w:cs="Times New Roman"/>
                <w:color w:val="auto"/>
              </w:rPr>
              <w:t>职工人数：劳动定员</w:t>
            </w:r>
            <w:r>
              <w:rPr>
                <w:rFonts w:hint="eastAsia" w:cs="Times New Roman"/>
                <w:color w:val="auto"/>
                <w:lang w:val="en-US" w:eastAsia="zh-CN"/>
              </w:rPr>
              <w:t>60</w:t>
            </w:r>
            <w:r>
              <w:rPr>
                <w:rFonts w:cs="Times New Roman"/>
                <w:color w:val="auto"/>
              </w:rPr>
              <w:t>人；</w:t>
            </w:r>
          </w:p>
          <w:p w14:paraId="516CAE51">
            <w:pPr>
              <w:ind w:firstLine="480"/>
              <w:rPr>
                <w:rFonts w:cs="Times New Roman"/>
                <w:color w:val="auto"/>
              </w:rPr>
            </w:pPr>
            <w:r>
              <w:rPr>
                <w:rFonts w:cs="Times New Roman"/>
                <w:color w:val="auto"/>
              </w:rPr>
              <w:t>工作班制：全年营运250天，营运班制为1班制，每班昼间8小时。不设置食堂，不提供住宿。</w:t>
            </w:r>
          </w:p>
          <w:p w14:paraId="32AA8F02">
            <w:pPr>
              <w:ind w:firstLine="480"/>
              <w:rPr>
                <w:rFonts w:hint="default"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9</w:t>
            </w:r>
            <w:r>
              <w:rPr>
                <w:rFonts w:hint="eastAsia" w:cs="Times New Roman"/>
                <w:color w:val="auto"/>
                <w:lang w:eastAsia="zh-CN"/>
              </w:rPr>
              <w:t>）</w:t>
            </w:r>
            <w:r>
              <w:rPr>
                <w:rFonts w:hint="eastAsia" w:cs="Times New Roman"/>
                <w:color w:val="auto"/>
                <w:lang w:val="en-US" w:eastAsia="zh-CN"/>
              </w:rPr>
              <w:t>公用工程</w:t>
            </w:r>
          </w:p>
          <w:p w14:paraId="48A79691">
            <w:pPr>
              <w:keepNext w:val="0"/>
              <w:keepLines w:val="0"/>
              <w:pageBreakBefore w:val="0"/>
              <w:widowControl w:val="0"/>
              <w:kinsoku/>
              <w:wordWrap/>
              <w:overflowPunct/>
              <w:topLinePunct w:val="0"/>
              <w:autoSpaceDE/>
              <w:autoSpaceDN/>
              <w:bidi w:val="0"/>
              <w:spacing w:line="360" w:lineRule="auto"/>
              <w:ind w:firstLine="480"/>
              <w:textAlignment w:val="auto"/>
              <w:rPr>
                <w:rFonts w:cs="Times New Roman"/>
                <w:color w:val="auto"/>
              </w:rPr>
            </w:pPr>
            <w:r>
              <w:rPr>
                <w:rFonts w:hint="eastAsia" w:cs="Times New Roman"/>
                <w:color w:val="auto"/>
                <w:lang w:val="en-US" w:eastAsia="zh-CN"/>
              </w:rPr>
              <w:t>1</w:t>
            </w:r>
            <w:r>
              <w:rPr>
                <w:rFonts w:cs="Times New Roman"/>
                <w:color w:val="auto"/>
              </w:rPr>
              <w:t>）给排水</w:t>
            </w:r>
          </w:p>
          <w:p w14:paraId="735E1B03">
            <w:pPr>
              <w:keepNext w:val="0"/>
              <w:keepLines w:val="0"/>
              <w:pageBreakBefore w:val="0"/>
              <w:widowControl w:val="0"/>
              <w:kinsoku/>
              <w:wordWrap/>
              <w:overflowPunct/>
              <w:topLinePunct w:val="0"/>
              <w:autoSpaceDE/>
              <w:autoSpaceDN/>
              <w:bidi w:val="0"/>
              <w:spacing w:line="360" w:lineRule="auto"/>
              <w:ind w:firstLine="480"/>
              <w:textAlignment w:val="auto"/>
              <w:rPr>
                <w:rFonts w:cs="Times New Roman"/>
                <w:color w:val="auto"/>
              </w:rPr>
            </w:pPr>
            <w:r>
              <w:rPr>
                <w:rFonts w:hint="eastAsia" w:cs="Times New Roman"/>
                <w:color w:val="auto"/>
              </w:rPr>
              <w:t>①</w:t>
            </w:r>
            <w:r>
              <w:rPr>
                <w:rFonts w:cs="Times New Roman"/>
                <w:color w:val="auto"/>
              </w:rPr>
              <w:t>给水</w:t>
            </w:r>
          </w:p>
          <w:p w14:paraId="2D4F0E3B">
            <w:pPr>
              <w:keepNext w:val="0"/>
              <w:keepLines w:val="0"/>
              <w:pageBreakBefore w:val="0"/>
              <w:widowControl w:val="0"/>
              <w:kinsoku/>
              <w:wordWrap/>
              <w:overflowPunct/>
              <w:topLinePunct w:val="0"/>
              <w:autoSpaceDE/>
              <w:autoSpaceDN/>
              <w:bidi w:val="0"/>
              <w:spacing w:line="360" w:lineRule="auto"/>
              <w:ind w:firstLine="480"/>
              <w:textAlignment w:val="auto"/>
              <w:rPr>
                <w:rFonts w:cs="Times New Roman"/>
                <w:color w:val="auto"/>
              </w:rPr>
            </w:pPr>
            <w:r>
              <w:rPr>
                <w:rFonts w:cs="Times New Roman"/>
                <w:color w:val="auto"/>
              </w:rPr>
              <w:t>本项目给水由市政自来水管线提供，主要为职工日常生活用水</w:t>
            </w:r>
            <w:r>
              <w:rPr>
                <w:rFonts w:hint="eastAsia" w:cs="Times New Roman"/>
                <w:color w:val="auto"/>
                <w:lang w:val="en-US" w:eastAsia="zh-CN"/>
              </w:rPr>
              <w:t>和检测</w:t>
            </w:r>
            <w:r>
              <w:rPr>
                <w:rFonts w:cs="Times New Roman"/>
                <w:color w:val="auto"/>
              </w:rPr>
              <w:t>用水。</w:t>
            </w:r>
          </w:p>
          <w:p w14:paraId="72A28FF2">
            <w:pPr>
              <w:pStyle w:val="1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rPr>
            </w:pPr>
            <w:r>
              <w:rPr>
                <w:rFonts w:hint="eastAsia" w:cs="Times New Roman"/>
                <w:color w:val="auto"/>
                <w:lang w:val="en-US" w:eastAsia="zh-CN"/>
              </w:rPr>
              <w:t>a</w:t>
            </w:r>
            <w:r>
              <w:rPr>
                <w:rFonts w:hint="eastAsia" w:cs="Times New Roman"/>
                <w:color w:val="auto"/>
              </w:rPr>
              <w:t>生活用水</w:t>
            </w:r>
          </w:p>
          <w:p w14:paraId="55575C79">
            <w:pPr>
              <w:pStyle w:val="1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rPr>
            </w:pPr>
            <w:r>
              <w:rPr>
                <w:rFonts w:cs="Times New Roman"/>
                <w:color w:val="auto"/>
              </w:rPr>
              <w:t>职工日常生活用水量按照《建筑给水排水设计标准》（GB50015-2019）中的用水定额进行计算，职工生活用水量按50L/（人·d）计算，本项目劳动定员</w:t>
            </w:r>
            <w:r>
              <w:rPr>
                <w:rFonts w:hint="eastAsia" w:cs="Times New Roman"/>
                <w:color w:val="auto"/>
                <w:lang w:val="en-US" w:eastAsia="zh-CN"/>
              </w:rPr>
              <w:t>60</w:t>
            </w:r>
            <w:r>
              <w:rPr>
                <w:rFonts w:cs="Times New Roman"/>
                <w:color w:val="auto"/>
              </w:rPr>
              <w:t>人，年工作250天，则日用水量约</w:t>
            </w:r>
            <w:r>
              <w:rPr>
                <w:rFonts w:hint="eastAsia" w:cs="Times New Roman"/>
                <w:color w:val="auto"/>
                <w:lang w:val="en-US" w:eastAsia="zh-CN"/>
              </w:rPr>
              <w:t>3.0</w:t>
            </w:r>
            <w:r>
              <w:rPr>
                <w:rFonts w:cs="Times New Roman"/>
                <w:color w:val="auto"/>
              </w:rPr>
              <w:t>m</w:t>
            </w:r>
            <w:r>
              <w:rPr>
                <w:rFonts w:cs="Times New Roman"/>
                <w:color w:val="auto"/>
                <w:vertAlign w:val="superscript"/>
              </w:rPr>
              <w:t>3</w:t>
            </w:r>
            <w:r>
              <w:rPr>
                <w:rFonts w:cs="Times New Roman"/>
                <w:color w:val="auto"/>
              </w:rPr>
              <w:t>/d，年用水量约</w:t>
            </w:r>
            <w:r>
              <w:rPr>
                <w:rFonts w:hint="eastAsia" w:cs="Times New Roman"/>
                <w:color w:val="auto"/>
                <w:lang w:val="en-US" w:eastAsia="zh-CN"/>
              </w:rPr>
              <w:t>750.0</w:t>
            </w:r>
            <w:r>
              <w:rPr>
                <w:rFonts w:cs="Times New Roman"/>
                <w:color w:val="auto"/>
              </w:rPr>
              <w:t>m</w:t>
            </w:r>
            <w:r>
              <w:rPr>
                <w:rFonts w:cs="Times New Roman"/>
                <w:color w:val="auto"/>
                <w:vertAlign w:val="superscript"/>
              </w:rPr>
              <w:t>3</w:t>
            </w:r>
            <w:r>
              <w:rPr>
                <w:rFonts w:cs="Times New Roman"/>
                <w:color w:val="auto"/>
              </w:rPr>
              <w:t>/a。</w:t>
            </w:r>
          </w:p>
          <w:p w14:paraId="00B6BC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b检测用水</w:t>
            </w:r>
          </w:p>
          <w:p w14:paraId="6077FDA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本项目检测用水包括器皿清洗用水以及热值燃烧用水。</w:t>
            </w:r>
          </w:p>
          <w:p w14:paraId="674A1B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热值燃烧用水：项目热值试验过程使用外购的纯化水，用于吸收苯甲酸燃烧过程产生的酸性废气，根据建设单位提供的资料，年使用纯化水5L。</w:t>
            </w:r>
          </w:p>
          <w:p w14:paraId="159A3C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器皿清洗用水：本项目器皿清洗分为5遍，均采用自来水清洗，根据建设单位提供资料，前两遍器皿清洗用水量为0.003m</w:t>
            </w:r>
            <w:r>
              <w:rPr>
                <w:rFonts w:hint="eastAsia"/>
                <w:color w:val="auto"/>
                <w:vertAlign w:val="superscript"/>
                <w:lang w:val="en-US" w:eastAsia="zh-CN"/>
              </w:rPr>
              <w:t>3</w:t>
            </w:r>
            <w:r>
              <w:rPr>
                <w:rFonts w:hint="eastAsia"/>
                <w:color w:val="auto"/>
                <w:lang w:val="en-US" w:eastAsia="zh-CN"/>
              </w:rPr>
              <w:t>/d（0.75m</w:t>
            </w:r>
            <w:r>
              <w:rPr>
                <w:rFonts w:hint="eastAsia"/>
                <w:color w:val="auto"/>
                <w:vertAlign w:val="superscript"/>
                <w:lang w:val="en-US" w:eastAsia="zh-CN"/>
              </w:rPr>
              <w:t>3</w:t>
            </w:r>
            <w:r>
              <w:rPr>
                <w:rFonts w:hint="eastAsia"/>
                <w:color w:val="auto"/>
                <w:lang w:val="en-US" w:eastAsia="zh-CN"/>
              </w:rPr>
              <w:t>/a），第3~5遍器皿清洗用水量为0.05m</w:t>
            </w:r>
            <w:r>
              <w:rPr>
                <w:rFonts w:hint="eastAsia"/>
                <w:color w:val="auto"/>
                <w:vertAlign w:val="superscript"/>
                <w:lang w:val="en-US" w:eastAsia="zh-CN"/>
              </w:rPr>
              <w:t>3</w:t>
            </w:r>
            <w:r>
              <w:rPr>
                <w:rFonts w:hint="eastAsia"/>
                <w:color w:val="auto"/>
                <w:lang w:val="en-US" w:eastAsia="zh-CN"/>
              </w:rPr>
              <w:t>/d（12.50m</w:t>
            </w:r>
            <w:r>
              <w:rPr>
                <w:rFonts w:hint="eastAsia"/>
                <w:color w:val="auto"/>
                <w:vertAlign w:val="superscript"/>
                <w:lang w:val="en-US" w:eastAsia="zh-CN"/>
              </w:rPr>
              <w:t>3</w:t>
            </w:r>
            <w:r>
              <w:rPr>
                <w:rFonts w:hint="eastAsia"/>
                <w:color w:val="auto"/>
                <w:lang w:val="en-US" w:eastAsia="zh-CN"/>
              </w:rPr>
              <w:t>/a）。综上，器皿清洗过程自来水用量为0.053m</w:t>
            </w:r>
            <w:r>
              <w:rPr>
                <w:rFonts w:hint="eastAsia"/>
                <w:color w:val="auto"/>
                <w:vertAlign w:val="superscript"/>
                <w:lang w:val="en-US" w:eastAsia="zh-CN"/>
              </w:rPr>
              <w:t>3</w:t>
            </w:r>
            <w:r>
              <w:rPr>
                <w:rFonts w:hint="eastAsia"/>
                <w:color w:val="auto"/>
                <w:lang w:val="en-US" w:eastAsia="zh-CN"/>
              </w:rPr>
              <w:t>/d（0.75m</w:t>
            </w:r>
            <w:r>
              <w:rPr>
                <w:rFonts w:hint="eastAsia"/>
                <w:color w:val="auto"/>
                <w:vertAlign w:val="superscript"/>
                <w:lang w:val="en-US" w:eastAsia="zh-CN"/>
              </w:rPr>
              <w:t>3</w:t>
            </w:r>
            <w:r>
              <w:rPr>
                <w:rFonts w:hint="eastAsia"/>
                <w:color w:val="auto"/>
                <w:lang w:val="en-US" w:eastAsia="zh-CN"/>
              </w:rPr>
              <w:t>/a）。</w:t>
            </w:r>
          </w:p>
          <w:p w14:paraId="446BAC04">
            <w:pPr>
              <w:keepNext w:val="0"/>
              <w:keepLines w:val="0"/>
              <w:pageBreakBefore w:val="0"/>
              <w:widowControl w:val="0"/>
              <w:kinsoku/>
              <w:wordWrap/>
              <w:overflowPunct/>
              <w:topLinePunct w:val="0"/>
              <w:autoSpaceDE/>
              <w:autoSpaceDN/>
              <w:bidi w:val="0"/>
              <w:spacing w:line="360" w:lineRule="auto"/>
              <w:ind w:firstLine="480"/>
              <w:textAlignment w:val="auto"/>
              <w:rPr>
                <w:rFonts w:cs="Times New Roman"/>
                <w:color w:val="auto"/>
              </w:rPr>
            </w:pPr>
            <w:r>
              <w:rPr>
                <w:rFonts w:hint="eastAsia" w:cs="Times New Roman"/>
                <w:color w:val="auto"/>
              </w:rPr>
              <w:t>②</w:t>
            </w:r>
            <w:r>
              <w:rPr>
                <w:rFonts w:cs="Times New Roman"/>
                <w:color w:val="auto"/>
              </w:rPr>
              <w:t>排水</w:t>
            </w:r>
          </w:p>
          <w:p w14:paraId="571EEDAD">
            <w:pPr>
              <w:keepNext w:val="0"/>
              <w:keepLines w:val="0"/>
              <w:pageBreakBefore w:val="0"/>
              <w:widowControl w:val="0"/>
              <w:kinsoku/>
              <w:wordWrap/>
              <w:overflowPunct/>
              <w:topLinePunct w:val="0"/>
              <w:autoSpaceDE/>
              <w:autoSpaceDN/>
              <w:bidi w:val="0"/>
              <w:spacing w:line="360" w:lineRule="auto"/>
              <w:ind w:firstLine="480"/>
              <w:textAlignment w:val="auto"/>
              <w:rPr>
                <w:rFonts w:hint="eastAsia" w:eastAsia="宋体" w:cs="Times New Roman"/>
                <w:color w:val="auto"/>
                <w:lang w:eastAsia="zh-CN"/>
              </w:rPr>
            </w:pPr>
            <w:r>
              <w:rPr>
                <w:rFonts w:hint="eastAsia" w:cs="Times New Roman"/>
                <w:color w:val="auto"/>
              </w:rPr>
              <w:t>项目产生的排水主要为生活污水和</w:t>
            </w:r>
            <w:r>
              <w:rPr>
                <w:rFonts w:hint="eastAsia" w:cs="Times New Roman"/>
                <w:color w:val="auto"/>
                <w:lang w:val="en-US" w:eastAsia="zh-CN"/>
              </w:rPr>
              <w:t>检测</w:t>
            </w:r>
            <w:r>
              <w:rPr>
                <w:rFonts w:hint="eastAsia" w:cs="Times New Roman"/>
                <w:color w:val="auto"/>
              </w:rPr>
              <w:t>废水（第3~5遍器皿清洗废水）</w:t>
            </w:r>
            <w:r>
              <w:rPr>
                <w:rFonts w:hint="eastAsia" w:cs="Times New Roman"/>
                <w:color w:val="auto"/>
                <w:lang w:eastAsia="zh-CN"/>
              </w:rPr>
              <w:t>。</w:t>
            </w:r>
          </w:p>
          <w:p w14:paraId="42C4EAC7">
            <w:pPr>
              <w:keepNext w:val="0"/>
              <w:keepLines w:val="0"/>
              <w:pageBreakBefore w:val="0"/>
              <w:widowControl w:val="0"/>
              <w:kinsoku/>
              <w:wordWrap/>
              <w:overflowPunct/>
              <w:topLinePunct w:val="0"/>
              <w:autoSpaceDE/>
              <w:autoSpaceDN/>
              <w:bidi w:val="0"/>
              <w:spacing w:line="360" w:lineRule="auto"/>
              <w:ind w:firstLine="480"/>
              <w:textAlignment w:val="auto"/>
              <w:rPr>
                <w:rFonts w:hint="default" w:eastAsia="宋体" w:cs="Times New Roman"/>
                <w:color w:val="auto"/>
                <w:lang w:val="en-US" w:eastAsia="zh-CN"/>
              </w:rPr>
            </w:pPr>
            <w:r>
              <w:rPr>
                <w:rFonts w:hint="eastAsia" w:cs="Times New Roman"/>
                <w:color w:val="auto"/>
                <w:lang w:val="en-US" w:eastAsia="zh-CN"/>
              </w:rPr>
              <w:t>a生活污水</w:t>
            </w:r>
          </w:p>
          <w:p w14:paraId="3438F79D">
            <w:pPr>
              <w:keepNext w:val="0"/>
              <w:keepLines w:val="0"/>
              <w:pageBreakBefore w:val="0"/>
              <w:widowControl w:val="0"/>
              <w:kinsoku/>
              <w:wordWrap/>
              <w:overflowPunct/>
              <w:topLinePunct w:val="0"/>
              <w:autoSpaceDE/>
              <w:autoSpaceDN/>
              <w:bidi w:val="0"/>
              <w:spacing w:line="360" w:lineRule="auto"/>
              <w:ind w:firstLine="480"/>
              <w:textAlignment w:val="auto"/>
              <w:rPr>
                <w:rFonts w:cs="Times New Roman"/>
                <w:color w:val="auto"/>
              </w:rPr>
            </w:pPr>
            <w:r>
              <w:rPr>
                <w:rFonts w:cs="Times New Roman"/>
                <w:color w:val="auto"/>
              </w:rPr>
              <w:t>本项目生活用水量为</w:t>
            </w:r>
            <w:r>
              <w:rPr>
                <w:rFonts w:hint="eastAsia" w:cs="Times New Roman"/>
                <w:color w:val="auto"/>
                <w:lang w:val="en-US" w:eastAsia="zh-CN"/>
              </w:rPr>
              <w:t>3.0</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lang w:val="en-US" w:eastAsia="zh-CN"/>
              </w:rPr>
              <w:t>750.0</w:t>
            </w:r>
            <w:r>
              <w:rPr>
                <w:rFonts w:cs="Times New Roman"/>
                <w:color w:val="auto"/>
              </w:rPr>
              <w:t>m</w:t>
            </w:r>
            <w:r>
              <w:rPr>
                <w:rFonts w:cs="Times New Roman"/>
                <w:color w:val="auto"/>
                <w:vertAlign w:val="superscript"/>
              </w:rPr>
              <w:t>3</w:t>
            </w:r>
            <w:r>
              <w:rPr>
                <w:rFonts w:cs="Times New Roman"/>
                <w:color w:val="auto"/>
              </w:rPr>
              <w:t>/a），根据《城市排水工程规划规范》（GB50318-2017）中城市综合生活污水排放系数，本项目生活污水排放量按照用水量的</w:t>
            </w:r>
            <w:r>
              <w:rPr>
                <w:rFonts w:hint="eastAsia" w:cs="Times New Roman"/>
                <w:color w:val="auto"/>
                <w:lang w:val="en-US" w:eastAsia="zh-CN"/>
              </w:rPr>
              <w:t>90</w:t>
            </w:r>
            <w:r>
              <w:rPr>
                <w:rFonts w:cs="Times New Roman"/>
                <w:color w:val="auto"/>
              </w:rPr>
              <w:t>%计算，日均排水量为</w:t>
            </w:r>
            <w:r>
              <w:rPr>
                <w:rFonts w:hint="eastAsia" w:cs="Times New Roman"/>
                <w:color w:val="auto"/>
                <w:lang w:val="en-US" w:eastAsia="zh-CN"/>
              </w:rPr>
              <w:t>2.7</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lang w:val="en-US" w:eastAsia="zh-CN"/>
              </w:rPr>
              <w:t>675.0</w:t>
            </w:r>
            <w:r>
              <w:rPr>
                <w:rFonts w:cs="Times New Roman"/>
                <w:color w:val="auto"/>
              </w:rPr>
              <w:t>m</w:t>
            </w:r>
            <w:r>
              <w:rPr>
                <w:rFonts w:cs="Times New Roman"/>
                <w:color w:val="auto"/>
                <w:vertAlign w:val="superscript"/>
              </w:rPr>
              <w:t>3</w:t>
            </w:r>
            <w:r>
              <w:rPr>
                <w:rFonts w:cs="Times New Roman"/>
                <w:color w:val="auto"/>
              </w:rPr>
              <w:t>/a），经园区化粪池预处理达标后排入市政管网，最终废水排入</w:t>
            </w:r>
            <w:r>
              <w:rPr>
                <w:rFonts w:hint="eastAsia" w:cs="Times New Roman"/>
                <w:color w:val="auto"/>
                <w:lang w:eastAsia="zh-CN"/>
              </w:rPr>
              <w:t>北京轻纺服装产业基地应急污水处理站</w:t>
            </w:r>
            <w:r>
              <w:rPr>
                <w:rFonts w:cs="Times New Roman"/>
                <w:color w:val="auto"/>
              </w:rPr>
              <w:t>。</w:t>
            </w:r>
          </w:p>
          <w:p w14:paraId="428300A1">
            <w:pPr>
              <w:ind w:firstLine="480"/>
              <w:rPr>
                <w:rFonts w:hint="default" w:cs="Times New Roman"/>
                <w:color w:val="auto"/>
                <w:lang w:val="en-US" w:eastAsia="zh-CN"/>
              </w:rPr>
            </w:pPr>
            <w:r>
              <w:rPr>
                <w:rFonts w:hint="eastAsia" w:cs="Times New Roman"/>
                <w:color w:val="auto"/>
                <w:lang w:val="en-US" w:eastAsia="zh-CN"/>
              </w:rPr>
              <w:t>b检测废水</w:t>
            </w:r>
          </w:p>
          <w:p w14:paraId="587F9298">
            <w:pPr>
              <w:ind w:firstLine="480"/>
              <w:rPr>
                <w:rFonts w:hint="eastAsia" w:cs="Times New Roman"/>
                <w:color w:val="auto"/>
                <w:lang w:val="en-US" w:eastAsia="zh-CN"/>
              </w:rPr>
            </w:pPr>
            <w:r>
              <w:rPr>
                <w:rFonts w:hint="eastAsia" w:cs="Times New Roman"/>
                <w:color w:val="auto"/>
                <w:lang w:val="en-US" w:eastAsia="zh-CN"/>
              </w:rPr>
              <w:t>热值燃烧废水：热值试验过程吸收苯甲酸燃烧废气的纯化水作危险废物收集后定期委托资质单位处理，不外排。</w:t>
            </w:r>
          </w:p>
          <w:p w14:paraId="5535F235">
            <w:pPr>
              <w:ind w:firstLine="480"/>
              <w:rPr>
                <w:rFonts w:hint="default" w:cs="Times New Roman"/>
                <w:color w:val="auto"/>
                <w:lang w:val="en-US" w:eastAsia="zh-CN"/>
              </w:rPr>
            </w:pPr>
            <w:r>
              <w:rPr>
                <w:rFonts w:hint="eastAsia" w:cs="Times New Roman"/>
                <w:color w:val="auto"/>
                <w:lang w:val="en-US" w:eastAsia="zh-CN"/>
              </w:rPr>
              <w:t>器皿清洗废水：本项目器皿清洗过程共5遍，均采用自来水。前两遍清洗由于含有较高浓度的各类化学试剂，作为危险废物处理，产生量约为0.003m</w:t>
            </w:r>
            <w:r>
              <w:rPr>
                <w:rFonts w:hint="eastAsia" w:cs="Times New Roman"/>
                <w:color w:val="auto"/>
                <w:vertAlign w:val="superscript"/>
                <w:lang w:val="en-US" w:eastAsia="zh-CN"/>
              </w:rPr>
              <w:t>3</w:t>
            </w:r>
            <w:r>
              <w:rPr>
                <w:rFonts w:hint="eastAsia" w:cs="Times New Roman"/>
                <w:color w:val="auto"/>
                <w:lang w:val="en-US" w:eastAsia="zh-CN"/>
              </w:rPr>
              <w:t>/d（0.75m</w:t>
            </w:r>
            <w:r>
              <w:rPr>
                <w:rFonts w:hint="eastAsia" w:cs="Times New Roman"/>
                <w:color w:val="auto"/>
                <w:vertAlign w:val="superscript"/>
                <w:lang w:val="en-US" w:eastAsia="zh-CN"/>
              </w:rPr>
              <w:t>3</w:t>
            </w:r>
            <w:r>
              <w:rPr>
                <w:rFonts w:hint="eastAsia" w:cs="Times New Roman"/>
                <w:color w:val="auto"/>
                <w:lang w:val="en-US" w:eastAsia="zh-CN"/>
              </w:rPr>
              <w:t>/a）。第3~5遍清洗水较清洁，废水量按照用水量的90%计，即0.045m</w:t>
            </w:r>
            <w:r>
              <w:rPr>
                <w:rFonts w:hint="eastAsia" w:cs="Times New Roman"/>
                <w:color w:val="auto"/>
                <w:vertAlign w:val="superscript"/>
                <w:lang w:val="en-US" w:eastAsia="zh-CN"/>
              </w:rPr>
              <w:t>3</w:t>
            </w:r>
            <w:r>
              <w:rPr>
                <w:rFonts w:hint="eastAsia" w:cs="Times New Roman"/>
                <w:color w:val="auto"/>
                <w:lang w:val="en-US" w:eastAsia="zh-CN"/>
              </w:rPr>
              <w:t>/d（11.25m</w:t>
            </w:r>
            <w:r>
              <w:rPr>
                <w:rFonts w:hint="eastAsia" w:cs="Times New Roman"/>
                <w:color w:val="auto"/>
                <w:vertAlign w:val="superscript"/>
                <w:lang w:val="en-US" w:eastAsia="zh-CN"/>
              </w:rPr>
              <w:t>3</w:t>
            </w:r>
            <w:r>
              <w:rPr>
                <w:rFonts w:hint="eastAsia" w:cs="Times New Roman"/>
                <w:color w:val="auto"/>
                <w:lang w:val="en-US" w:eastAsia="zh-CN"/>
              </w:rPr>
              <w:t>/a）。</w:t>
            </w:r>
          </w:p>
          <w:p w14:paraId="76954B47">
            <w:pPr>
              <w:ind w:firstLine="480"/>
              <w:rPr>
                <w:rFonts w:cs="Times New Roman"/>
                <w:color w:val="auto"/>
              </w:rPr>
            </w:pPr>
            <w:r>
              <w:rPr>
                <w:rFonts w:hint="eastAsia" w:cs="Times New Roman"/>
                <w:color w:val="auto"/>
                <w:lang w:val="en-US" w:eastAsia="zh-CN"/>
              </w:rPr>
              <w:t>2</w:t>
            </w:r>
            <w:r>
              <w:rPr>
                <w:rFonts w:cs="Times New Roman"/>
                <w:color w:val="auto"/>
              </w:rPr>
              <w:t>）供电</w:t>
            </w:r>
          </w:p>
          <w:p w14:paraId="6921A64C">
            <w:pPr>
              <w:ind w:firstLine="480"/>
              <w:rPr>
                <w:rFonts w:cs="Times New Roman"/>
                <w:color w:val="auto"/>
              </w:rPr>
            </w:pPr>
            <w:r>
              <w:rPr>
                <w:rFonts w:cs="Times New Roman"/>
                <w:color w:val="auto"/>
              </w:rPr>
              <w:t>本项目用电由市政供电管网提供，用电量约</w:t>
            </w:r>
            <w:r>
              <w:rPr>
                <w:rFonts w:hint="eastAsia" w:cs="Times New Roman"/>
                <w:color w:val="auto"/>
                <w:lang w:val="en-US" w:eastAsia="zh-CN"/>
              </w:rPr>
              <w:t>8</w:t>
            </w:r>
            <w:r>
              <w:rPr>
                <w:rFonts w:cs="Times New Roman"/>
                <w:color w:val="auto"/>
              </w:rPr>
              <w:t>万k</w:t>
            </w:r>
            <w:r>
              <w:rPr>
                <w:rFonts w:hint="eastAsia" w:cs="Times New Roman"/>
                <w:color w:val="auto"/>
                <w:lang w:val="en-US" w:eastAsia="zh-CN"/>
              </w:rPr>
              <w:t>W</w:t>
            </w:r>
            <w:r>
              <w:rPr>
                <w:rFonts w:cs="Times New Roman"/>
                <w:color w:val="auto"/>
              </w:rPr>
              <w:t>·h/a。</w:t>
            </w:r>
          </w:p>
          <w:p w14:paraId="17349F90">
            <w:pPr>
              <w:ind w:firstLine="480"/>
              <w:rPr>
                <w:rFonts w:cs="Times New Roman"/>
                <w:color w:val="auto"/>
              </w:rPr>
            </w:pPr>
            <w:r>
              <w:rPr>
                <w:rFonts w:hint="eastAsia" w:cs="Times New Roman"/>
                <w:color w:val="auto"/>
                <w:lang w:val="en-US" w:eastAsia="zh-CN"/>
              </w:rPr>
              <w:t>3</w:t>
            </w:r>
            <w:r>
              <w:rPr>
                <w:rFonts w:cs="Times New Roman"/>
                <w:color w:val="auto"/>
              </w:rPr>
              <w:t>）供热、制冷</w:t>
            </w:r>
          </w:p>
          <w:p w14:paraId="5DD440CF">
            <w:pPr>
              <w:ind w:firstLine="480"/>
              <w:rPr>
                <w:rFonts w:cs="Times New Roman"/>
                <w:color w:val="auto"/>
              </w:rPr>
            </w:pPr>
            <w:r>
              <w:rPr>
                <w:rFonts w:cs="Times New Roman"/>
                <w:color w:val="auto"/>
              </w:rPr>
              <w:t>本项目冬季供暖由市政集中供暖，夏季制冷采用空调。</w:t>
            </w:r>
          </w:p>
        </w:tc>
      </w:tr>
      <w:tr w14:paraId="26DE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1E6BA5FC">
            <w:pPr>
              <w:spacing w:line="240" w:lineRule="auto"/>
              <w:ind w:firstLine="0" w:firstLineChars="0"/>
              <w:jc w:val="center"/>
              <w:rPr>
                <w:rFonts w:cs="Times New Roman"/>
                <w:color w:val="auto"/>
              </w:rPr>
            </w:pPr>
            <w:r>
              <w:rPr>
                <w:rFonts w:cs="Times New Roman"/>
                <w:color w:val="auto"/>
              </w:rPr>
              <w:t>工艺流程和产排污环节</w:t>
            </w:r>
          </w:p>
        </w:tc>
        <w:tc>
          <w:tcPr>
            <w:tcW w:w="8239" w:type="dxa"/>
            <w:vAlign w:val="center"/>
          </w:tcPr>
          <w:p w14:paraId="3E2C51E9">
            <w:pPr>
              <w:ind w:firstLine="482"/>
              <w:rPr>
                <w:rFonts w:cs="Times New Roman"/>
                <w:color w:val="auto"/>
              </w:rPr>
            </w:pPr>
            <w:r>
              <w:rPr>
                <w:rFonts w:cs="Times New Roman"/>
                <w:b/>
                <w:bCs/>
                <w:color w:val="auto"/>
              </w:rPr>
              <w:t>1、施工期</w:t>
            </w:r>
          </w:p>
          <w:p w14:paraId="1AC52360">
            <w:pPr>
              <w:ind w:firstLine="480"/>
              <w:rPr>
                <w:rFonts w:cs="Times New Roman"/>
                <w:color w:val="auto"/>
              </w:rPr>
            </w:pPr>
            <w:r>
              <w:rPr>
                <w:rFonts w:cs="Times New Roman"/>
                <w:color w:val="auto"/>
              </w:rPr>
              <w:t>本项目租用已建成房屋从事生产经营活动，施工期主要对建筑物室内进行装修及设备的安装等，主要污染物为扬尘、噪声、施工人员生活废水和建筑垃圾等。</w:t>
            </w:r>
          </w:p>
          <w:p w14:paraId="450B6D5D">
            <w:pPr>
              <w:numPr>
                <w:ilvl w:val="0"/>
                <w:numId w:val="2"/>
              </w:numPr>
              <w:ind w:firstLine="482"/>
              <w:rPr>
                <w:rFonts w:cs="Times New Roman"/>
                <w:b/>
                <w:bCs/>
                <w:color w:val="auto"/>
              </w:rPr>
            </w:pPr>
            <w:r>
              <w:rPr>
                <w:rFonts w:cs="Times New Roman"/>
                <w:b/>
                <w:bCs/>
                <w:color w:val="auto"/>
              </w:rPr>
              <w:t>运营期</w:t>
            </w:r>
          </w:p>
          <w:p w14:paraId="093E92C1">
            <w:pPr>
              <w:ind w:firstLine="480"/>
              <w:rPr>
                <w:rFonts w:hint="default" w:eastAsia="宋体" w:cs="Times New Roman"/>
                <w:color w:val="auto"/>
                <w:lang w:val="en-US" w:eastAsia="zh-CN"/>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w:t>
            </w:r>
            <w:r>
              <w:rPr>
                <w:rFonts w:hint="eastAsia" w:cs="Times New Roman"/>
                <w:b/>
                <w:bCs/>
                <w:color w:val="auto"/>
                <w:lang w:val="en-US" w:eastAsia="zh-CN"/>
              </w:rPr>
              <w:t>燃烧性试验</w:t>
            </w:r>
          </w:p>
          <w:p w14:paraId="180F350A">
            <w:pPr>
              <w:ind w:firstLine="480"/>
              <w:rPr>
                <w:rFonts w:hint="eastAsia" w:cs="Times New Roman"/>
                <w:color w:val="auto"/>
              </w:rPr>
            </w:pPr>
            <w:r>
              <w:rPr>
                <w:rFonts w:hint="eastAsia" w:cs="Times New Roman"/>
                <w:color w:val="auto"/>
              </w:rPr>
              <w:t>收到委托样品后按照试验标准要求加工成不同尺寸的待检样品，然后在养护间按照标准条件对待检样品养护至规定要求，在不同试验装置内进行各项目试验，试验结束后整理数据、出具报告，试验残留样品放置一定时间后委托协议单位处置，工艺流程和产污环节如下图。</w:t>
            </w:r>
          </w:p>
          <w:p w14:paraId="79E8AE3E">
            <w:pPr>
              <w:ind w:firstLine="0" w:firstLineChars="0"/>
              <w:jc w:val="center"/>
              <w:rPr>
                <w:rFonts w:cs="Times New Roman"/>
                <w:color w:val="auto"/>
              </w:rPr>
            </w:pPr>
            <w:r>
              <w:rPr>
                <w:rFonts w:cs="Times New Roman"/>
                <w:color w:val="auto"/>
              </w:rPr>
              <w:drawing>
                <wp:inline distT="0" distB="0" distL="114300" distR="114300">
                  <wp:extent cx="3060065" cy="2228215"/>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9"/>
                          <a:stretch>
                            <a:fillRect/>
                          </a:stretch>
                        </pic:blipFill>
                        <pic:spPr>
                          <a:xfrm>
                            <a:off x="0" y="0"/>
                            <a:ext cx="3060065" cy="2228215"/>
                          </a:xfrm>
                          <a:prstGeom prst="rect">
                            <a:avLst/>
                          </a:prstGeom>
                        </pic:spPr>
                      </pic:pic>
                    </a:graphicData>
                  </a:graphic>
                </wp:inline>
              </w:drawing>
            </w:r>
          </w:p>
          <w:p w14:paraId="3FCBCD71">
            <w:pPr>
              <w:pStyle w:val="24"/>
              <w:rPr>
                <w:color w:val="auto"/>
              </w:rPr>
            </w:pPr>
            <w:r>
              <w:rPr>
                <w:rFonts w:hint="eastAsia"/>
                <w:color w:val="auto"/>
              </w:rPr>
              <w:t>图2-</w:t>
            </w:r>
            <w:r>
              <w:rPr>
                <w:rFonts w:hint="eastAsia"/>
                <w:color w:val="auto"/>
                <w:lang w:val="en-US" w:eastAsia="zh-CN"/>
              </w:rPr>
              <w:t>2</w:t>
            </w:r>
            <w:r>
              <w:rPr>
                <w:rFonts w:hint="eastAsia"/>
                <w:color w:val="auto"/>
              </w:rPr>
              <w:t xml:space="preserve"> 工艺流程和产污环节图</w:t>
            </w:r>
          </w:p>
          <w:p w14:paraId="58748D6F">
            <w:pPr>
              <w:numPr>
                <w:ilvl w:val="0"/>
                <w:numId w:val="0"/>
              </w:numPr>
              <w:ind w:firstLine="482" w:firstLineChars="200"/>
              <w:rPr>
                <w:rFonts w:hint="eastAsia" w:cs="Times New Roman"/>
                <w:b/>
                <w:bCs/>
                <w:color w:val="auto"/>
              </w:rPr>
            </w:pPr>
            <w:r>
              <w:rPr>
                <w:rFonts w:hint="eastAsia" w:ascii="Times New Roman" w:hAnsi="Times New Roman" w:eastAsia="宋体" w:cs="Times New Roman"/>
                <w:b/>
                <w:bCs/>
                <w:color w:val="auto"/>
                <w:kern w:val="2"/>
                <w:sz w:val="24"/>
                <w:szCs w:val="24"/>
                <w:lang w:val="en-US" w:eastAsia="zh-CN" w:bidi="ar-SA"/>
              </w:rPr>
              <w:t>1）</w:t>
            </w:r>
            <w:r>
              <w:rPr>
                <w:rFonts w:cs="Times New Roman"/>
                <w:b/>
                <w:bCs/>
                <w:color w:val="auto"/>
              </w:rPr>
              <w:t>难燃性</w:t>
            </w:r>
            <w:r>
              <w:rPr>
                <w:rFonts w:hint="eastAsia" w:cs="Times New Roman"/>
                <w:b/>
                <w:bCs/>
                <w:color w:val="auto"/>
              </w:rPr>
              <w:t>试验</w:t>
            </w:r>
          </w:p>
          <w:p w14:paraId="7554D8A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eastAsia="宋体" w:cs="Times New Roman"/>
                <w:b/>
                <w:bCs/>
                <w:color w:val="auto"/>
                <w:lang w:val="en-US" w:eastAsia="zh-CN"/>
              </w:rPr>
            </w:pPr>
            <w:r>
              <w:rPr>
                <w:rFonts w:hint="eastAsia" w:cs="Times New Roman"/>
                <w:color w:val="auto"/>
                <w:lang w:val="en-US" w:eastAsia="zh-CN"/>
              </w:rPr>
              <w:t>该试验使用建筑材料难燃性实验炉，样品类别为聚氨酯复合保温板、防火涂料。</w:t>
            </w:r>
          </w:p>
          <w:p w14:paraId="2AB55AE1">
            <w:pPr>
              <w:ind w:firstLine="480"/>
              <w:rPr>
                <w:rFonts w:cs="Times New Roman"/>
                <w:color w:val="auto"/>
              </w:rPr>
            </w:pPr>
            <w:r>
              <w:rPr>
                <w:rFonts w:cs="Times New Roman"/>
                <w:color w:val="auto"/>
              </w:rPr>
              <w:t>①样品成型：用钢锯将样品成型为1000mm*190mm的试样12块。</w:t>
            </w:r>
          </w:p>
          <w:p w14:paraId="7AF9AAE9">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rPr>
              <w:t>、成型切割废气G1</w:t>
            </w:r>
            <w:r>
              <w:rPr>
                <w:rFonts w:hint="eastAsia" w:cs="Times New Roman"/>
                <w:b/>
                <w:bCs/>
                <w:color w:val="auto"/>
                <w:lang w:eastAsia="zh-CN"/>
              </w:rPr>
              <w:t>（</w:t>
            </w:r>
            <w:r>
              <w:rPr>
                <w:rFonts w:hint="eastAsia" w:cs="Times New Roman"/>
                <w:b/>
                <w:bCs/>
                <w:color w:val="auto"/>
                <w:lang w:val="en-US" w:eastAsia="zh-CN"/>
              </w:rPr>
              <w:t>颗粒物</w:t>
            </w:r>
            <w:r>
              <w:rPr>
                <w:rFonts w:hint="eastAsia" w:cs="Times New Roman"/>
                <w:b/>
                <w:bCs/>
                <w:color w:val="auto"/>
                <w:lang w:eastAsia="zh-CN"/>
              </w:rPr>
              <w:t>）</w:t>
            </w:r>
            <w:r>
              <w:rPr>
                <w:rFonts w:cs="Times New Roman"/>
                <w:b/>
                <w:bCs/>
                <w:color w:val="auto"/>
              </w:rPr>
              <w:t>。</w:t>
            </w:r>
          </w:p>
          <w:p w14:paraId="4FD8DA96">
            <w:pPr>
              <w:ind w:firstLine="480"/>
              <w:rPr>
                <w:rFonts w:cs="Times New Roman"/>
                <w:color w:val="auto"/>
              </w:rPr>
            </w:pPr>
            <w:r>
              <w:rPr>
                <w:rFonts w:cs="Times New Roman"/>
                <w:color w:val="auto"/>
              </w:rPr>
              <w:t>②样品养护：将成型好的样品放入室温23±2℃，湿度50±5%的养护间内养护不少于48h至恒重，如果通过称量不能达到恒重状态，在实验前应在上述温湿度条件下存放28d。</w:t>
            </w:r>
          </w:p>
          <w:p w14:paraId="3BC899A5">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4块经养护好的试样垂直固定在试件支架上，组成垂直方形烟道，开启风机，保持炉内压力为(-15±10)Pa，将试件放入燃烧室内规定位置，关闭炉门，点燃燃烧器，同时按动计时器按钮，开始实验。燃烧器所用的燃气为甲烷和空气的混合气，实验时间为10min，当试件上的可见燃烧已结束或5支热电偶所测得的平均烟气温度最大值超过200℃时，实验结束。每组样品相同条件平行性实验3次。</w:t>
            </w:r>
          </w:p>
          <w:p w14:paraId="4D7DFB9E">
            <w:pPr>
              <w:ind w:left="0" w:leftChars="0" w:firstLine="482" w:firstLineChars="200"/>
              <w:rPr>
                <w:rFonts w:hint="eastAsia" w:cs="Times New Roman"/>
                <w:b/>
                <w:bCs/>
                <w:color w:val="auto"/>
              </w:rPr>
            </w:pPr>
            <w:r>
              <w:rPr>
                <w:rFonts w:cs="Times New Roman"/>
                <w:b/>
                <w:bCs/>
                <w:color w:val="auto"/>
              </w:rPr>
              <w:t>该过程会产生固体废物实验残留样品S2、燃烧废气G</w:t>
            </w:r>
            <w:r>
              <w:rPr>
                <w:rFonts w:hint="eastAsia" w:cs="Times New Roman"/>
                <w:b/>
                <w:bCs/>
                <w:color w:val="auto"/>
              </w:rPr>
              <w:t>2</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hint="eastAsia" w:cs="Times New Roman"/>
                <w:b/>
                <w:bCs/>
                <w:color w:val="auto"/>
              </w:rPr>
              <w:t>非甲烷总烃</w:t>
            </w:r>
            <w:r>
              <w:rPr>
                <w:rFonts w:hint="eastAsia" w:cs="Times New Roman"/>
                <w:b/>
                <w:bCs/>
                <w:color w:val="auto"/>
                <w:lang w:eastAsia="zh-CN"/>
              </w:rPr>
              <w:t>、</w:t>
            </w:r>
            <w:r>
              <w:rPr>
                <w:rFonts w:hint="eastAsia" w:cs="Times New Roman"/>
                <w:b/>
                <w:bCs/>
                <w:color w:val="auto"/>
              </w:rPr>
              <w:t>氯化氢</w:t>
            </w:r>
            <w:r>
              <w:rPr>
                <w:rFonts w:hint="eastAsia" w:cs="Times New Roman"/>
                <w:b/>
                <w:bCs/>
                <w:color w:val="auto"/>
                <w:lang w:eastAsia="zh-CN"/>
              </w:rPr>
              <w:t>、</w:t>
            </w:r>
            <w:r>
              <w:rPr>
                <w:rFonts w:hint="eastAsia" w:cs="Times New Roman"/>
                <w:b/>
                <w:bCs/>
                <w:color w:val="auto"/>
                <w:lang w:val="en-US" w:eastAsia="zh-CN"/>
              </w:rPr>
              <w:t>一氧化碳</w:t>
            </w:r>
            <w:r>
              <w:rPr>
                <w:rFonts w:hint="eastAsia" w:cs="Times New Roman"/>
                <w:b/>
                <w:bCs/>
                <w:color w:val="auto"/>
                <w:lang w:eastAsia="zh-CN"/>
              </w:rPr>
              <w:t>）</w:t>
            </w:r>
            <w:r>
              <w:rPr>
                <w:rFonts w:hint="eastAsia" w:cs="Times New Roman"/>
                <w:b/>
                <w:bCs/>
                <w:color w:val="auto"/>
              </w:rPr>
              <w:t>。</w:t>
            </w:r>
          </w:p>
          <w:p w14:paraId="0DCD50C1">
            <w:pPr>
              <w:ind w:firstLine="480"/>
              <w:rPr>
                <w:rFonts w:cs="Times New Roman"/>
                <w:color w:val="auto"/>
              </w:rPr>
            </w:pPr>
            <w:r>
              <w:rPr>
                <w:rFonts w:cs="Times New Roman"/>
                <w:color w:val="auto"/>
              </w:rPr>
              <w:t>④出具报告：数据整理、出具报告，样品留样至少72h后委托专业处置单位收集处置。</w:t>
            </w:r>
          </w:p>
          <w:p w14:paraId="403798A0">
            <w:pPr>
              <w:ind w:firstLine="482"/>
              <w:rPr>
                <w:rFonts w:cs="Times New Roman"/>
                <w:b/>
                <w:bCs/>
                <w:color w:val="auto"/>
              </w:rPr>
            </w:pPr>
            <w:r>
              <w:rPr>
                <w:rFonts w:hint="eastAsia" w:cs="Times New Roman"/>
                <w:b/>
                <w:bCs/>
                <w:color w:val="auto"/>
                <w:lang w:val="en-US" w:eastAsia="zh-CN"/>
              </w:rPr>
              <w:t>2</w:t>
            </w:r>
            <w:r>
              <w:rPr>
                <w:rFonts w:hint="eastAsia" w:cs="Times New Roman"/>
                <w:b/>
                <w:bCs/>
                <w:color w:val="auto"/>
              </w:rPr>
              <w:t>）单体燃烧试验</w:t>
            </w:r>
          </w:p>
          <w:p w14:paraId="49F40E70">
            <w:pPr>
              <w:ind w:firstLine="480"/>
              <w:rPr>
                <w:rFonts w:cs="Times New Roman"/>
                <w:color w:val="auto"/>
              </w:rPr>
            </w:pPr>
            <w:r>
              <w:rPr>
                <w:rFonts w:hint="eastAsia" w:cs="Times New Roman"/>
                <w:color w:val="auto"/>
                <w:lang w:val="en-US" w:eastAsia="zh-CN"/>
              </w:rPr>
              <w:t>该试验使用单体燃烧试验装置，样品类别为挤塑聚苯板、模塑聚苯板、纸面石膏板、壁纸、壁布、橡塑、聚氨酯、矿棉吸音板、卷材地板。</w:t>
            </w:r>
          </w:p>
          <w:p w14:paraId="02D1F6F5">
            <w:pPr>
              <w:ind w:firstLine="480"/>
              <w:rPr>
                <w:rFonts w:cs="Times New Roman"/>
                <w:color w:val="auto"/>
              </w:rPr>
            </w:pPr>
            <w:r>
              <w:rPr>
                <w:rFonts w:cs="Times New Roman"/>
                <w:color w:val="auto"/>
              </w:rPr>
              <w:t>①样品成型：用钢锯将样品成型为1500mm*1000mm和1500mm*500mm的试样各3块。</w:t>
            </w:r>
          </w:p>
          <w:p w14:paraId="2A48E443">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lang w:eastAsia="zh-CN"/>
              </w:rPr>
              <w:t>、</w:t>
            </w:r>
            <w:r>
              <w:rPr>
                <w:rFonts w:hint="eastAsia" w:cs="Times New Roman"/>
                <w:b/>
                <w:bCs/>
                <w:color w:val="auto"/>
              </w:rPr>
              <w:t>成型切割废气G1</w:t>
            </w:r>
            <w:r>
              <w:rPr>
                <w:rFonts w:hint="eastAsia" w:cs="Times New Roman"/>
                <w:b/>
                <w:bCs/>
                <w:color w:val="auto"/>
                <w:lang w:eastAsia="zh-CN"/>
              </w:rPr>
              <w:t>（</w:t>
            </w:r>
            <w:r>
              <w:rPr>
                <w:rFonts w:hint="eastAsia" w:cs="Times New Roman"/>
                <w:b/>
                <w:bCs/>
                <w:color w:val="auto"/>
                <w:lang w:val="en-US" w:eastAsia="zh-CN"/>
              </w:rPr>
              <w:t>颗粒物</w:t>
            </w:r>
            <w:r>
              <w:rPr>
                <w:rFonts w:hint="eastAsia" w:cs="Times New Roman"/>
                <w:b/>
                <w:bCs/>
                <w:color w:val="auto"/>
                <w:lang w:eastAsia="zh-CN"/>
              </w:rPr>
              <w:t>）</w:t>
            </w:r>
            <w:r>
              <w:rPr>
                <w:rFonts w:cs="Times New Roman"/>
                <w:b/>
                <w:bCs/>
                <w:color w:val="auto"/>
              </w:rPr>
              <w:t>。</w:t>
            </w:r>
          </w:p>
          <w:p w14:paraId="14ED75EC">
            <w:pPr>
              <w:ind w:firstLine="480"/>
              <w:rPr>
                <w:rFonts w:cs="Times New Roman"/>
                <w:color w:val="auto"/>
              </w:rPr>
            </w:pPr>
            <w:r>
              <w:rPr>
                <w:rFonts w:cs="Times New Roman"/>
                <w:color w:val="auto"/>
              </w:rPr>
              <w:t>②样品养护：将成型好的样品放入室温23±2℃，湿度50±5%的养护间内养护不少于48h至恒重。</w:t>
            </w:r>
          </w:p>
          <w:p w14:paraId="656403CF">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：将样品悬挂于燃烧装置内，开启风机，设定排烟管道流速为(0.60±0.05)m³/s，记录排烟管道中热电偶温度，开启计时器，分别按时间节点点燃辅助燃烧器和主燃烧器，观察试样的燃烧行为并在记录单上记录数据。</w:t>
            </w:r>
          </w:p>
          <w:p w14:paraId="2E0A2099">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3</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hint="eastAsia" w:cs="Times New Roman"/>
                <w:b/>
                <w:bCs/>
                <w:color w:val="auto"/>
              </w:rPr>
              <w:t>非甲烷总烃</w:t>
            </w:r>
            <w:r>
              <w:rPr>
                <w:rFonts w:hint="eastAsia" w:cs="Times New Roman"/>
                <w:b/>
                <w:bCs/>
                <w:color w:val="auto"/>
                <w:lang w:eastAsia="zh-CN"/>
              </w:rPr>
              <w:t>、</w:t>
            </w:r>
            <w:r>
              <w:rPr>
                <w:rFonts w:hint="eastAsia" w:cs="Times New Roman"/>
                <w:b/>
                <w:bCs/>
                <w:color w:val="auto"/>
              </w:rPr>
              <w:t>氯化氢</w:t>
            </w:r>
            <w:r>
              <w:rPr>
                <w:rFonts w:hint="eastAsia" w:cs="Times New Roman"/>
                <w:b/>
                <w:bCs/>
                <w:color w:val="auto"/>
                <w:lang w:eastAsia="zh-CN"/>
              </w:rPr>
              <w:t>、</w:t>
            </w:r>
            <w:r>
              <w:rPr>
                <w:rFonts w:hint="eastAsia" w:cs="Times New Roman"/>
                <w:b/>
                <w:bCs/>
                <w:color w:val="auto"/>
                <w:lang w:val="en-US" w:eastAsia="zh-CN"/>
              </w:rPr>
              <w:t>一氧化碳</w:t>
            </w:r>
            <w:r>
              <w:rPr>
                <w:rFonts w:hint="eastAsia" w:cs="Times New Roman"/>
                <w:b/>
                <w:bCs/>
                <w:color w:val="auto"/>
                <w:lang w:eastAsia="zh-CN"/>
              </w:rPr>
              <w:t>）</w:t>
            </w:r>
            <w:r>
              <w:rPr>
                <w:rFonts w:cs="Times New Roman"/>
                <w:b/>
                <w:bCs/>
                <w:color w:val="auto"/>
              </w:rPr>
              <w:t>。</w:t>
            </w:r>
          </w:p>
          <w:p w14:paraId="05EB390B">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数据整理、出具报告，样品留样至少72h后委托专业处置单位收集处置。</w:t>
            </w:r>
          </w:p>
          <w:p w14:paraId="6464063E">
            <w:pPr>
              <w:ind w:firstLine="482"/>
              <w:rPr>
                <w:rFonts w:cs="Times New Roman"/>
                <w:b/>
                <w:bCs/>
                <w:color w:val="auto"/>
              </w:rPr>
            </w:pPr>
            <w:r>
              <w:rPr>
                <w:rFonts w:hint="eastAsia" w:cs="Times New Roman"/>
                <w:b/>
                <w:bCs/>
                <w:color w:val="auto"/>
                <w:lang w:val="en-US" w:eastAsia="zh-CN"/>
              </w:rPr>
              <w:t>3</w:t>
            </w:r>
            <w:r>
              <w:rPr>
                <w:rFonts w:hint="eastAsia" w:cs="Times New Roman"/>
                <w:b/>
                <w:bCs/>
                <w:color w:val="auto"/>
              </w:rPr>
              <w:t>）可燃性试验</w:t>
            </w:r>
          </w:p>
          <w:p w14:paraId="0BD63A6F">
            <w:pPr>
              <w:ind w:firstLine="480"/>
              <w:rPr>
                <w:rFonts w:cs="Times New Roman"/>
                <w:color w:val="auto"/>
              </w:rPr>
            </w:pPr>
            <w:r>
              <w:rPr>
                <w:rFonts w:hint="eastAsia" w:cs="Times New Roman"/>
                <w:color w:val="auto"/>
                <w:lang w:val="en-US" w:eastAsia="zh-CN"/>
              </w:rPr>
              <w:t>该试验使用建筑材料可燃性试验机，样品类别为挤塑聚苯板、模塑聚苯板、纸面石膏板、壁纸、壁布、橡塑、聚氨酯、矿棉吸音板、卷材地板。</w:t>
            </w:r>
          </w:p>
          <w:p w14:paraId="7395A111">
            <w:pPr>
              <w:ind w:firstLine="480"/>
              <w:rPr>
                <w:rFonts w:cs="Times New Roman"/>
                <w:color w:val="auto"/>
              </w:rPr>
            </w:pPr>
            <w:r>
              <w:rPr>
                <w:rFonts w:cs="Times New Roman"/>
                <w:color w:val="auto"/>
              </w:rPr>
              <w:t>①样品成型：将样品用钢锯</w:t>
            </w:r>
            <w:r>
              <w:rPr>
                <w:rFonts w:hint="eastAsia" w:cs="Times New Roman"/>
                <w:color w:val="auto"/>
              </w:rPr>
              <w:t>或线切割</w:t>
            </w:r>
            <w:r>
              <w:rPr>
                <w:rFonts w:cs="Times New Roman"/>
                <w:color w:val="auto"/>
              </w:rPr>
              <w:t>成型250mm*180mm或250mm*90mm的试样6块。</w:t>
            </w:r>
          </w:p>
          <w:p w14:paraId="4A9BF211">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rPr>
              <w:t>、成型切割废气G1</w:t>
            </w:r>
            <w:r>
              <w:rPr>
                <w:rFonts w:hint="eastAsia" w:cs="Times New Roman"/>
                <w:b/>
                <w:bCs/>
                <w:color w:val="auto"/>
                <w:lang w:eastAsia="zh-CN"/>
              </w:rPr>
              <w:t>（</w:t>
            </w:r>
            <w:r>
              <w:rPr>
                <w:rFonts w:hint="eastAsia" w:cs="Times New Roman"/>
                <w:b/>
                <w:bCs/>
                <w:color w:val="auto"/>
                <w:lang w:val="en-US" w:eastAsia="zh-CN"/>
              </w:rPr>
              <w:t>颗粒物</w:t>
            </w:r>
            <w:r>
              <w:rPr>
                <w:rFonts w:hint="eastAsia" w:cs="Times New Roman"/>
                <w:b/>
                <w:bCs/>
                <w:color w:val="auto"/>
                <w:lang w:eastAsia="zh-CN"/>
              </w:rPr>
              <w:t>）</w:t>
            </w:r>
            <w:r>
              <w:rPr>
                <w:rFonts w:cs="Times New Roman"/>
                <w:b/>
                <w:bCs/>
                <w:color w:val="auto"/>
              </w:rPr>
              <w:t>。</w:t>
            </w:r>
          </w:p>
          <w:p w14:paraId="014DDC84">
            <w:pPr>
              <w:ind w:firstLine="480"/>
              <w:rPr>
                <w:rFonts w:cs="Times New Roman"/>
                <w:color w:val="auto"/>
              </w:rPr>
            </w:pPr>
            <w:r>
              <w:rPr>
                <w:rFonts w:cs="Times New Roman"/>
                <w:color w:val="auto"/>
              </w:rPr>
              <w:t>②样品养护：将成型好的样品放入室温23±2℃，湿度50±5%的养护间内养护不少于48h。</w:t>
            </w:r>
          </w:p>
          <w:p w14:paraId="010AA0EF">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：将试样置于试样夹中，点燃燃烧器，受火端距离试样夹底端30 mm，将燃烧器角度调整至45°角，当火焰接触到试样时开始计时，记录规定时间内样品燃烧情况。</w:t>
            </w:r>
          </w:p>
          <w:p w14:paraId="3EA776CB">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4</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hint="eastAsia" w:cs="Times New Roman"/>
                <w:b/>
                <w:bCs/>
                <w:color w:val="auto"/>
              </w:rPr>
              <w:t>非甲烷总烃</w:t>
            </w:r>
            <w:r>
              <w:rPr>
                <w:rFonts w:hint="eastAsia" w:cs="Times New Roman"/>
                <w:b/>
                <w:bCs/>
                <w:color w:val="auto"/>
                <w:lang w:eastAsia="zh-CN"/>
              </w:rPr>
              <w:t>、</w:t>
            </w:r>
            <w:r>
              <w:rPr>
                <w:rFonts w:hint="eastAsia" w:cs="Times New Roman"/>
                <w:b/>
                <w:bCs/>
                <w:color w:val="auto"/>
              </w:rPr>
              <w:t>氯化氢</w:t>
            </w:r>
            <w:r>
              <w:rPr>
                <w:rFonts w:hint="eastAsia" w:cs="Times New Roman"/>
                <w:b/>
                <w:bCs/>
                <w:color w:val="auto"/>
                <w:lang w:eastAsia="zh-CN"/>
              </w:rPr>
              <w:t>、</w:t>
            </w:r>
            <w:r>
              <w:rPr>
                <w:rFonts w:hint="eastAsia" w:cs="Times New Roman"/>
                <w:b/>
                <w:bCs/>
                <w:color w:val="auto"/>
                <w:lang w:val="en-US" w:eastAsia="zh-CN"/>
              </w:rPr>
              <w:t>一氧化碳</w:t>
            </w:r>
            <w:r>
              <w:rPr>
                <w:rFonts w:hint="eastAsia" w:cs="Times New Roman"/>
                <w:b/>
                <w:bCs/>
                <w:color w:val="auto"/>
                <w:lang w:eastAsia="zh-CN"/>
              </w:rPr>
              <w:t>）</w:t>
            </w:r>
            <w:r>
              <w:rPr>
                <w:rFonts w:cs="Times New Roman"/>
                <w:b/>
                <w:bCs/>
                <w:color w:val="auto"/>
              </w:rPr>
              <w:t>。</w:t>
            </w:r>
          </w:p>
          <w:p w14:paraId="2CD685AC">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数据整理、出具报告，样品留样至少72h后委托专业处置单位收集处置。</w:t>
            </w:r>
          </w:p>
          <w:p w14:paraId="741BA1DB">
            <w:pPr>
              <w:ind w:firstLine="482"/>
              <w:rPr>
                <w:rFonts w:cs="Times New Roman"/>
                <w:b/>
                <w:bCs/>
                <w:color w:val="auto"/>
              </w:rPr>
            </w:pPr>
            <w:r>
              <w:rPr>
                <w:rFonts w:hint="eastAsia" w:cs="Times New Roman"/>
                <w:b/>
                <w:bCs/>
                <w:color w:val="auto"/>
                <w:lang w:val="en-US" w:eastAsia="zh-CN"/>
              </w:rPr>
              <w:t>4</w:t>
            </w:r>
            <w:r>
              <w:rPr>
                <w:rFonts w:hint="eastAsia" w:cs="Times New Roman"/>
                <w:b/>
                <w:bCs/>
                <w:color w:val="auto"/>
              </w:rPr>
              <w:t>）氧指数试验</w:t>
            </w:r>
          </w:p>
          <w:p w14:paraId="77A06CB0">
            <w:pPr>
              <w:ind w:firstLine="480"/>
              <w:rPr>
                <w:rFonts w:cs="Times New Roman"/>
                <w:color w:val="auto"/>
              </w:rPr>
            </w:pPr>
            <w:r>
              <w:rPr>
                <w:rFonts w:hint="eastAsia" w:cs="Times New Roman"/>
                <w:color w:val="auto"/>
                <w:lang w:val="en-US" w:eastAsia="zh-CN"/>
              </w:rPr>
              <w:t>该试验使用数字式氧指数测定仪，样品类别为挤塑聚苯板、模塑聚苯板、窗帘。</w:t>
            </w:r>
          </w:p>
          <w:p w14:paraId="385AEADA">
            <w:pPr>
              <w:ind w:firstLine="480"/>
              <w:rPr>
                <w:rFonts w:cs="Times New Roman"/>
                <w:color w:val="auto"/>
              </w:rPr>
            </w:pPr>
            <w:r>
              <w:rPr>
                <w:rFonts w:cs="Times New Roman"/>
                <w:color w:val="auto"/>
              </w:rPr>
              <w:t>①样品成型：将样品用钢锯</w:t>
            </w:r>
            <w:r>
              <w:rPr>
                <w:rFonts w:hint="eastAsia" w:cs="Times New Roman"/>
                <w:color w:val="auto"/>
              </w:rPr>
              <w:t>或线切割</w:t>
            </w:r>
            <w:r>
              <w:rPr>
                <w:rFonts w:cs="Times New Roman"/>
                <w:color w:val="auto"/>
              </w:rPr>
              <w:t>成型150mm*10mm*10mm的试样15根。</w:t>
            </w:r>
          </w:p>
          <w:p w14:paraId="7DB1F362">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rPr>
              <w:t>、成型切割废气G1</w:t>
            </w:r>
            <w:r>
              <w:rPr>
                <w:rFonts w:cs="Times New Roman"/>
                <w:b/>
                <w:bCs/>
                <w:color w:val="auto"/>
              </w:rPr>
              <w:t>。</w:t>
            </w:r>
          </w:p>
          <w:p w14:paraId="00AEE77D">
            <w:pPr>
              <w:ind w:firstLine="480"/>
              <w:rPr>
                <w:rFonts w:cs="Times New Roman"/>
                <w:color w:val="auto"/>
              </w:rPr>
            </w:pPr>
            <w:r>
              <w:rPr>
                <w:rFonts w:cs="Times New Roman"/>
                <w:color w:val="auto"/>
              </w:rPr>
              <w:t>②样品养护：将成型好的样品放入室温23±2℃，湿度50±5%的养护间内养护不少于88h。</w:t>
            </w:r>
          </w:p>
          <w:p w14:paraId="4CC6477B">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：将试样垂直安装在燃烧筒的中心位置，使用氮气、氧气混合调节氧浓度达到设定值，并以40±2mm/s的流速通过燃烧筒，点燃火焰，将火焰的最低</w:t>
            </w:r>
            <w:r>
              <w:rPr>
                <w:rFonts w:hint="eastAsia" w:cs="Times New Roman"/>
                <w:color w:val="auto"/>
                <w:lang w:val="en-US" w:eastAsia="zh-CN"/>
              </w:rPr>
              <w:t>部位</w:t>
            </w:r>
            <w:r>
              <w:rPr>
                <w:rFonts w:cs="Times New Roman"/>
                <w:color w:val="auto"/>
              </w:rPr>
              <w:t>施加于试样的顶面，施加火焰30s，每隔5s移开一次，移开时恰好有足够时间观察试样的整个顶面是否处于燃烧状态，整个试样顶面持续燃烧时，立即移开点火器，此时试样被点燃并开始记录燃烧时间和观察燃烧长度。</w:t>
            </w:r>
          </w:p>
          <w:p w14:paraId="00411657">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5</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hint="eastAsia" w:cs="Times New Roman"/>
                <w:b/>
                <w:bCs/>
                <w:color w:val="auto"/>
              </w:rPr>
              <w:t>非甲烷总烃</w:t>
            </w:r>
            <w:r>
              <w:rPr>
                <w:rFonts w:hint="eastAsia" w:cs="Times New Roman"/>
                <w:b/>
                <w:bCs/>
                <w:color w:val="auto"/>
                <w:lang w:eastAsia="zh-CN"/>
              </w:rPr>
              <w:t>、</w:t>
            </w:r>
            <w:r>
              <w:rPr>
                <w:rFonts w:hint="eastAsia" w:cs="Times New Roman"/>
                <w:b/>
                <w:bCs/>
                <w:color w:val="auto"/>
              </w:rPr>
              <w:t>氯化氢</w:t>
            </w:r>
            <w:r>
              <w:rPr>
                <w:rFonts w:hint="eastAsia" w:cs="Times New Roman"/>
                <w:b/>
                <w:bCs/>
                <w:color w:val="auto"/>
                <w:lang w:eastAsia="zh-CN"/>
              </w:rPr>
              <w:t>、</w:t>
            </w:r>
            <w:r>
              <w:rPr>
                <w:rFonts w:hint="eastAsia" w:cs="Times New Roman"/>
                <w:b/>
                <w:bCs/>
                <w:color w:val="auto"/>
                <w:lang w:val="en-US" w:eastAsia="zh-CN"/>
              </w:rPr>
              <w:t>一氧化碳</w:t>
            </w:r>
            <w:r>
              <w:rPr>
                <w:rFonts w:hint="eastAsia" w:cs="Times New Roman"/>
                <w:b/>
                <w:bCs/>
                <w:color w:val="auto"/>
                <w:lang w:eastAsia="zh-CN"/>
              </w:rPr>
              <w:t>）</w:t>
            </w:r>
            <w:r>
              <w:rPr>
                <w:rFonts w:cs="Times New Roman"/>
                <w:b/>
                <w:bCs/>
                <w:color w:val="auto"/>
              </w:rPr>
              <w:t>。</w:t>
            </w:r>
          </w:p>
          <w:p w14:paraId="1D577FD2">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数据整理、出具报告，样品留样至少72h后委托专业处置单位收集处置。</w:t>
            </w:r>
          </w:p>
          <w:p w14:paraId="6973E072">
            <w:pPr>
              <w:ind w:firstLine="482"/>
              <w:rPr>
                <w:rFonts w:cs="Times New Roman"/>
                <w:b/>
                <w:bCs/>
                <w:color w:val="auto"/>
              </w:rPr>
            </w:pPr>
            <w:r>
              <w:rPr>
                <w:rFonts w:hint="eastAsia" w:cs="Times New Roman"/>
                <w:b/>
                <w:bCs/>
                <w:color w:val="auto"/>
                <w:lang w:val="en-US" w:eastAsia="zh-CN"/>
              </w:rPr>
              <w:t>5</w:t>
            </w:r>
            <w:r>
              <w:rPr>
                <w:rFonts w:hint="eastAsia" w:cs="Times New Roman"/>
                <w:b/>
                <w:bCs/>
                <w:color w:val="auto"/>
              </w:rPr>
              <w:t>）热值试验</w:t>
            </w:r>
          </w:p>
          <w:p w14:paraId="63F50E3A">
            <w:pPr>
              <w:ind w:firstLine="480"/>
              <w:rPr>
                <w:rFonts w:cs="Times New Roman"/>
                <w:color w:val="auto"/>
              </w:rPr>
            </w:pPr>
            <w:r>
              <w:rPr>
                <w:rFonts w:hint="eastAsia" w:cs="Times New Roman"/>
                <w:color w:val="auto"/>
                <w:lang w:val="en-US" w:eastAsia="zh-CN"/>
              </w:rPr>
              <w:t>该试验使用建材制品燃烧热值试验装置与量热仪，样品类别为岩棉、玻璃棉、纸面石膏板、水泥板、硅酸钙板、无机纤维喷涂、保温砂浆、矿棉吸音板。</w:t>
            </w:r>
          </w:p>
          <w:p w14:paraId="5A93C5F1">
            <w:pPr>
              <w:ind w:firstLine="480"/>
              <w:rPr>
                <w:rFonts w:cs="Times New Roman"/>
                <w:color w:val="auto"/>
              </w:rPr>
            </w:pPr>
            <w:r>
              <w:rPr>
                <w:rFonts w:cs="Times New Roman"/>
                <w:color w:val="auto"/>
              </w:rPr>
              <w:t>①样品成型：将样品50g用破壁机粉碎至粉末状。</w:t>
            </w:r>
          </w:p>
          <w:p w14:paraId="63BE8312">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p>
          <w:p w14:paraId="3B7FBF81">
            <w:pPr>
              <w:ind w:firstLine="480"/>
              <w:rPr>
                <w:rFonts w:cs="Times New Roman"/>
                <w:color w:val="auto"/>
              </w:rPr>
            </w:pPr>
            <w:r>
              <w:rPr>
                <w:rFonts w:cs="Times New Roman"/>
                <w:color w:val="auto"/>
              </w:rPr>
              <w:t>②样品养护：将成型好的样品放入室温23±2℃，湿度50±5%的养护间内养护不少于48h至恒重。</w:t>
            </w:r>
          </w:p>
          <w:p w14:paraId="5E04CDE0">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养护好的样品放入氧弹的坩埚中，坩埚中加入0.5g苯甲酸，在氧弹中倒入10mL蒸馏水，给氧弹充氧压力到3.0~3.5MPa，将氧弹放入量热仪内筒，调节内筒水温，使其和外筒水温基本相同，记录内筒水温作为起始温度（Ti）。点燃样品，每隔一分钟记录一次内筒水温，直到10min内连续读数偏差不超过±0.01K，此时温度作为最高温度（Tm）。根据内筒水升温计算热值</w:t>
            </w:r>
            <w:r>
              <w:rPr>
                <w:rFonts w:hint="eastAsia" w:cs="Times New Roman"/>
                <w:color w:val="auto"/>
                <w:lang w:eastAsia="zh-CN"/>
              </w:rPr>
              <w:t>，</w:t>
            </w:r>
            <w:r>
              <w:rPr>
                <w:rFonts w:hint="eastAsia" w:cs="Times New Roman"/>
                <w:color w:val="auto"/>
                <w:lang w:val="en-US" w:eastAsia="zh-CN"/>
              </w:rPr>
              <w:t>试验结束混摇氧弹，纯化水与燃烧废气充分接触并吸收</w:t>
            </w:r>
            <w:r>
              <w:rPr>
                <w:rFonts w:cs="Times New Roman"/>
                <w:color w:val="auto"/>
              </w:rPr>
              <w:t>。</w:t>
            </w:r>
          </w:p>
          <w:p w14:paraId="7E59562F">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w:t>
            </w:r>
            <w:r>
              <w:rPr>
                <w:rFonts w:hint="eastAsia" w:cs="Times New Roman"/>
                <w:b/>
                <w:bCs/>
                <w:color w:val="auto"/>
                <w:lang w:val="en-US" w:eastAsia="zh-CN"/>
              </w:rPr>
              <w:t>检测废液S5</w:t>
            </w:r>
            <w:r>
              <w:rPr>
                <w:rFonts w:cs="Times New Roman"/>
                <w:b/>
                <w:bCs/>
                <w:color w:val="auto"/>
              </w:rPr>
              <w:t>。</w:t>
            </w:r>
          </w:p>
          <w:p w14:paraId="77096465">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结束实验、出具报告：取出氧弹放置10min后缓慢泄压，打开氧弹，出具报告，样品留样至少72h后委托专业处置单位收集处置。</w:t>
            </w:r>
          </w:p>
          <w:p w14:paraId="40A91DE8">
            <w:pPr>
              <w:ind w:firstLine="482"/>
              <w:rPr>
                <w:rFonts w:cs="Times New Roman"/>
                <w:b/>
                <w:bCs/>
                <w:color w:val="auto"/>
              </w:rPr>
            </w:pPr>
            <w:r>
              <w:rPr>
                <w:rFonts w:hint="eastAsia" w:cs="Times New Roman"/>
                <w:b/>
                <w:bCs/>
                <w:color w:val="auto"/>
                <w:lang w:val="en-US" w:eastAsia="zh-CN"/>
              </w:rPr>
              <w:t>6</w:t>
            </w:r>
            <w:r>
              <w:rPr>
                <w:rFonts w:hint="eastAsia" w:cs="Times New Roman"/>
                <w:b/>
                <w:bCs/>
                <w:color w:val="auto"/>
              </w:rPr>
              <w:t>）不燃性试验</w:t>
            </w:r>
          </w:p>
          <w:p w14:paraId="13F78E48">
            <w:pPr>
              <w:ind w:firstLine="480"/>
              <w:rPr>
                <w:rFonts w:cs="Times New Roman"/>
                <w:color w:val="auto"/>
              </w:rPr>
            </w:pPr>
            <w:r>
              <w:rPr>
                <w:rFonts w:hint="eastAsia" w:cs="Times New Roman"/>
                <w:color w:val="auto"/>
                <w:lang w:val="en-US" w:eastAsia="zh-CN"/>
              </w:rPr>
              <w:t>该试验使用建材不燃性试验炉，样品类别为岩棉、玻璃棉、纸面石膏板、水泥板、硅酸钙板、无机纤维喷涂、保温砂浆、矿棉吸音板。</w:t>
            </w:r>
          </w:p>
          <w:p w14:paraId="51B96367">
            <w:pPr>
              <w:ind w:firstLine="480"/>
              <w:rPr>
                <w:rFonts w:cs="Times New Roman"/>
                <w:color w:val="auto"/>
              </w:rPr>
            </w:pPr>
            <w:r>
              <w:rPr>
                <w:rFonts w:cs="Times New Roman"/>
                <w:color w:val="auto"/>
              </w:rPr>
              <w:t>①样品成型：用钻筒成型试样为直径45mm，高度（50±3）mm的圆柱形的试样5块，实验前称量每块试样的质量。</w:t>
            </w:r>
          </w:p>
          <w:p w14:paraId="6FA909F9">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lang w:eastAsia="zh-CN"/>
              </w:rPr>
              <w:t>、</w:t>
            </w:r>
            <w:r>
              <w:rPr>
                <w:rFonts w:hint="eastAsia" w:cs="Times New Roman"/>
                <w:b/>
                <w:bCs/>
                <w:color w:val="auto"/>
              </w:rPr>
              <w:t>成型切割废气G1</w:t>
            </w:r>
            <w:r>
              <w:rPr>
                <w:rFonts w:hint="eastAsia" w:cs="Times New Roman"/>
                <w:b/>
                <w:bCs/>
                <w:color w:val="auto"/>
                <w:lang w:eastAsia="zh-CN"/>
              </w:rPr>
              <w:t>（</w:t>
            </w:r>
            <w:r>
              <w:rPr>
                <w:rFonts w:hint="eastAsia" w:cs="Times New Roman"/>
                <w:b/>
                <w:bCs/>
                <w:color w:val="auto"/>
                <w:lang w:val="en-US" w:eastAsia="zh-CN"/>
              </w:rPr>
              <w:t>颗粒物</w:t>
            </w:r>
            <w:r>
              <w:rPr>
                <w:rFonts w:hint="eastAsia" w:cs="Times New Roman"/>
                <w:b/>
                <w:bCs/>
                <w:color w:val="auto"/>
                <w:lang w:eastAsia="zh-CN"/>
              </w:rPr>
              <w:t>）</w:t>
            </w:r>
            <w:r>
              <w:rPr>
                <w:rFonts w:cs="Times New Roman"/>
                <w:b/>
                <w:bCs/>
                <w:color w:val="auto"/>
              </w:rPr>
              <w:t>。</w:t>
            </w:r>
          </w:p>
          <w:p w14:paraId="52F594EF">
            <w:pPr>
              <w:ind w:firstLine="480"/>
              <w:rPr>
                <w:rFonts w:cs="Times New Roman"/>
                <w:color w:val="auto"/>
              </w:rPr>
            </w:pPr>
            <w:r>
              <w:rPr>
                <w:rFonts w:cs="Times New Roman"/>
                <w:color w:val="auto"/>
              </w:rPr>
              <w:t>②样品养护：将成型好的样品放入室温23±2℃，湿度50±5%的养护间内养护至恒重。然后放入（60±5℃）烘箱调节（20~24）h，然后放入干燥器内冷却至室温。</w:t>
            </w:r>
          </w:p>
          <w:p w14:paraId="106F132C">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将一个经状态调节的试样放入试样架内，试样架悬挂在支承件上，将试验炉预热至标准规定，将试样架插入炉内规定位置，立即启动计时器，记录实验过程中炉内热电偶测量的温度，进行实验30min，如果热电偶测量的温度在10min内漂移不超过2℃，则可停止实验。</w:t>
            </w:r>
          </w:p>
          <w:p w14:paraId="2A514DA4">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6</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cs="Times New Roman"/>
                <w:b/>
                <w:bCs/>
                <w:color w:val="auto"/>
              </w:rPr>
              <w:t>。</w:t>
            </w:r>
          </w:p>
          <w:p w14:paraId="5F2FE4FB">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实验观察并记录实验结果，出具报告，样品留样至少72h后委托专业处置单位收集处置。</w:t>
            </w:r>
          </w:p>
          <w:p w14:paraId="791877F6">
            <w:pPr>
              <w:ind w:firstLine="480"/>
              <w:rPr>
                <w:rFonts w:hint="default" w:eastAsia="宋体" w:cs="Times New Roman"/>
                <w:color w:val="auto"/>
                <w:lang w:val="en-US" w:eastAsia="zh-CN"/>
              </w:rPr>
            </w:pPr>
            <w:r>
              <w:rPr>
                <w:rFonts w:hint="eastAsia" w:cs="Times New Roman"/>
                <w:b/>
                <w:bCs/>
                <w:color w:val="auto"/>
                <w:lang w:val="en-US" w:eastAsia="zh-CN"/>
              </w:rPr>
              <w:t>7</w:t>
            </w:r>
            <w:r>
              <w:rPr>
                <w:rFonts w:hint="eastAsia" w:cs="Times New Roman"/>
                <w:b/>
                <w:bCs/>
                <w:color w:val="auto"/>
                <w:lang w:eastAsia="zh-CN"/>
              </w:rPr>
              <w:t>）单根电线电缆垂直燃烧</w:t>
            </w:r>
            <w:r>
              <w:rPr>
                <w:rFonts w:hint="eastAsia" w:cs="Times New Roman"/>
                <w:b/>
                <w:bCs/>
                <w:color w:val="auto"/>
                <w:lang w:val="en-US" w:eastAsia="zh-CN"/>
              </w:rPr>
              <w:t>试验</w:t>
            </w:r>
          </w:p>
          <w:p w14:paraId="147D3B52">
            <w:pPr>
              <w:ind w:firstLine="480"/>
              <w:rPr>
                <w:rFonts w:cs="Times New Roman"/>
                <w:color w:val="auto"/>
              </w:rPr>
            </w:pPr>
            <w:r>
              <w:rPr>
                <w:rFonts w:hint="eastAsia" w:cs="Times New Roman"/>
                <w:color w:val="auto"/>
                <w:lang w:val="en-US" w:eastAsia="zh-CN"/>
              </w:rPr>
              <w:t>该试验使用单根电线电缆垂直燃烧仪，样品类别为电线电缆。</w:t>
            </w:r>
          </w:p>
          <w:p w14:paraId="29A57627">
            <w:pPr>
              <w:ind w:firstLine="480"/>
              <w:rPr>
                <w:rFonts w:cs="Times New Roman"/>
                <w:color w:val="auto"/>
              </w:rPr>
            </w:pPr>
            <w:r>
              <w:rPr>
                <w:rFonts w:cs="Times New Roman"/>
                <w:color w:val="auto"/>
              </w:rPr>
              <w:t>①样品成型：</w:t>
            </w:r>
            <w:r>
              <w:rPr>
                <w:rFonts w:hint="eastAsia" w:cs="Times New Roman"/>
                <w:color w:val="auto"/>
                <w:lang w:val="en-US" w:eastAsia="zh-CN"/>
              </w:rPr>
              <w:t>将电线电缆</w:t>
            </w:r>
            <w:r>
              <w:rPr>
                <w:rFonts w:cs="Times New Roman"/>
                <w:color w:val="auto"/>
              </w:rPr>
              <w:t>成型</w:t>
            </w:r>
            <w:r>
              <w:rPr>
                <w:rFonts w:hint="eastAsia" w:cs="Times New Roman"/>
                <w:color w:val="auto"/>
                <w:lang w:val="en-US" w:eastAsia="zh-CN"/>
              </w:rPr>
              <w:t>切割成600±25）mm的样品，按方法测量外径三处相互间距100mm。</w:t>
            </w:r>
          </w:p>
          <w:p w14:paraId="1F606321">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p>
          <w:p w14:paraId="13C34FD9">
            <w:pPr>
              <w:ind w:firstLine="480"/>
              <w:rPr>
                <w:rFonts w:cs="Times New Roman"/>
                <w:color w:val="auto"/>
              </w:rPr>
            </w:pPr>
            <w:r>
              <w:rPr>
                <w:rFonts w:cs="Times New Roman"/>
                <w:color w:val="auto"/>
              </w:rPr>
              <w:t>②样品养护：将成型好的样品放入室温</w:t>
            </w:r>
            <w:r>
              <w:rPr>
                <w:rFonts w:hint="eastAsia" w:cs="Times New Roman"/>
                <w:color w:val="auto"/>
                <w:lang w:val="en-US" w:eastAsia="zh-CN"/>
              </w:rPr>
              <w:t>23</w:t>
            </w:r>
            <w:r>
              <w:rPr>
                <w:rFonts w:cs="Times New Roman"/>
                <w:color w:val="auto"/>
              </w:rPr>
              <w:t>±</w:t>
            </w:r>
            <w:r>
              <w:rPr>
                <w:rFonts w:hint="eastAsia" w:cs="Times New Roman"/>
                <w:color w:val="auto"/>
                <w:lang w:val="en-US" w:eastAsia="zh-CN"/>
              </w:rPr>
              <w:t>5</w:t>
            </w:r>
            <w:r>
              <w:rPr>
                <w:rFonts w:cs="Times New Roman"/>
                <w:color w:val="auto"/>
              </w:rPr>
              <w:t>℃，湿度50±</w:t>
            </w:r>
            <w:r>
              <w:rPr>
                <w:rFonts w:hint="eastAsia" w:cs="Times New Roman"/>
                <w:color w:val="auto"/>
                <w:lang w:val="en-US" w:eastAsia="zh-CN"/>
              </w:rPr>
              <w:t>20</w:t>
            </w:r>
            <w:r>
              <w:rPr>
                <w:rFonts w:cs="Times New Roman"/>
                <w:color w:val="auto"/>
              </w:rPr>
              <w:t>%的养护间内养护</w:t>
            </w:r>
            <w:r>
              <w:rPr>
                <w:rFonts w:hint="eastAsia" w:cs="Times New Roman"/>
                <w:color w:val="auto"/>
                <w:lang w:val="en-US" w:eastAsia="zh-CN"/>
              </w:rPr>
              <w:t>16h以上</w:t>
            </w:r>
            <w:r>
              <w:rPr>
                <w:rFonts w:cs="Times New Roman"/>
                <w:color w:val="auto"/>
              </w:rPr>
              <w:t>。</w:t>
            </w:r>
          </w:p>
          <w:p w14:paraId="7163B159">
            <w:pPr>
              <w:ind w:firstLine="480"/>
              <w:rPr>
                <w:rFonts w:cs="Times New Roman"/>
                <w:color w:val="auto"/>
              </w:rPr>
            </w:pPr>
            <w:r>
              <w:rPr>
                <w:rFonts w:cs="Times New Roman"/>
                <w:color w:val="auto"/>
              </w:rPr>
              <w:t>③</w:t>
            </w:r>
            <w:r>
              <w:rPr>
                <w:rFonts w:hint="eastAsia" w:cs="Times New Roman"/>
                <w:color w:val="auto"/>
              </w:rPr>
              <w:t>样品试验</w:t>
            </w:r>
            <w:r>
              <w:rPr>
                <w:rFonts w:cs="Times New Roman"/>
                <w:color w:val="auto"/>
              </w:rPr>
              <w:t>：</w:t>
            </w:r>
            <w:r>
              <w:rPr>
                <w:rFonts w:hint="eastAsia" w:cs="Times New Roman"/>
                <w:color w:val="auto"/>
              </w:rPr>
              <w:t>固定试件时应使试件下段距离金属罩底面约50mm。将设备启动通气点燃进行时间燃烧，燃烧后用尺子测量上碳化点与上固定点下端的距离和下碳化点与上固定点下端距离</w:t>
            </w:r>
            <w:r>
              <w:rPr>
                <w:rFonts w:hint="eastAsia" w:cs="Times New Roman"/>
                <w:color w:val="auto"/>
                <w:lang w:eastAsia="zh-CN"/>
              </w:rPr>
              <w:t>，</w:t>
            </w:r>
            <w:r>
              <w:rPr>
                <w:rFonts w:cs="Times New Roman"/>
                <w:color w:val="auto"/>
              </w:rPr>
              <w:t>停止实验。</w:t>
            </w:r>
          </w:p>
          <w:p w14:paraId="6A13B59E">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7</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cs="Times New Roman"/>
                <w:b/>
                <w:bCs/>
                <w:color w:val="auto"/>
              </w:rPr>
              <w:t>。</w:t>
            </w:r>
          </w:p>
          <w:p w14:paraId="1D0096A4">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实验观察并记录实验结果，出具报告，样品留样至少72h后委托专业处置单位收集处置。</w:t>
            </w:r>
          </w:p>
          <w:p w14:paraId="4177F6C6">
            <w:pPr>
              <w:ind w:firstLine="480"/>
              <w:rPr>
                <w:rFonts w:hint="default" w:eastAsia="宋体" w:cs="Times New Roman"/>
                <w:color w:val="auto"/>
                <w:lang w:val="en-US" w:eastAsia="zh-CN"/>
              </w:rPr>
            </w:pPr>
            <w:r>
              <w:rPr>
                <w:rFonts w:hint="eastAsia" w:cs="Times New Roman"/>
                <w:b/>
                <w:bCs/>
                <w:color w:val="auto"/>
                <w:lang w:val="en-US" w:eastAsia="zh-CN"/>
              </w:rPr>
              <w:t>8</w:t>
            </w:r>
            <w:r>
              <w:rPr>
                <w:rFonts w:hint="eastAsia" w:cs="Times New Roman"/>
                <w:b/>
                <w:bCs/>
                <w:color w:val="auto"/>
                <w:lang w:eastAsia="zh-CN"/>
              </w:rPr>
              <w:t>）</w:t>
            </w:r>
            <w:r>
              <w:rPr>
                <w:rFonts w:hint="eastAsia" w:cs="Times New Roman"/>
                <w:b/>
                <w:bCs/>
                <w:color w:val="auto"/>
                <w:lang w:val="en-US" w:eastAsia="zh-CN"/>
              </w:rPr>
              <w:t>阴燃试验</w:t>
            </w:r>
          </w:p>
          <w:p w14:paraId="4F77A377">
            <w:pPr>
              <w:ind w:firstLine="480"/>
              <w:rPr>
                <w:rFonts w:cs="Times New Roman"/>
                <w:color w:val="auto"/>
              </w:rPr>
            </w:pPr>
            <w:r>
              <w:rPr>
                <w:rFonts w:hint="eastAsia" w:cs="Times New Roman"/>
                <w:color w:val="auto"/>
                <w:lang w:val="en-US" w:eastAsia="zh-CN"/>
              </w:rPr>
              <w:t>该试验使用阴燃试验炉，样品类别为保温材料。阴燃试验应在24h的周期内完成。</w:t>
            </w:r>
          </w:p>
          <w:p w14:paraId="405AFDEB">
            <w:pPr>
              <w:ind w:firstLine="480"/>
              <w:rPr>
                <w:rFonts w:cs="Times New Roman"/>
                <w:color w:val="auto"/>
              </w:rPr>
            </w:pPr>
            <w:r>
              <w:rPr>
                <w:rFonts w:cs="Times New Roman"/>
                <w:color w:val="auto"/>
              </w:rPr>
              <w:t>①样品成型：</w:t>
            </w:r>
            <w:r>
              <w:rPr>
                <w:rFonts w:hint="eastAsia" w:cs="Times New Roman"/>
                <w:color w:val="auto"/>
                <w:lang w:val="en-US" w:eastAsia="zh-CN"/>
              </w:rPr>
              <w:t>将样品用钢锯或线切割成型100mm*100mm*100mm的试样15根。</w:t>
            </w:r>
          </w:p>
          <w:p w14:paraId="5A1D24BF">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废样品S1</w:t>
            </w:r>
            <w:r>
              <w:rPr>
                <w:rFonts w:hint="eastAsia" w:cs="Times New Roman"/>
                <w:b/>
                <w:bCs/>
                <w:color w:val="auto"/>
                <w:lang w:eastAsia="zh-CN"/>
              </w:rPr>
              <w:t>、</w:t>
            </w:r>
            <w:r>
              <w:rPr>
                <w:rFonts w:hint="eastAsia" w:cs="Times New Roman"/>
                <w:b/>
                <w:bCs/>
                <w:color w:val="auto"/>
              </w:rPr>
              <w:t>成型切割废气G1</w:t>
            </w:r>
            <w:r>
              <w:rPr>
                <w:rFonts w:hint="eastAsia" w:cs="Times New Roman"/>
                <w:b/>
                <w:bCs/>
                <w:color w:val="auto"/>
                <w:lang w:eastAsia="zh-CN"/>
              </w:rPr>
              <w:t>（</w:t>
            </w:r>
            <w:r>
              <w:rPr>
                <w:rFonts w:hint="eastAsia" w:cs="Times New Roman"/>
                <w:b/>
                <w:bCs/>
                <w:color w:val="auto"/>
                <w:lang w:val="en-US" w:eastAsia="zh-CN"/>
              </w:rPr>
              <w:t>颗粒物</w:t>
            </w:r>
            <w:r>
              <w:rPr>
                <w:rFonts w:hint="eastAsia" w:cs="Times New Roman"/>
                <w:b/>
                <w:bCs/>
                <w:color w:val="auto"/>
                <w:lang w:eastAsia="zh-CN"/>
              </w:rPr>
              <w:t>）</w:t>
            </w:r>
            <w:r>
              <w:rPr>
                <w:rFonts w:cs="Times New Roman"/>
                <w:b/>
                <w:bCs/>
                <w:color w:val="auto"/>
              </w:rPr>
              <w:t>。</w:t>
            </w:r>
          </w:p>
          <w:p w14:paraId="78D4FE2F">
            <w:pPr>
              <w:ind w:firstLine="480"/>
              <w:rPr>
                <w:rFonts w:cs="Times New Roman"/>
                <w:color w:val="auto"/>
              </w:rPr>
            </w:pPr>
            <w:r>
              <w:rPr>
                <w:rFonts w:cs="Times New Roman"/>
                <w:color w:val="auto"/>
              </w:rPr>
              <w:t>②</w:t>
            </w:r>
            <w:r>
              <w:rPr>
                <w:rFonts w:hint="eastAsia" w:cs="Times New Roman"/>
                <w:color w:val="auto"/>
              </w:rPr>
              <w:t>样品试验</w:t>
            </w:r>
            <w:r>
              <w:rPr>
                <w:rFonts w:cs="Times New Roman"/>
                <w:color w:val="auto"/>
              </w:rPr>
              <w:t>：</w:t>
            </w:r>
            <w:r>
              <w:rPr>
                <w:rFonts w:hint="eastAsia" w:cs="Times New Roman"/>
                <w:color w:val="auto"/>
              </w:rPr>
              <w:t>将盛放保温材料试样的立体钢丝网篮置于电阻炉中,设定炉温升温速率为0.</w:t>
            </w:r>
            <w:r>
              <w:rPr>
                <w:rFonts w:hint="default" w:ascii="Times New Roman" w:hAnsi="Times New Roman" w:cs="Times New Roman"/>
                <w:color w:val="auto"/>
              </w:rPr>
              <w:t>5℃/min</w:t>
            </w:r>
            <w:r>
              <w:rPr>
                <w:rFonts w:hint="default" w:ascii="Times New Roman" w:hAnsi="Times New Roman" w:cs="Times New Roman"/>
                <w:color w:val="auto"/>
                <w:lang w:eastAsia="zh-CN"/>
              </w:rPr>
              <w:t>，</w:t>
            </w:r>
            <w:r>
              <w:rPr>
                <w:rFonts w:hint="default" w:ascii="Times New Roman" w:hAnsi="Times New Roman" w:cs="Times New Roman"/>
                <w:color w:val="auto"/>
              </w:rPr>
              <w:t>启</w:t>
            </w:r>
            <w:r>
              <w:rPr>
                <w:rFonts w:hint="eastAsia" w:cs="Times New Roman"/>
                <w:color w:val="auto"/>
              </w:rPr>
              <w:t>动电阻炉开始升温并计时,电阻炉温度从室温开始升至400℃,一旦炉温达到400℃,即维持该温度至24h试验周期结束</w:t>
            </w:r>
            <w:r>
              <w:rPr>
                <w:rFonts w:cs="Times New Roman"/>
                <w:color w:val="auto"/>
              </w:rPr>
              <w:t>。</w:t>
            </w:r>
          </w:p>
          <w:p w14:paraId="02CE9A18">
            <w:pPr>
              <w:ind w:firstLine="482"/>
              <w:rPr>
                <w:rFonts w:cs="Times New Roman"/>
                <w:color w:val="auto"/>
              </w:rPr>
            </w:pPr>
            <w:r>
              <w:rPr>
                <w:rFonts w:cs="Times New Roman"/>
                <w:b/>
                <w:bCs/>
                <w:color w:val="auto"/>
              </w:rPr>
              <w:t>该过程会产生</w:t>
            </w:r>
            <w:r>
              <w:rPr>
                <w:rFonts w:hint="eastAsia" w:cs="Times New Roman"/>
                <w:b/>
                <w:bCs/>
                <w:color w:val="auto"/>
              </w:rPr>
              <w:t>固体废物</w:t>
            </w:r>
            <w:r>
              <w:rPr>
                <w:rFonts w:cs="Times New Roman"/>
                <w:b/>
                <w:bCs/>
                <w:color w:val="auto"/>
              </w:rPr>
              <w:t>实验残留样品S2、燃烧废气G</w:t>
            </w:r>
            <w:r>
              <w:rPr>
                <w:rFonts w:hint="eastAsia" w:cs="Times New Roman"/>
                <w:b/>
                <w:bCs/>
                <w:color w:val="auto"/>
                <w:lang w:val="en-US" w:eastAsia="zh-CN"/>
              </w:rPr>
              <w:t>8</w:t>
            </w:r>
            <w:r>
              <w:rPr>
                <w:rFonts w:hint="eastAsia" w:cs="Times New Roman"/>
                <w:b/>
                <w:bCs/>
                <w:color w:val="auto"/>
                <w:lang w:eastAsia="zh-CN"/>
              </w:rPr>
              <w:t>（</w:t>
            </w:r>
            <w:r>
              <w:rPr>
                <w:rFonts w:hint="eastAsia" w:cs="Times New Roman"/>
                <w:b/>
                <w:bCs/>
                <w:color w:val="auto"/>
              </w:rPr>
              <w:t>颗粒物</w:t>
            </w:r>
            <w:r>
              <w:rPr>
                <w:rFonts w:hint="eastAsia" w:cs="Times New Roman"/>
                <w:b/>
                <w:bCs/>
                <w:color w:val="auto"/>
                <w:lang w:eastAsia="zh-CN"/>
              </w:rPr>
              <w:t>）</w:t>
            </w:r>
            <w:r>
              <w:rPr>
                <w:rFonts w:cs="Times New Roman"/>
                <w:b/>
                <w:bCs/>
                <w:color w:val="auto"/>
              </w:rPr>
              <w:t>。</w:t>
            </w:r>
          </w:p>
          <w:p w14:paraId="26E944FF">
            <w:pPr>
              <w:ind w:firstLine="480"/>
              <w:rPr>
                <w:rFonts w:cs="Times New Roman"/>
                <w:color w:val="auto"/>
              </w:rPr>
            </w:pPr>
            <w:r>
              <w:rPr>
                <w:rFonts w:cs="Times New Roman"/>
                <w:color w:val="auto"/>
              </w:rPr>
              <w:t>④</w:t>
            </w:r>
            <w:r>
              <w:rPr>
                <w:rFonts w:hint="eastAsia" w:cs="Times New Roman"/>
                <w:color w:val="auto"/>
              </w:rPr>
              <w:t>出具报告：</w:t>
            </w:r>
            <w:r>
              <w:rPr>
                <w:rFonts w:cs="Times New Roman"/>
                <w:color w:val="auto"/>
              </w:rPr>
              <w:t>实验观察并记录实验结果，出具报告，样品留样至少72h后委托专业处置单位收集处置。</w:t>
            </w:r>
          </w:p>
          <w:p w14:paraId="427F7151">
            <w:pPr>
              <w:ind w:firstLine="480"/>
              <w:rPr>
                <w:rFonts w:hint="default" w:eastAsia="宋体" w:cs="Times New Roman"/>
                <w:color w:val="auto"/>
                <w:lang w:val="en-US" w:eastAsia="zh-CN"/>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w:t>
            </w:r>
            <w:r>
              <w:rPr>
                <w:rFonts w:hint="eastAsia" w:cs="Times New Roman"/>
                <w:b/>
                <w:bCs/>
                <w:color w:val="auto"/>
                <w:lang w:val="en-US" w:eastAsia="zh-CN"/>
              </w:rPr>
              <w:t>物理性试验</w:t>
            </w:r>
          </w:p>
          <w:p w14:paraId="494D78C3">
            <w:pPr>
              <w:ind w:firstLine="480"/>
              <w:rPr>
                <w:rFonts w:hint="eastAsia" w:cs="Times New Roman"/>
                <w:color w:val="auto"/>
                <w:lang w:eastAsia="zh-CN"/>
              </w:rPr>
            </w:pPr>
            <w:r>
              <w:rPr>
                <w:rFonts w:hint="eastAsia" w:cs="Times New Roman"/>
                <w:b/>
                <w:bCs/>
                <w:color w:val="auto"/>
                <w:lang w:val="en-US" w:eastAsia="zh-CN"/>
              </w:rPr>
              <w:t>1</w:t>
            </w:r>
            <w:r>
              <w:rPr>
                <w:rFonts w:hint="eastAsia" w:cs="Times New Roman"/>
                <w:b/>
                <w:bCs/>
                <w:color w:val="auto"/>
                <w:lang w:eastAsia="zh-CN"/>
              </w:rPr>
              <w:t>）胶砂强度</w:t>
            </w:r>
          </w:p>
          <w:p w14:paraId="70BAD325">
            <w:pPr>
              <w:ind w:firstLine="480"/>
              <w:rPr>
                <w:rFonts w:hint="eastAsia" w:cs="Times New Roman"/>
                <w:color w:val="auto"/>
                <w:lang w:eastAsia="zh-CN"/>
              </w:rPr>
            </w:pPr>
            <w:r>
              <w:rPr>
                <w:rFonts w:hint="eastAsia" w:cs="Times New Roman"/>
                <w:color w:val="auto"/>
                <w:lang w:eastAsia="zh-CN"/>
              </w:rPr>
              <w:t>该试验使用微机控制压力试验机，样品类别为</w:t>
            </w:r>
            <w:r>
              <w:rPr>
                <w:rFonts w:hint="eastAsia" w:cs="Times New Roman"/>
                <w:color w:val="auto"/>
                <w:lang w:val="en-US" w:eastAsia="zh-CN"/>
              </w:rPr>
              <w:t>水泥</w:t>
            </w:r>
            <w:r>
              <w:rPr>
                <w:rFonts w:hint="eastAsia" w:cs="Times New Roman"/>
                <w:color w:val="auto"/>
                <w:lang w:eastAsia="zh-CN"/>
              </w:rPr>
              <w:t>。</w:t>
            </w:r>
          </w:p>
          <w:p w14:paraId="76CAB8CD">
            <w:pPr>
              <w:ind w:firstLine="480"/>
              <w:rPr>
                <w:rFonts w:hint="eastAsia" w:cs="Times New Roman"/>
                <w:color w:val="auto"/>
                <w:lang w:eastAsia="zh-CN"/>
              </w:rPr>
            </w:pPr>
            <w:r>
              <w:rPr>
                <w:rFonts w:hint="eastAsia" w:cs="Times New Roman"/>
                <w:color w:val="auto"/>
                <w:lang w:eastAsia="zh-CN"/>
              </w:rPr>
              <w:t>①样品成型：收到样品存放在（20±2）℃，相对湿度不低于50％的环境中24h，保证试验样品和标准环境一致，开始试验，按胶砂配合比称取材料用量，进行搅拌，一锅胶砂成型3条试体40mm×40mm×160mm。</w:t>
            </w:r>
          </w:p>
          <w:p w14:paraId="7E01C9A9">
            <w:pPr>
              <w:ind w:firstLine="480"/>
              <w:rPr>
                <w:rFonts w:hint="eastAsia" w:cs="Times New Roman"/>
                <w:color w:val="auto"/>
                <w:lang w:eastAsia="zh-CN"/>
              </w:rPr>
            </w:pPr>
            <w:r>
              <w:rPr>
                <w:rFonts w:hint="eastAsia" w:cs="Times New Roman"/>
                <w:b/>
                <w:bCs/>
                <w:color w:val="auto"/>
                <w:lang w:eastAsia="zh-CN"/>
              </w:rPr>
              <w:t>该过程会产生固体废物废样品S1。</w:t>
            </w:r>
          </w:p>
          <w:p w14:paraId="0617300D">
            <w:pPr>
              <w:ind w:firstLine="480"/>
              <w:rPr>
                <w:rFonts w:hint="eastAsia" w:cs="Times New Roman"/>
                <w:color w:val="auto"/>
                <w:lang w:eastAsia="zh-CN"/>
              </w:rPr>
            </w:pPr>
            <w:r>
              <w:rPr>
                <w:rFonts w:hint="eastAsia" w:cs="Times New Roman"/>
                <w:color w:val="auto"/>
                <w:lang w:eastAsia="zh-CN"/>
              </w:rPr>
              <w:t>②样品养护：将成型好的试体连同试模放入湿气中养护24h，脱模后在水中养护至强度龄期。</w:t>
            </w:r>
          </w:p>
          <w:p w14:paraId="6E747254">
            <w:pPr>
              <w:ind w:firstLine="480"/>
              <w:rPr>
                <w:rFonts w:hint="eastAsia" w:cs="Times New Roman"/>
                <w:color w:val="auto"/>
                <w:lang w:eastAsia="zh-CN"/>
              </w:rPr>
            </w:pPr>
            <w:r>
              <w:rPr>
                <w:rFonts w:hint="eastAsia" w:cs="Times New Roman"/>
                <w:color w:val="auto"/>
                <w:lang w:eastAsia="zh-CN"/>
              </w:rPr>
              <w:t>③样品试验：从水中取出试体，先以50N/s±10N/s速率在棱体侧面向上，直至折断，抗折试验后的试体以2400N/s±200N/s的速率进行抗压试验，直至破坏。</w:t>
            </w:r>
          </w:p>
          <w:p w14:paraId="7A49D9FE">
            <w:pPr>
              <w:ind w:firstLine="480"/>
              <w:rPr>
                <w:rFonts w:hint="eastAsia" w:cs="Times New Roman"/>
                <w:color w:val="auto"/>
                <w:lang w:eastAsia="zh-CN"/>
              </w:rPr>
            </w:pPr>
            <w:r>
              <w:rPr>
                <w:rFonts w:hint="eastAsia" w:cs="Times New Roman"/>
                <w:b/>
                <w:bCs/>
                <w:color w:val="auto"/>
                <w:lang w:eastAsia="zh-CN"/>
              </w:rPr>
              <w:t>该过程会产生固体废物实验残留样品S2。</w:t>
            </w:r>
          </w:p>
          <w:p w14:paraId="7F57CF0F">
            <w:pPr>
              <w:ind w:firstLine="480"/>
              <w:rPr>
                <w:rFonts w:hint="eastAsia" w:cs="Times New Roman"/>
                <w:color w:val="auto"/>
                <w:lang w:eastAsia="zh-CN"/>
              </w:rPr>
            </w:pPr>
            <w:r>
              <w:rPr>
                <w:rFonts w:hint="eastAsia" w:cs="Times New Roman"/>
                <w:color w:val="auto"/>
                <w:lang w:eastAsia="zh-CN"/>
              </w:rPr>
              <w:t>④出具报告：实验观察并记录实验结果，出具报告，样品留样至少72h后委托专业处置单位收集处置。</w:t>
            </w:r>
          </w:p>
          <w:p w14:paraId="65494A32">
            <w:pPr>
              <w:ind w:firstLine="480"/>
              <w:rPr>
                <w:rFonts w:hint="eastAsia" w:cs="Times New Roman"/>
                <w:color w:val="auto"/>
                <w:lang w:eastAsia="zh-CN"/>
              </w:rPr>
            </w:pPr>
            <w:r>
              <w:rPr>
                <w:rFonts w:hint="eastAsia" w:cs="Times New Roman"/>
                <w:b/>
                <w:bCs/>
                <w:color w:val="auto"/>
                <w:lang w:val="en-US" w:eastAsia="zh-CN"/>
              </w:rPr>
              <w:t>2</w:t>
            </w:r>
            <w:r>
              <w:rPr>
                <w:rFonts w:hint="eastAsia" w:cs="Times New Roman"/>
                <w:b/>
                <w:bCs/>
                <w:color w:val="auto"/>
                <w:lang w:eastAsia="zh-CN"/>
              </w:rPr>
              <w:t>）</w:t>
            </w:r>
            <w:r>
              <w:rPr>
                <w:rFonts w:hint="eastAsia" w:cs="Times New Roman"/>
                <w:b/>
                <w:bCs/>
                <w:color w:val="auto"/>
                <w:lang w:eastAsia="zh-CN"/>
              </w:rPr>
              <w:t>导热系数</w:t>
            </w:r>
          </w:p>
          <w:p w14:paraId="7869FE9B">
            <w:pPr>
              <w:ind w:firstLine="480"/>
              <w:rPr>
                <w:rFonts w:hint="eastAsia" w:cs="Times New Roman"/>
                <w:color w:val="auto"/>
                <w:lang w:eastAsia="zh-CN"/>
              </w:rPr>
            </w:pPr>
            <w:r>
              <w:rPr>
                <w:rFonts w:hint="eastAsia" w:cs="Times New Roman"/>
                <w:color w:val="auto"/>
                <w:lang w:eastAsia="zh-CN"/>
              </w:rPr>
              <w:t>该试验使用导热系数检测仪，样品类别为</w:t>
            </w:r>
            <w:r>
              <w:rPr>
                <w:rFonts w:hint="eastAsia" w:cs="Times New Roman"/>
                <w:color w:val="auto"/>
                <w:lang w:val="en-US" w:eastAsia="zh-CN"/>
              </w:rPr>
              <w:t>保温板</w:t>
            </w:r>
            <w:r>
              <w:rPr>
                <w:rFonts w:hint="eastAsia" w:cs="Times New Roman"/>
                <w:color w:val="auto"/>
                <w:lang w:eastAsia="zh-CN"/>
              </w:rPr>
              <w:t>。</w:t>
            </w:r>
          </w:p>
          <w:p w14:paraId="3AB10DEE">
            <w:pPr>
              <w:ind w:firstLine="480"/>
              <w:rPr>
                <w:rFonts w:hint="eastAsia" w:cs="Times New Roman"/>
                <w:color w:val="auto"/>
                <w:lang w:eastAsia="zh-CN"/>
              </w:rPr>
            </w:pPr>
            <w:r>
              <w:rPr>
                <w:rFonts w:hint="eastAsia" w:cs="Times New Roman"/>
                <w:color w:val="auto"/>
                <w:lang w:eastAsia="zh-CN"/>
              </w:rPr>
              <w:t>①样品成型：将样品用钢锯或线切割成型</w:t>
            </w:r>
            <w:r>
              <w:rPr>
                <w:rFonts w:hint="eastAsia" w:cs="Times New Roman"/>
                <w:color w:val="auto"/>
                <w:lang w:val="en-US" w:eastAsia="zh-CN"/>
              </w:rPr>
              <w:t>300</w:t>
            </w:r>
            <w:r>
              <w:rPr>
                <w:rFonts w:hint="eastAsia" w:cs="Times New Roman"/>
                <w:color w:val="auto"/>
                <w:lang w:eastAsia="zh-CN"/>
              </w:rPr>
              <w:t>mm*</w:t>
            </w:r>
            <w:r>
              <w:rPr>
                <w:rFonts w:hint="eastAsia" w:cs="Times New Roman"/>
                <w:color w:val="auto"/>
                <w:lang w:val="en-US" w:eastAsia="zh-CN"/>
              </w:rPr>
              <w:t>3</w:t>
            </w:r>
            <w:r>
              <w:rPr>
                <w:rFonts w:hint="eastAsia" w:cs="Times New Roman"/>
                <w:color w:val="auto"/>
                <w:lang w:eastAsia="zh-CN"/>
              </w:rPr>
              <w:t>00mm*</w:t>
            </w:r>
            <w:r>
              <w:rPr>
                <w:rFonts w:hint="eastAsia" w:cs="Times New Roman"/>
                <w:color w:val="auto"/>
                <w:lang w:val="en-US" w:eastAsia="zh-CN"/>
              </w:rPr>
              <w:t>3</w:t>
            </w:r>
            <w:r>
              <w:rPr>
                <w:rFonts w:hint="eastAsia" w:cs="Times New Roman"/>
                <w:color w:val="auto"/>
                <w:lang w:eastAsia="zh-CN"/>
              </w:rPr>
              <w:t>0mm的试样</w:t>
            </w:r>
            <w:r>
              <w:rPr>
                <w:rFonts w:hint="eastAsia" w:cs="Times New Roman"/>
                <w:color w:val="auto"/>
                <w:lang w:val="en-US" w:eastAsia="zh-CN"/>
              </w:rPr>
              <w:t>2块</w:t>
            </w:r>
            <w:r>
              <w:rPr>
                <w:rFonts w:hint="eastAsia" w:cs="Times New Roman"/>
                <w:color w:val="auto"/>
                <w:lang w:eastAsia="zh-CN"/>
              </w:rPr>
              <w:t>。</w:t>
            </w:r>
          </w:p>
          <w:p w14:paraId="2191ADC8">
            <w:pPr>
              <w:ind w:firstLine="480"/>
              <w:rPr>
                <w:rFonts w:hint="eastAsia" w:cs="Times New Roman"/>
                <w:color w:val="auto"/>
                <w:lang w:eastAsia="zh-CN"/>
              </w:rPr>
            </w:pPr>
            <w:r>
              <w:rPr>
                <w:rFonts w:hint="eastAsia" w:cs="Times New Roman"/>
                <w:b/>
                <w:bCs/>
                <w:color w:val="auto"/>
                <w:lang w:eastAsia="zh-CN"/>
              </w:rPr>
              <w:t>该过程会产生固体废物废样品S1。</w:t>
            </w:r>
          </w:p>
          <w:p w14:paraId="3F8740F2">
            <w:pPr>
              <w:ind w:firstLine="480"/>
              <w:rPr>
                <w:rFonts w:hint="eastAsia" w:cs="Times New Roman"/>
                <w:color w:val="auto"/>
                <w:lang w:val="en-US" w:eastAsia="zh-CN"/>
              </w:rPr>
            </w:pPr>
            <w:r>
              <w:rPr>
                <w:rFonts w:hint="eastAsia" w:cs="Times New Roman"/>
                <w:color w:val="auto"/>
                <w:lang w:eastAsia="zh-CN"/>
              </w:rPr>
              <w:t>②样品养护：将成型的</w:t>
            </w:r>
            <w:r>
              <w:rPr>
                <w:rFonts w:hint="eastAsia" w:cs="Times New Roman"/>
                <w:color w:val="auto"/>
                <w:lang w:val="en-US" w:eastAsia="zh-CN"/>
              </w:rPr>
              <w:t>试样放入室温23±2℃，湿度50±5%的养护间内养护24h以上。</w:t>
            </w:r>
          </w:p>
          <w:p w14:paraId="0A95E7A4">
            <w:pPr>
              <w:ind w:firstLine="480"/>
              <w:rPr>
                <w:rFonts w:hint="eastAsia" w:cs="Times New Roman"/>
                <w:color w:val="auto"/>
                <w:lang w:eastAsia="zh-CN"/>
              </w:rPr>
            </w:pPr>
            <w:r>
              <w:rPr>
                <w:rFonts w:hint="eastAsia" w:cs="Times New Roman"/>
                <w:color w:val="auto"/>
                <w:lang w:eastAsia="zh-CN"/>
              </w:rPr>
              <w:t>③样品试验：</w:t>
            </w:r>
          </w:p>
          <w:p w14:paraId="61EFE846">
            <w:pPr>
              <w:ind w:firstLine="480"/>
              <w:rPr>
                <w:rFonts w:hint="eastAsia" w:cs="Times New Roman"/>
                <w:color w:val="auto"/>
                <w:lang w:eastAsia="zh-CN"/>
              </w:rPr>
            </w:pPr>
            <w:r>
              <w:rPr>
                <w:rFonts w:hint="eastAsia" w:cs="Times New Roman"/>
                <w:b/>
                <w:bCs/>
                <w:color w:val="auto"/>
                <w:lang w:eastAsia="zh-CN"/>
              </w:rPr>
              <w:t>该过程会产生固体废物实验残留样品S2。</w:t>
            </w:r>
          </w:p>
          <w:p w14:paraId="6D4CDC1C">
            <w:pPr>
              <w:ind w:firstLine="480"/>
              <w:rPr>
                <w:rFonts w:hint="eastAsia" w:cs="Times New Roman"/>
                <w:color w:val="auto"/>
                <w:lang w:eastAsia="zh-CN"/>
              </w:rPr>
            </w:pPr>
            <w:r>
              <w:rPr>
                <w:rFonts w:hint="eastAsia" w:cs="Times New Roman"/>
                <w:color w:val="auto"/>
                <w:lang w:eastAsia="zh-CN"/>
              </w:rPr>
              <w:t>④出具报告：实验观察并记录实验结果，出具报告，样品留样至少72h后委托专业处置单位收集处置。</w:t>
            </w:r>
          </w:p>
          <w:p w14:paraId="703A77FA">
            <w:pPr>
              <w:ind w:firstLine="480"/>
              <w:rPr>
                <w:rFonts w:hint="eastAsia" w:eastAsia="宋体" w:cs="Times New Roman"/>
                <w:color w:val="auto"/>
                <w:lang w:eastAsia="zh-CN"/>
              </w:rPr>
            </w:pPr>
            <w:r>
              <w:rPr>
                <w:rFonts w:hint="eastAsia" w:cs="Times New Roman"/>
                <w:b/>
                <w:bCs/>
                <w:color w:val="auto"/>
                <w:lang w:val="en-US" w:eastAsia="zh-CN"/>
              </w:rPr>
              <w:t>3</w:t>
            </w:r>
            <w:r>
              <w:rPr>
                <w:rFonts w:hint="eastAsia" w:cs="Times New Roman"/>
                <w:b/>
                <w:bCs/>
                <w:color w:val="auto"/>
                <w:lang w:eastAsia="zh-CN"/>
              </w:rPr>
              <w:t>）冲击试验</w:t>
            </w:r>
          </w:p>
          <w:p w14:paraId="66AA8241">
            <w:pPr>
              <w:ind w:firstLine="480"/>
              <w:rPr>
                <w:rFonts w:hint="eastAsia" w:cs="Times New Roman"/>
                <w:color w:val="auto"/>
                <w:lang w:eastAsia="zh-CN"/>
              </w:rPr>
            </w:pPr>
            <w:r>
              <w:rPr>
                <w:rFonts w:hint="eastAsia" w:cs="Times New Roman"/>
                <w:color w:val="auto"/>
                <w:lang w:eastAsia="zh-CN"/>
              </w:rPr>
              <w:t>该试验使用冲击试验仪，样品类别为</w:t>
            </w:r>
            <w:r>
              <w:rPr>
                <w:rFonts w:hint="eastAsia" w:cs="Times New Roman"/>
                <w:color w:val="auto"/>
                <w:lang w:val="en-US" w:eastAsia="zh-CN"/>
              </w:rPr>
              <w:t>管材</w:t>
            </w:r>
            <w:r>
              <w:rPr>
                <w:rFonts w:hint="eastAsia" w:cs="Times New Roman"/>
                <w:color w:val="auto"/>
                <w:lang w:eastAsia="zh-CN"/>
              </w:rPr>
              <w:t>。</w:t>
            </w:r>
          </w:p>
          <w:p w14:paraId="2BF8E91F">
            <w:pPr>
              <w:ind w:firstLine="480"/>
              <w:rPr>
                <w:rFonts w:hint="eastAsia" w:cs="Times New Roman"/>
                <w:color w:val="auto"/>
                <w:lang w:eastAsia="zh-CN"/>
              </w:rPr>
            </w:pPr>
            <w:r>
              <w:rPr>
                <w:rFonts w:hint="eastAsia" w:cs="Times New Roman"/>
                <w:color w:val="auto"/>
                <w:lang w:eastAsia="zh-CN"/>
              </w:rPr>
              <w:t>①样品成型：将样品用钢锯或线切割成型</w:t>
            </w:r>
            <w:r>
              <w:rPr>
                <w:rFonts w:hint="eastAsia" w:cs="Times New Roman"/>
                <w:color w:val="auto"/>
                <w:lang w:val="en-US" w:eastAsia="zh-CN"/>
              </w:rPr>
              <w:t>200</w:t>
            </w:r>
            <w:r>
              <w:rPr>
                <w:rFonts w:hint="eastAsia" w:cs="Times New Roman"/>
                <w:color w:val="auto"/>
                <w:lang w:eastAsia="zh-CN"/>
              </w:rPr>
              <w:t>mm的试样</w:t>
            </w:r>
            <w:r>
              <w:rPr>
                <w:rFonts w:hint="eastAsia" w:cs="Times New Roman"/>
                <w:color w:val="auto"/>
                <w:lang w:val="en-US" w:eastAsia="zh-CN"/>
              </w:rPr>
              <w:t>14块并沿其长向画出等距离标线并顺序编号</w:t>
            </w:r>
            <w:r>
              <w:rPr>
                <w:rFonts w:hint="eastAsia" w:cs="Times New Roman"/>
                <w:color w:val="auto"/>
                <w:lang w:eastAsia="zh-CN"/>
              </w:rPr>
              <w:t>。</w:t>
            </w:r>
          </w:p>
          <w:p w14:paraId="06D383B7">
            <w:pPr>
              <w:ind w:firstLine="480"/>
              <w:rPr>
                <w:rFonts w:hint="eastAsia" w:cs="Times New Roman"/>
                <w:color w:val="auto"/>
                <w:lang w:eastAsia="zh-CN"/>
              </w:rPr>
            </w:pPr>
            <w:r>
              <w:rPr>
                <w:rFonts w:hint="eastAsia" w:cs="Times New Roman"/>
                <w:b/>
                <w:bCs/>
                <w:color w:val="auto"/>
                <w:lang w:eastAsia="zh-CN"/>
              </w:rPr>
              <w:t>该过程会产生固体废物废样品S1。</w:t>
            </w:r>
          </w:p>
          <w:p w14:paraId="3810F0C9">
            <w:pPr>
              <w:ind w:firstLine="480"/>
              <w:rPr>
                <w:rFonts w:hint="eastAsia" w:cs="Times New Roman"/>
                <w:color w:val="auto"/>
                <w:lang w:val="en-US" w:eastAsia="zh-CN"/>
              </w:rPr>
            </w:pPr>
            <w:r>
              <w:rPr>
                <w:rFonts w:hint="eastAsia" w:cs="Times New Roman"/>
                <w:color w:val="auto"/>
                <w:lang w:eastAsia="zh-CN"/>
              </w:rPr>
              <w:t>②样品养护：将成型的</w:t>
            </w:r>
            <w:r>
              <w:rPr>
                <w:rFonts w:hint="eastAsia" w:cs="Times New Roman"/>
                <w:color w:val="auto"/>
                <w:lang w:val="en-US" w:eastAsia="zh-CN"/>
              </w:rPr>
              <w:t>试样放入室温23±2℃，湿度50±5%的养护间内养护48h以上。</w:t>
            </w:r>
          </w:p>
          <w:p w14:paraId="41F24E7D">
            <w:pPr>
              <w:ind w:firstLine="480"/>
              <w:rPr>
                <w:rFonts w:hint="eastAsia" w:cs="Times New Roman"/>
                <w:color w:val="auto"/>
                <w:lang w:eastAsia="zh-CN"/>
              </w:rPr>
            </w:pPr>
            <w:r>
              <w:rPr>
                <w:rFonts w:hint="eastAsia" w:cs="Times New Roman"/>
                <w:color w:val="auto"/>
                <w:lang w:eastAsia="zh-CN"/>
              </w:rPr>
              <w:t>③样品试验：将低温恒温箱调至0℃，将14块样品从状态调节室中取出放入低温恒温箱1h。按照产品标准的规定确定落锤质量和冲击高度。将样品从低温恒温箱中逐个取出，首先使落锤冲击在1号标线上，若试样未破坏，再对2号标线进行冲击，直至试样破坏或全部标线都冲击一次。逐个对试样进行冲击，直至取得判定结果。</w:t>
            </w:r>
          </w:p>
          <w:p w14:paraId="6761DA44">
            <w:pPr>
              <w:ind w:firstLine="480"/>
              <w:rPr>
                <w:rFonts w:hint="eastAsia" w:cs="Times New Roman"/>
                <w:color w:val="auto"/>
                <w:lang w:eastAsia="zh-CN"/>
              </w:rPr>
            </w:pPr>
            <w:r>
              <w:rPr>
                <w:rFonts w:hint="eastAsia" w:cs="Times New Roman"/>
                <w:b/>
                <w:bCs/>
                <w:color w:val="auto"/>
                <w:lang w:eastAsia="zh-CN"/>
              </w:rPr>
              <w:t>该过程会产生固体废物实验残留样品S2。</w:t>
            </w:r>
          </w:p>
          <w:p w14:paraId="7237CCC2">
            <w:pPr>
              <w:ind w:firstLine="480"/>
              <w:rPr>
                <w:rFonts w:hint="eastAsia" w:cs="Times New Roman"/>
                <w:color w:val="auto"/>
                <w:lang w:eastAsia="zh-CN"/>
              </w:rPr>
            </w:pPr>
            <w:r>
              <w:rPr>
                <w:rFonts w:hint="eastAsia" w:cs="Times New Roman"/>
                <w:color w:val="auto"/>
                <w:lang w:eastAsia="zh-CN"/>
              </w:rPr>
              <w:t>④出具报告：实验观察并记录实验结果，出具报告，样品留样至少72h后委托专业处置单位收集处置。</w:t>
            </w:r>
          </w:p>
          <w:p w14:paraId="455AA6B6">
            <w:pPr>
              <w:ind w:firstLine="480"/>
              <w:rPr>
                <w:rFonts w:hint="default" w:cs="Times New Roman"/>
                <w:color w:val="auto"/>
                <w:lang w:val="en-US" w:eastAsia="zh-CN"/>
              </w:rPr>
            </w:pPr>
            <w:r>
              <w:rPr>
                <w:rFonts w:hint="eastAsia" w:cs="Times New Roman"/>
                <w:b/>
                <w:bCs/>
                <w:color w:val="auto"/>
                <w:lang w:val="en-US" w:eastAsia="zh-CN"/>
              </w:rPr>
              <w:t>4</w:t>
            </w:r>
            <w:r>
              <w:rPr>
                <w:rFonts w:hint="eastAsia" w:cs="Times New Roman"/>
                <w:b/>
                <w:bCs/>
                <w:color w:val="auto"/>
                <w:lang w:eastAsia="zh-CN"/>
              </w:rPr>
              <w:t>）马歇尔稳定度</w:t>
            </w:r>
            <w:r>
              <w:rPr>
                <w:rFonts w:hint="eastAsia" w:cs="Times New Roman"/>
                <w:b/>
                <w:bCs/>
                <w:color w:val="auto"/>
                <w:lang w:val="en-US" w:eastAsia="zh-CN"/>
              </w:rPr>
              <w:t>试验</w:t>
            </w:r>
          </w:p>
          <w:p w14:paraId="11834C76">
            <w:pPr>
              <w:ind w:firstLine="480"/>
              <w:rPr>
                <w:rFonts w:hint="eastAsia" w:cs="Times New Roman"/>
                <w:color w:val="auto"/>
                <w:lang w:eastAsia="zh-CN"/>
              </w:rPr>
            </w:pPr>
            <w:r>
              <w:rPr>
                <w:rFonts w:hint="eastAsia" w:cs="Times New Roman"/>
                <w:color w:val="auto"/>
                <w:lang w:eastAsia="zh-CN"/>
              </w:rPr>
              <w:t>该试验使用马歇尔稳定度测定仪，样品类别为</w:t>
            </w:r>
            <w:r>
              <w:rPr>
                <w:rFonts w:hint="eastAsia" w:cs="Times New Roman"/>
                <w:color w:val="auto"/>
                <w:lang w:val="en-US" w:eastAsia="zh-CN"/>
              </w:rPr>
              <w:t>沥青混合料</w:t>
            </w:r>
            <w:r>
              <w:rPr>
                <w:rFonts w:hint="eastAsia" w:cs="Times New Roman"/>
                <w:color w:val="auto"/>
                <w:lang w:eastAsia="zh-CN"/>
              </w:rPr>
              <w:t>。</w:t>
            </w:r>
          </w:p>
          <w:p w14:paraId="510EFD5E">
            <w:pPr>
              <w:ind w:firstLine="480"/>
              <w:rPr>
                <w:rFonts w:hint="eastAsia" w:cs="Times New Roman"/>
                <w:color w:val="auto"/>
                <w:lang w:eastAsia="zh-CN"/>
              </w:rPr>
            </w:pPr>
            <w:r>
              <w:rPr>
                <w:rFonts w:hint="eastAsia" w:cs="Times New Roman"/>
                <w:color w:val="auto"/>
                <w:lang w:eastAsia="zh-CN"/>
              </w:rPr>
              <w:t>①样品成型：将样品</w:t>
            </w:r>
            <w:r>
              <w:rPr>
                <w:rFonts w:hint="eastAsia" w:cs="Times New Roman"/>
                <w:color w:val="auto"/>
                <w:lang w:val="en-US" w:eastAsia="zh-CN"/>
              </w:rPr>
              <w:t>分</w:t>
            </w:r>
            <w:r>
              <w:rPr>
                <w:rFonts w:hint="eastAsia" w:cs="Times New Roman"/>
                <w:color w:val="auto"/>
                <w:lang w:eastAsia="zh-CN"/>
              </w:rPr>
              <w:t>割成型</w:t>
            </w:r>
            <w:r>
              <w:rPr>
                <w:rFonts w:hint="eastAsia" w:cs="Times New Roman"/>
                <w:color w:val="auto"/>
                <w:lang w:val="en-US" w:eastAsia="zh-CN"/>
              </w:rPr>
              <w:t>Φ152.4mm*95.3mm</w:t>
            </w:r>
            <w:r>
              <w:rPr>
                <w:rFonts w:hint="eastAsia" w:cs="Times New Roman"/>
                <w:color w:val="auto"/>
                <w:lang w:eastAsia="zh-CN"/>
              </w:rPr>
              <w:t>的试样</w:t>
            </w:r>
            <w:r>
              <w:rPr>
                <w:rFonts w:hint="eastAsia" w:cs="Times New Roman"/>
                <w:color w:val="auto"/>
                <w:lang w:val="en-US" w:eastAsia="zh-CN"/>
              </w:rPr>
              <w:t>4块</w:t>
            </w:r>
            <w:r>
              <w:rPr>
                <w:rFonts w:hint="eastAsia" w:cs="Times New Roman"/>
                <w:color w:val="auto"/>
                <w:lang w:eastAsia="zh-CN"/>
              </w:rPr>
              <w:t>。</w:t>
            </w:r>
          </w:p>
          <w:p w14:paraId="3A5EE169">
            <w:pPr>
              <w:ind w:firstLine="480"/>
              <w:rPr>
                <w:rFonts w:hint="eastAsia" w:cs="Times New Roman"/>
                <w:color w:val="auto"/>
                <w:lang w:eastAsia="zh-CN"/>
              </w:rPr>
            </w:pPr>
            <w:r>
              <w:rPr>
                <w:rFonts w:hint="eastAsia" w:cs="Times New Roman"/>
                <w:b/>
                <w:bCs/>
                <w:color w:val="auto"/>
                <w:lang w:eastAsia="zh-CN"/>
              </w:rPr>
              <w:t>该过程会产生固体废物废样品S1。</w:t>
            </w:r>
          </w:p>
          <w:p w14:paraId="38D4D51B">
            <w:pPr>
              <w:ind w:firstLine="480"/>
              <w:rPr>
                <w:rFonts w:hint="eastAsia" w:cs="Times New Roman"/>
                <w:color w:val="auto"/>
                <w:lang w:val="en-US" w:eastAsia="zh-CN"/>
              </w:rPr>
            </w:pPr>
            <w:r>
              <w:rPr>
                <w:rFonts w:hint="eastAsia" w:cs="Times New Roman"/>
                <w:color w:val="auto"/>
                <w:lang w:eastAsia="zh-CN"/>
              </w:rPr>
              <w:t>②样品养护：将成型的</w:t>
            </w:r>
            <w:r>
              <w:rPr>
                <w:rFonts w:hint="eastAsia" w:cs="Times New Roman"/>
                <w:color w:val="auto"/>
                <w:lang w:val="en-US" w:eastAsia="zh-CN"/>
              </w:rPr>
              <w:t>试样放入60±0.5℃，湿度50±5%的养护间内养护24h以上。</w:t>
            </w:r>
          </w:p>
          <w:p w14:paraId="31BB1276">
            <w:pPr>
              <w:ind w:firstLine="480"/>
              <w:rPr>
                <w:rFonts w:hint="eastAsia" w:cs="Times New Roman"/>
                <w:color w:val="auto"/>
                <w:lang w:eastAsia="zh-CN"/>
              </w:rPr>
            </w:pPr>
            <w:r>
              <w:rPr>
                <w:rFonts w:hint="eastAsia" w:cs="Times New Roman"/>
                <w:color w:val="auto"/>
                <w:lang w:eastAsia="zh-CN"/>
              </w:rPr>
              <w:t>③样品试验：将</w:t>
            </w:r>
            <w:r>
              <w:rPr>
                <w:rFonts w:hint="eastAsia" w:cs="Times New Roman"/>
                <w:color w:val="auto"/>
                <w:lang w:val="en-US" w:eastAsia="zh-CN"/>
              </w:rPr>
              <w:t>试件</w:t>
            </w:r>
            <w:r>
              <w:rPr>
                <w:rFonts w:hint="eastAsia" w:cs="Times New Roman"/>
                <w:color w:val="auto"/>
                <w:lang w:eastAsia="zh-CN"/>
              </w:rPr>
              <w:t>置于（60±0.5）℃的恒温水槽中保温，保温时间对标准击实试件为30-40min，试件从恒温水槽中取出至加载结束，计时不超过30s。</w:t>
            </w:r>
          </w:p>
          <w:p w14:paraId="042A2AED">
            <w:pPr>
              <w:ind w:firstLine="480"/>
              <w:rPr>
                <w:rFonts w:hint="eastAsia" w:cs="Times New Roman"/>
                <w:color w:val="auto"/>
                <w:lang w:eastAsia="zh-CN"/>
              </w:rPr>
            </w:pPr>
            <w:r>
              <w:rPr>
                <w:rFonts w:hint="eastAsia" w:cs="Times New Roman"/>
                <w:b/>
                <w:bCs/>
                <w:color w:val="auto"/>
                <w:lang w:eastAsia="zh-CN"/>
              </w:rPr>
              <w:t>该过程会产生固体废物实验残留样品S2。</w:t>
            </w:r>
          </w:p>
          <w:p w14:paraId="0E181404">
            <w:pPr>
              <w:ind w:firstLine="480"/>
              <w:rPr>
                <w:rFonts w:hint="eastAsia" w:cs="Times New Roman"/>
                <w:color w:val="auto"/>
                <w:lang w:val="en-US" w:eastAsia="zh-CN"/>
              </w:rPr>
            </w:pPr>
            <w:r>
              <w:rPr>
                <w:rFonts w:hint="eastAsia" w:cs="Times New Roman"/>
                <w:color w:val="auto"/>
                <w:lang w:eastAsia="zh-CN"/>
              </w:rPr>
              <w:t>④出具报告：实验观察并记录实验结果，出具报告，样品留样至少72h后委托专业处置单位收集处置。</w:t>
            </w:r>
          </w:p>
          <w:p w14:paraId="5E71F8DE">
            <w:pPr>
              <w:ind w:firstLine="480"/>
              <w:rPr>
                <w:rFonts w:hint="default" w:cs="Times New Roman"/>
                <w:color w:val="auto"/>
                <w:lang w:val="en-US" w:eastAsia="zh-CN"/>
              </w:rPr>
            </w:pPr>
            <w:r>
              <w:rPr>
                <w:rFonts w:hint="eastAsia" w:cs="Times New Roman"/>
                <w:b/>
                <w:bCs/>
                <w:color w:val="auto"/>
                <w:lang w:val="en-US" w:eastAsia="zh-CN"/>
              </w:rPr>
              <w:t>5</w:t>
            </w:r>
            <w:r>
              <w:rPr>
                <w:rFonts w:hint="eastAsia" w:cs="Times New Roman"/>
                <w:b/>
                <w:bCs/>
                <w:color w:val="auto"/>
                <w:lang w:eastAsia="zh-CN"/>
              </w:rPr>
              <w:t>）</w:t>
            </w:r>
            <w:r>
              <w:rPr>
                <w:rFonts w:hint="eastAsia" w:cs="Times New Roman"/>
                <w:b/>
                <w:bCs/>
                <w:color w:val="auto"/>
                <w:lang w:val="en-US" w:eastAsia="zh-CN"/>
              </w:rPr>
              <w:t>门窗性能试验</w:t>
            </w:r>
          </w:p>
          <w:p w14:paraId="65542CC7">
            <w:pPr>
              <w:ind w:firstLine="480"/>
              <w:rPr>
                <w:rFonts w:hint="eastAsia" w:cs="Times New Roman"/>
                <w:color w:val="auto"/>
                <w:lang w:eastAsia="zh-CN"/>
              </w:rPr>
            </w:pPr>
            <w:r>
              <w:rPr>
                <w:rFonts w:hint="eastAsia" w:cs="Times New Roman"/>
                <w:color w:val="auto"/>
                <w:lang w:eastAsia="zh-CN"/>
              </w:rPr>
              <w:t>接收样品后检查样品状态，有无破损或五金件安装不全。状态调节至少4小时后进行试验，试验完成后打印原始数据并出具报告，通知委托方样品收回。</w:t>
            </w:r>
          </w:p>
          <w:p w14:paraId="265A1A43">
            <w:pPr>
              <w:ind w:firstLine="480"/>
              <w:rPr>
                <w:rFonts w:hint="default" w:eastAsia="宋体" w:cs="Times New Roman"/>
                <w:color w:val="auto"/>
                <w:lang w:val="en-US" w:eastAsia="zh-CN"/>
              </w:rPr>
            </w:pPr>
            <w:r>
              <w:rPr>
                <w:rFonts w:hint="eastAsia" w:cs="Times New Roman"/>
                <w:b/>
                <w:bCs/>
                <w:color w:val="auto"/>
                <w:lang w:eastAsia="zh-CN"/>
              </w:rPr>
              <w:t>（</w:t>
            </w:r>
            <w:r>
              <w:rPr>
                <w:rFonts w:hint="eastAsia" w:cs="Times New Roman"/>
                <w:b/>
                <w:bCs/>
                <w:color w:val="auto"/>
                <w:lang w:val="en-US" w:eastAsia="zh-CN"/>
              </w:rPr>
              <w:t>3</w:t>
            </w:r>
            <w:r>
              <w:rPr>
                <w:rFonts w:hint="eastAsia" w:cs="Times New Roman"/>
                <w:b/>
                <w:bCs/>
                <w:color w:val="auto"/>
                <w:lang w:eastAsia="zh-CN"/>
              </w:rPr>
              <w:t>）</w:t>
            </w:r>
            <w:r>
              <w:rPr>
                <w:rFonts w:hint="eastAsia" w:cs="Times New Roman"/>
                <w:b/>
                <w:bCs/>
                <w:color w:val="auto"/>
                <w:lang w:val="en-US" w:eastAsia="zh-CN"/>
              </w:rPr>
              <w:t>化学性试验</w:t>
            </w:r>
          </w:p>
          <w:p w14:paraId="3FFE77BC">
            <w:pPr>
              <w:ind w:firstLine="480"/>
              <w:rPr>
                <w:rFonts w:hint="eastAsia" w:cs="Times New Roman"/>
                <w:color w:val="auto"/>
                <w:lang w:val="en-US" w:eastAsia="zh-CN"/>
              </w:rPr>
            </w:pPr>
            <w:r>
              <w:rPr>
                <w:rFonts w:hint="eastAsia" w:cs="Times New Roman"/>
                <w:color w:val="auto"/>
                <w:lang w:val="en-US" w:eastAsia="zh-CN"/>
              </w:rPr>
              <w:t>项目化学性试验主要包括VOC、甲醛、苯、TVOC等含量检测，检测样品类别主要为腻子、涂料、板材、空气等。</w:t>
            </w:r>
          </w:p>
          <w:p w14:paraId="6BDC762D">
            <w:pPr>
              <w:ind w:firstLine="480"/>
              <w:rPr>
                <w:rFonts w:hint="eastAsia" w:cs="Times New Roman"/>
                <w:color w:val="auto"/>
                <w:lang w:val="en-US" w:eastAsia="zh-CN"/>
              </w:rPr>
            </w:pPr>
          </w:p>
          <w:p w14:paraId="18BD070F">
            <w:pPr>
              <w:ind w:firstLine="480"/>
              <w:rPr>
                <w:rFonts w:hint="eastAsia" w:cs="Times New Roman"/>
                <w:color w:val="auto"/>
                <w:lang w:val="en-US" w:eastAsia="zh-CN"/>
              </w:rPr>
            </w:pPr>
          </w:p>
          <w:p w14:paraId="3B0901C8">
            <w:pPr>
              <w:ind w:firstLine="480"/>
              <w:rPr>
                <w:rFonts w:hint="eastAsia" w:cs="Times New Roman"/>
                <w:color w:val="auto"/>
                <w:lang w:val="en-US" w:eastAsia="zh-CN"/>
              </w:rPr>
            </w:pPr>
          </w:p>
          <w:p w14:paraId="4A414B42">
            <w:pPr>
              <w:ind w:firstLine="480"/>
              <w:rPr>
                <w:rFonts w:hint="eastAsia" w:cs="Times New Roman"/>
                <w:color w:val="auto"/>
                <w:lang w:val="en-US" w:eastAsia="zh-CN"/>
              </w:rPr>
            </w:pPr>
          </w:p>
          <w:p w14:paraId="7878C296">
            <w:pPr>
              <w:ind w:firstLine="480"/>
              <w:rPr>
                <w:rFonts w:hint="eastAsia" w:cs="Times New Roman"/>
                <w:color w:val="auto"/>
                <w:lang w:val="en-US" w:eastAsia="zh-CN"/>
              </w:rPr>
            </w:pPr>
          </w:p>
          <w:p w14:paraId="0ABFA2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color w:val="auto"/>
              </w:rPr>
            </w:pPr>
            <w:r>
              <w:rPr>
                <w:rFonts w:hint="eastAsia"/>
                <w:vertAlign w:val="baseline"/>
                <w:lang w:val="en-US" w:eastAsia="zh-CN"/>
              </w:rPr>
              <w:drawing>
                <wp:inline distT="0" distB="0" distL="114300" distR="114300">
                  <wp:extent cx="3958590" cy="2693035"/>
                  <wp:effectExtent l="0" t="0" r="0" b="0"/>
                  <wp:docPr id="77" name="ECB019B1-382A-4266-B25C-5B523AA43C14-2" descr="C:/Users/17924/AppData/Local/Temp/wps.tlVjS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CB019B1-382A-4266-B25C-5B523AA43C14-2" descr="C:/Users/17924/AppData/Local/Temp/wps.tlVjSWwps"/>
                          <pic:cNvPicPr>
                            <a:picLocks noChangeAspect="1"/>
                          </pic:cNvPicPr>
                        </pic:nvPicPr>
                        <pic:blipFill>
                          <a:blip r:embed="rId10"/>
                          <a:stretch>
                            <a:fillRect/>
                          </a:stretch>
                        </pic:blipFill>
                        <pic:spPr>
                          <a:xfrm>
                            <a:off x="0" y="0"/>
                            <a:ext cx="3958590" cy="2693035"/>
                          </a:xfrm>
                          <a:prstGeom prst="rect">
                            <a:avLst/>
                          </a:prstGeom>
                        </pic:spPr>
                      </pic:pic>
                    </a:graphicData>
                  </a:graphic>
                </wp:inline>
              </w:drawing>
            </w:r>
          </w:p>
          <w:p w14:paraId="471A3DB2">
            <w:pPr>
              <w:pStyle w:val="24"/>
              <w:bidi w:val="0"/>
              <w:rPr>
                <w:rFonts w:hint="default" w:eastAsia="宋体" w:cs="Times New Roman"/>
                <w:color w:val="auto"/>
                <w:lang w:val="en-US" w:eastAsia="zh-CN"/>
              </w:rPr>
            </w:pPr>
            <w:r>
              <w:rPr>
                <w:rFonts w:hint="eastAsia"/>
                <w:lang w:val="en-US" w:eastAsia="zh-CN"/>
              </w:rPr>
              <w:t>图2-3 化学性试验流程及产排污节点图</w:t>
            </w:r>
          </w:p>
          <w:p w14:paraId="2B3987E4">
            <w:pPr>
              <w:ind w:firstLine="480"/>
              <w:rPr>
                <w:rFonts w:hint="eastAsia" w:cs="Times New Roman"/>
                <w:color w:val="auto"/>
                <w:lang w:val="en-US" w:eastAsia="zh-CN"/>
              </w:rPr>
            </w:pPr>
            <w:r>
              <w:rPr>
                <w:rFonts w:hint="eastAsia" w:cs="Times New Roman"/>
                <w:color w:val="auto"/>
              </w:rPr>
              <w:t>①</w:t>
            </w:r>
            <w:r>
              <w:rPr>
                <w:rFonts w:hint="eastAsia" w:cs="Times New Roman"/>
                <w:color w:val="auto"/>
                <w:lang w:val="en-US" w:eastAsia="zh-CN"/>
              </w:rPr>
              <w:t>实验前准备</w:t>
            </w:r>
          </w:p>
          <w:p w14:paraId="4610D2C9">
            <w:pPr>
              <w:ind w:firstLine="480"/>
              <w:rPr>
                <w:rFonts w:hint="eastAsia" w:cs="Times New Roman"/>
                <w:color w:val="auto"/>
                <w:lang w:val="en-US" w:eastAsia="zh-CN"/>
              </w:rPr>
            </w:pPr>
            <w:r>
              <w:rPr>
                <w:rFonts w:hint="eastAsia" w:cs="Times New Roman"/>
                <w:color w:val="auto"/>
                <w:lang w:val="en-US" w:eastAsia="zh-CN"/>
              </w:rPr>
              <w:t>该过程主要为样品检测前的准备，如试剂配制、仪器预热、试剂添加等。</w:t>
            </w:r>
          </w:p>
          <w:p w14:paraId="1A4DA60D">
            <w:pPr>
              <w:ind w:firstLine="480"/>
              <w:rPr>
                <w:rFonts w:hint="eastAsia" w:cs="Times New Roman"/>
                <w:color w:val="auto"/>
                <w:lang w:val="en-US" w:eastAsia="zh-CN"/>
              </w:rPr>
            </w:pPr>
            <w:r>
              <w:rPr>
                <w:rFonts w:hint="eastAsia" w:cs="Times New Roman"/>
                <w:color w:val="auto"/>
                <w:lang w:val="en-US" w:eastAsia="zh-CN"/>
              </w:rPr>
              <w:t>按照标准要求配制检测所需的溶液，称量一定试剂在烧杯中溶解，最终转移至容量瓶或试剂瓶中备用。</w:t>
            </w:r>
          </w:p>
          <w:p w14:paraId="2CCF3EBA">
            <w:pPr>
              <w:ind w:firstLine="480"/>
              <w:rPr>
                <w:rFonts w:hint="eastAsia" w:cs="Times New Roman"/>
                <w:color w:val="auto"/>
                <w:lang w:val="en-US" w:eastAsia="zh-CN"/>
              </w:rPr>
            </w:pPr>
            <w:r>
              <w:rPr>
                <w:rFonts w:hint="eastAsia" w:cs="Times New Roman"/>
                <w:color w:val="auto"/>
                <w:lang w:val="en-US" w:eastAsia="zh-CN"/>
              </w:rPr>
              <w:t>按照标准要求开启检测仪器，设定仪器条件，仪器预热待用。</w:t>
            </w:r>
          </w:p>
          <w:p w14:paraId="29B40CF0">
            <w:pPr>
              <w:ind w:firstLine="480"/>
              <w:rPr>
                <w:rFonts w:hint="eastAsia" w:cs="Times New Roman"/>
                <w:color w:val="auto"/>
                <w:lang w:val="en-US" w:eastAsia="zh-CN"/>
              </w:rPr>
            </w:pPr>
            <w:r>
              <w:rPr>
                <w:rFonts w:hint="eastAsia" w:cs="Times New Roman"/>
                <w:b/>
                <w:bCs/>
                <w:color w:val="auto"/>
                <w:lang w:val="en-US" w:eastAsia="zh-CN"/>
              </w:rPr>
              <w:t>该过程会产生实验废气G9（非甲烷总烃、甲醇、乙酸、乙酸乙酯、异丙醇、异丁醇）、检测废液S5（前两遍器皿清洗废水）、检测废水W2（第3~5遍器皿清洗废水）、废一次性耗材S6（沾染试剂的废一次性吸头、一次性手套、废一次性口罩等）、废试剂瓶S7、不含化学品的废包装物S8。</w:t>
            </w:r>
          </w:p>
          <w:p w14:paraId="3FF20D82">
            <w:pPr>
              <w:ind w:firstLine="480"/>
              <w:rPr>
                <w:rFonts w:hint="eastAsia" w:cs="Times New Roman"/>
                <w:color w:val="auto"/>
                <w:lang w:val="en-US" w:eastAsia="zh-CN"/>
              </w:rPr>
            </w:pPr>
            <w:r>
              <w:rPr>
                <w:rFonts w:hint="eastAsia" w:cs="Times New Roman"/>
                <w:color w:val="auto"/>
              </w:rPr>
              <w:t>②</w:t>
            </w:r>
            <w:r>
              <w:rPr>
                <w:rFonts w:hint="eastAsia" w:cs="Times New Roman"/>
                <w:color w:val="auto"/>
                <w:lang w:val="en-US" w:eastAsia="zh-CN"/>
              </w:rPr>
              <w:t>样品采集</w:t>
            </w:r>
          </w:p>
          <w:p w14:paraId="246E06A0">
            <w:pPr>
              <w:ind w:firstLine="480"/>
              <w:rPr>
                <w:rFonts w:hint="default" w:cs="Times New Roman"/>
                <w:color w:val="auto"/>
                <w:lang w:val="en-US" w:eastAsia="zh-CN"/>
              </w:rPr>
            </w:pPr>
            <w:r>
              <w:rPr>
                <w:rFonts w:hint="eastAsia" w:cs="Times New Roman"/>
                <w:color w:val="auto"/>
                <w:lang w:val="en-US" w:eastAsia="zh-CN"/>
              </w:rPr>
              <w:t>根据不同检测项目的需要，分别用不同实验器皿采集对应检测样品。</w:t>
            </w:r>
          </w:p>
          <w:p w14:paraId="2A9A223E">
            <w:pPr>
              <w:ind w:firstLine="480"/>
              <w:rPr>
                <w:rFonts w:hint="eastAsia" w:cs="Times New Roman"/>
                <w:color w:val="auto"/>
                <w:lang w:val="en-US" w:eastAsia="zh-CN"/>
              </w:rPr>
            </w:pPr>
            <w:r>
              <w:rPr>
                <w:rFonts w:hint="eastAsia" w:cs="Times New Roman"/>
                <w:color w:val="auto"/>
              </w:rPr>
              <w:t>③</w:t>
            </w:r>
            <w:r>
              <w:rPr>
                <w:rFonts w:hint="eastAsia" w:cs="Times New Roman"/>
                <w:color w:val="auto"/>
                <w:lang w:val="en-US" w:eastAsia="zh-CN"/>
              </w:rPr>
              <w:t>样品检测</w:t>
            </w:r>
          </w:p>
          <w:p w14:paraId="1ED8E52A">
            <w:pPr>
              <w:ind w:firstLine="480"/>
              <w:rPr>
                <w:rFonts w:hint="eastAsia" w:cs="Times New Roman"/>
                <w:color w:val="auto"/>
                <w:lang w:val="en-US" w:eastAsia="zh-CN"/>
              </w:rPr>
            </w:pPr>
            <w:r>
              <w:rPr>
                <w:rFonts w:hint="eastAsia" w:cs="Times New Roman"/>
                <w:color w:val="auto"/>
                <w:lang w:val="en-US" w:eastAsia="zh-CN"/>
              </w:rPr>
              <w:t>检测方法主要包括有容量滴定法、仪器法（分光光度法、气相色谱法）等，各方法检测步骤如下：</w:t>
            </w:r>
          </w:p>
          <w:p w14:paraId="5A9735EB">
            <w:pPr>
              <w:ind w:firstLine="480"/>
              <w:rPr>
                <w:rFonts w:hint="eastAsia" w:cs="Times New Roman"/>
                <w:color w:val="auto"/>
                <w:lang w:val="en-US" w:eastAsia="zh-CN"/>
              </w:rPr>
            </w:pPr>
            <w:r>
              <w:rPr>
                <w:rFonts w:hint="eastAsia" w:cs="Times New Roman"/>
                <w:color w:val="auto"/>
                <w:lang w:val="en-US" w:eastAsia="zh-CN"/>
              </w:rPr>
              <w:t>a容量滴定法：量取一定量样品，加入指示剂，用标准溶液滴定至终点，根据滴定所消耗的标准溶液的浓度和体积以及被测物质与标准溶液所进行的化学反应计量关系，求出被测物质的含量。</w:t>
            </w:r>
          </w:p>
          <w:p w14:paraId="5EAA8B32">
            <w:pPr>
              <w:ind w:firstLine="480"/>
              <w:rPr>
                <w:rFonts w:hint="eastAsia" w:cs="Times New Roman"/>
                <w:color w:val="auto"/>
                <w:lang w:val="en-US" w:eastAsia="zh-CN"/>
              </w:rPr>
            </w:pPr>
            <w:r>
              <w:rPr>
                <w:rFonts w:hint="eastAsia" w:cs="Times New Roman"/>
                <w:color w:val="auto"/>
                <w:lang w:val="en-US" w:eastAsia="zh-CN"/>
              </w:rPr>
              <w:t>b仪器法：按照标准要求配制不同浓度系列的标准溶液，不同检测项目分别用分光光度计、气相色谱等在一定条件下测量响应信号，根据标准浓度与响应信号关系建立标准曲线。与测量标准溶液的相同条件测量样品的响应信号，根据标准曲线分别计算各被测物质的含量。</w:t>
            </w:r>
          </w:p>
          <w:p w14:paraId="1397A02F">
            <w:pPr>
              <w:ind w:firstLine="480"/>
              <w:rPr>
                <w:rFonts w:hint="eastAsia" w:cs="Times New Roman"/>
                <w:color w:val="auto"/>
              </w:rPr>
            </w:pPr>
            <w:r>
              <w:rPr>
                <w:rFonts w:hint="eastAsia" w:cs="Times New Roman"/>
                <w:b/>
                <w:bCs/>
                <w:color w:val="auto"/>
              </w:rPr>
              <w:t>该过程会产生实验废气</w:t>
            </w:r>
            <w:r>
              <w:rPr>
                <w:rFonts w:hint="eastAsia" w:cs="Times New Roman"/>
                <w:b/>
                <w:bCs/>
                <w:color w:val="auto"/>
                <w:lang w:val="en-US" w:eastAsia="zh-CN"/>
              </w:rPr>
              <w:t>G9</w:t>
            </w:r>
            <w:r>
              <w:rPr>
                <w:rFonts w:hint="eastAsia" w:cs="Times New Roman"/>
                <w:b/>
                <w:bCs/>
                <w:color w:val="auto"/>
              </w:rPr>
              <w:t>（非甲烷总烃、甲醇、乙酸、乙酸乙酯、异丙醇、异丁醇）、实验废液</w:t>
            </w:r>
            <w:r>
              <w:rPr>
                <w:rFonts w:hint="eastAsia" w:cs="Times New Roman"/>
                <w:b/>
                <w:bCs/>
                <w:color w:val="auto"/>
                <w:lang w:val="en-US" w:eastAsia="zh-CN"/>
              </w:rPr>
              <w:t>S5</w:t>
            </w:r>
            <w:r>
              <w:rPr>
                <w:rFonts w:hint="eastAsia" w:cs="Times New Roman"/>
                <w:b/>
                <w:bCs/>
                <w:color w:val="auto"/>
              </w:rPr>
              <w:t>（检测废液、前两遍器皿清洗废水）、</w:t>
            </w:r>
            <w:r>
              <w:rPr>
                <w:rFonts w:hint="eastAsia" w:cs="Times New Roman"/>
                <w:b/>
                <w:bCs/>
                <w:color w:val="auto"/>
                <w:lang w:val="en-US" w:eastAsia="zh-CN"/>
              </w:rPr>
              <w:t>检测</w:t>
            </w:r>
            <w:r>
              <w:rPr>
                <w:rFonts w:hint="eastAsia" w:cs="Times New Roman"/>
                <w:b/>
                <w:bCs/>
                <w:color w:val="auto"/>
              </w:rPr>
              <w:t>废水</w:t>
            </w:r>
            <w:r>
              <w:rPr>
                <w:rFonts w:hint="eastAsia" w:cs="Times New Roman"/>
                <w:b/>
                <w:bCs/>
                <w:color w:val="auto"/>
                <w:lang w:val="en-US" w:eastAsia="zh-CN"/>
              </w:rPr>
              <w:t>W2</w:t>
            </w:r>
            <w:r>
              <w:rPr>
                <w:rFonts w:hint="eastAsia" w:cs="Times New Roman"/>
                <w:b/>
                <w:bCs/>
                <w:color w:val="auto"/>
              </w:rPr>
              <w:t>（第3~5遍器皿清洗废水）、废一次性耗材</w:t>
            </w:r>
            <w:r>
              <w:rPr>
                <w:rFonts w:hint="eastAsia" w:cs="Times New Roman"/>
                <w:b/>
                <w:bCs/>
                <w:color w:val="auto"/>
                <w:lang w:val="en-US" w:eastAsia="zh-CN"/>
              </w:rPr>
              <w:t>S6</w:t>
            </w:r>
            <w:r>
              <w:rPr>
                <w:rFonts w:hint="eastAsia" w:cs="Times New Roman"/>
                <w:b/>
                <w:bCs/>
                <w:color w:val="auto"/>
              </w:rPr>
              <w:t>（沾染试剂的废一次性吸头、一次性手套、废一次性口罩等）。</w:t>
            </w:r>
          </w:p>
          <w:p w14:paraId="26305570">
            <w:pPr>
              <w:ind w:firstLine="480"/>
              <w:rPr>
                <w:rFonts w:cs="Times New Roman"/>
                <w:color w:val="auto"/>
              </w:rPr>
            </w:pPr>
            <w:r>
              <w:rPr>
                <w:rFonts w:hint="eastAsia" w:cs="Times New Roman"/>
                <w:color w:val="auto"/>
              </w:rPr>
              <w:t>④</w:t>
            </w:r>
            <w:r>
              <w:rPr>
                <w:rFonts w:hint="eastAsia" w:cs="Times New Roman"/>
                <w:color w:val="auto"/>
                <w:lang w:val="en-US" w:eastAsia="zh-CN"/>
              </w:rPr>
              <w:t>出具数据：</w:t>
            </w:r>
            <w:r>
              <w:rPr>
                <w:rFonts w:hint="eastAsia" w:cs="Times New Roman"/>
                <w:color w:val="auto"/>
              </w:rPr>
              <w:t>实验观察并记录实验结果，出具报告，样品留样至少72h后委托专业处置单位收集处置。</w:t>
            </w:r>
          </w:p>
          <w:p w14:paraId="25D7E5B8">
            <w:pPr>
              <w:ind w:firstLine="482"/>
              <w:rPr>
                <w:rFonts w:cs="Times New Roman"/>
                <w:b/>
                <w:bCs/>
                <w:color w:val="auto"/>
              </w:rPr>
            </w:pPr>
            <w:r>
              <w:rPr>
                <w:rFonts w:hint="eastAsia" w:cs="Times New Roman"/>
                <w:b/>
                <w:bCs/>
                <w:color w:val="auto"/>
              </w:rPr>
              <w:t>（</w:t>
            </w:r>
            <w:r>
              <w:rPr>
                <w:rFonts w:hint="eastAsia" w:cs="Times New Roman"/>
                <w:b/>
                <w:bCs/>
                <w:color w:val="auto"/>
                <w:lang w:val="en-US" w:eastAsia="zh-CN"/>
              </w:rPr>
              <w:t>4</w:t>
            </w:r>
            <w:r>
              <w:rPr>
                <w:rFonts w:hint="eastAsia" w:cs="Times New Roman"/>
                <w:b/>
                <w:bCs/>
                <w:color w:val="auto"/>
              </w:rPr>
              <w:t>）其他</w:t>
            </w:r>
          </w:p>
          <w:p w14:paraId="1DC149E9">
            <w:pPr>
              <w:ind w:firstLine="480"/>
              <w:rPr>
                <w:rFonts w:cs="Times New Roman"/>
                <w:color w:val="auto"/>
              </w:rPr>
            </w:pPr>
            <w:r>
              <w:rPr>
                <w:rFonts w:hint="eastAsia" w:cs="Times New Roman"/>
                <w:color w:val="auto"/>
              </w:rPr>
              <w:t>运营期职工日常工作生活产生生活污水W1；</w:t>
            </w:r>
          </w:p>
          <w:p w14:paraId="2C46D6BA">
            <w:pPr>
              <w:ind w:firstLine="480"/>
              <w:rPr>
                <w:rFonts w:hint="eastAsia" w:cs="Times New Roman"/>
                <w:color w:val="auto"/>
              </w:rPr>
            </w:pPr>
            <w:r>
              <w:rPr>
                <w:rFonts w:hint="eastAsia" w:cs="Times New Roman"/>
                <w:color w:val="auto"/>
              </w:rPr>
              <w:t>废气治理设施布袋除尘器运行过程产生废布袋S3、活性炭吸附运行过程产生的废活性炭S4。</w:t>
            </w:r>
          </w:p>
          <w:p w14:paraId="594198A9">
            <w:pPr>
              <w:ind w:firstLine="480"/>
              <w:rPr>
                <w:rFonts w:hint="eastAsia" w:cs="Times New Roman"/>
                <w:color w:val="auto"/>
              </w:rPr>
            </w:pPr>
            <w:r>
              <w:rPr>
                <w:rFonts w:hint="eastAsia" w:cs="Times New Roman"/>
                <w:color w:val="auto"/>
                <w:lang w:val="en-US" w:eastAsia="zh-CN"/>
              </w:rPr>
              <w:t>项目主要污染源及污染因子识别见下表。</w:t>
            </w:r>
          </w:p>
          <w:p w14:paraId="44372248">
            <w:pPr>
              <w:pStyle w:val="24"/>
              <w:rPr>
                <w:color w:val="auto"/>
              </w:rPr>
            </w:pPr>
            <w:r>
              <w:rPr>
                <w:rFonts w:hint="eastAsia"/>
                <w:color w:val="auto"/>
              </w:rPr>
              <w:t>表2-7 排污节点一览表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095"/>
              <w:gridCol w:w="1170"/>
              <w:gridCol w:w="1470"/>
              <w:gridCol w:w="3496"/>
            </w:tblGrid>
            <w:tr w14:paraId="1DC383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tcMar>
                    <w:top w:w="0" w:type="dxa"/>
                    <w:left w:w="0" w:type="dxa"/>
                    <w:bottom w:w="0" w:type="dxa"/>
                    <w:right w:w="0" w:type="dxa"/>
                  </w:tcMar>
                  <w:vAlign w:val="center"/>
                </w:tcPr>
                <w:p w14:paraId="02F3AD05">
                  <w:pPr>
                    <w:adjustRightInd w:val="0"/>
                    <w:snapToGrid w:val="0"/>
                    <w:spacing w:line="240" w:lineRule="auto"/>
                    <w:ind w:firstLine="0" w:firstLineChars="0"/>
                    <w:jc w:val="center"/>
                    <w:rPr>
                      <w:b/>
                      <w:bCs/>
                      <w:color w:val="auto"/>
                      <w:sz w:val="21"/>
                      <w:szCs w:val="21"/>
                    </w:rPr>
                  </w:pPr>
                  <w:r>
                    <w:rPr>
                      <w:b/>
                      <w:bCs/>
                      <w:color w:val="auto"/>
                      <w:sz w:val="21"/>
                      <w:szCs w:val="21"/>
                      <w:lang w:val="zh-CN"/>
                    </w:rPr>
                    <w:t>污染物类别</w:t>
                  </w:r>
                </w:p>
              </w:tc>
              <w:tc>
                <w:tcPr>
                  <w:tcW w:w="1095" w:type="dxa"/>
                  <w:tcBorders>
                    <w:tl2br w:val="nil"/>
                    <w:tr2bl w:val="nil"/>
                  </w:tcBorders>
                  <w:tcMar>
                    <w:top w:w="0" w:type="dxa"/>
                    <w:left w:w="0" w:type="dxa"/>
                    <w:bottom w:w="0" w:type="dxa"/>
                    <w:right w:w="0" w:type="dxa"/>
                  </w:tcMar>
                  <w:vAlign w:val="center"/>
                </w:tcPr>
                <w:p w14:paraId="11B3C4BE">
                  <w:pPr>
                    <w:adjustRightInd w:val="0"/>
                    <w:snapToGrid w:val="0"/>
                    <w:spacing w:line="240" w:lineRule="auto"/>
                    <w:ind w:firstLine="0" w:firstLineChars="0"/>
                    <w:jc w:val="center"/>
                    <w:rPr>
                      <w:b/>
                      <w:bCs/>
                      <w:color w:val="auto"/>
                      <w:sz w:val="21"/>
                      <w:szCs w:val="21"/>
                    </w:rPr>
                  </w:pPr>
                  <w:r>
                    <w:rPr>
                      <w:b/>
                      <w:bCs/>
                      <w:color w:val="auto"/>
                      <w:sz w:val="21"/>
                      <w:szCs w:val="21"/>
                      <w:lang w:val="zh-CN"/>
                    </w:rPr>
                    <w:t>污染来源</w:t>
                  </w:r>
                </w:p>
              </w:tc>
              <w:tc>
                <w:tcPr>
                  <w:tcW w:w="1170" w:type="dxa"/>
                  <w:tcBorders>
                    <w:tl2br w:val="nil"/>
                    <w:tr2bl w:val="nil"/>
                  </w:tcBorders>
                  <w:tcMar>
                    <w:top w:w="0" w:type="dxa"/>
                    <w:left w:w="0" w:type="dxa"/>
                    <w:bottom w:w="0" w:type="dxa"/>
                    <w:right w:w="0" w:type="dxa"/>
                  </w:tcMar>
                  <w:vAlign w:val="center"/>
                </w:tcPr>
                <w:p w14:paraId="6735F2A5">
                  <w:pPr>
                    <w:adjustRightInd w:val="0"/>
                    <w:snapToGrid w:val="0"/>
                    <w:spacing w:line="240" w:lineRule="auto"/>
                    <w:ind w:firstLine="0" w:firstLineChars="0"/>
                    <w:jc w:val="center"/>
                    <w:rPr>
                      <w:b/>
                      <w:bCs/>
                      <w:color w:val="auto"/>
                      <w:sz w:val="21"/>
                      <w:szCs w:val="21"/>
                    </w:rPr>
                  </w:pPr>
                  <w:r>
                    <w:rPr>
                      <w:rFonts w:hint="eastAsia"/>
                      <w:b/>
                      <w:bCs/>
                      <w:color w:val="auto"/>
                      <w:sz w:val="21"/>
                      <w:szCs w:val="21"/>
                    </w:rPr>
                    <w:t>污染物名称</w:t>
                  </w:r>
                </w:p>
              </w:tc>
              <w:tc>
                <w:tcPr>
                  <w:tcW w:w="1470" w:type="dxa"/>
                  <w:tcBorders>
                    <w:tl2br w:val="nil"/>
                    <w:tr2bl w:val="nil"/>
                  </w:tcBorders>
                  <w:tcMar>
                    <w:top w:w="0" w:type="dxa"/>
                    <w:left w:w="0" w:type="dxa"/>
                    <w:bottom w:w="0" w:type="dxa"/>
                    <w:right w:w="0" w:type="dxa"/>
                  </w:tcMar>
                  <w:vAlign w:val="center"/>
                </w:tcPr>
                <w:p w14:paraId="27668F47">
                  <w:pPr>
                    <w:adjustRightInd w:val="0"/>
                    <w:snapToGrid w:val="0"/>
                    <w:spacing w:line="240" w:lineRule="auto"/>
                    <w:ind w:firstLine="0" w:firstLineChars="0"/>
                    <w:jc w:val="center"/>
                    <w:rPr>
                      <w:b/>
                      <w:bCs/>
                      <w:color w:val="auto"/>
                      <w:sz w:val="21"/>
                      <w:szCs w:val="21"/>
                      <w:lang w:val="zh-CN"/>
                    </w:rPr>
                  </w:pPr>
                  <w:r>
                    <w:rPr>
                      <w:rFonts w:hint="eastAsia"/>
                      <w:b/>
                      <w:bCs/>
                      <w:color w:val="auto"/>
                      <w:sz w:val="21"/>
                      <w:szCs w:val="21"/>
                      <w:lang w:val="zh-CN"/>
                    </w:rPr>
                    <w:t>污染因子</w:t>
                  </w:r>
                </w:p>
              </w:tc>
              <w:tc>
                <w:tcPr>
                  <w:tcW w:w="3496" w:type="dxa"/>
                  <w:tcBorders>
                    <w:tl2br w:val="nil"/>
                    <w:tr2bl w:val="nil"/>
                  </w:tcBorders>
                  <w:tcMar>
                    <w:top w:w="0" w:type="dxa"/>
                    <w:left w:w="0" w:type="dxa"/>
                    <w:bottom w:w="0" w:type="dxa"/>
                    <w:right w:w="0" w:type="dxa"/>
                  </w:tcMar>
                  <w:vAlign w:val="center"/>
                </w:tcPr>
                <w:p w14:paraId="1E42E123">
                  <w:pPr>
                    <w:adjustRightInd w:val="0"/>
                    <w:snapToGrid w:val="0"/>
                    <w:spacing w:line="240" w:lineRule="auto"/>
                    <w:ind w:firstLine="0" w:firstLineChars="0"/>
                    <w:jc w:val="center"/>
                    <w:rPr>
                      <w:b/>
                      <w:bCs/>
                      <w:color w:val="auto"/>
                      <w:sz w:val="21"/>
                      <w:szCs w:val="21"/>
                    </w:rPr>
                  </w:pPr>
                  <w:r>
                    <w:rPr>
                      <w:rFonts w:hint="eastAsia"/>
                      <w:b/>
                      <w:bCs/>
                      <w:color w:val="auto"/>
                      <w:sz w:val="21"/>
                      <w:szCs w:val="21"/>
                      <w:lang w:val="zh-CN"/>
                    </w:rPr>
                    <w:t>治理措施及排放形式</w:t>
                  </w:r>
                </w:p>
              </w:tc>
            </w:tr>
            <w:tr w14:paraId="4B6ED1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restart"/>
                  <w:tcBorders>
                    <w:tl2br w:val="nil"/>
                    <w:tr2bl w:val="nil"/>
                  </w:tcBorders>
                  <w:tcMar>
                    <w:top w:w="0" w:type="dxa"/>
                    <w:left w:w="0" w:type="dxa"/>
                    <w:bottom w:w="0" w:type="dxa"/>
                    <w:right w:w="0" w:type="dxa"/>
                  </w:tcMar>
                  <w:vAlign w:val="center"/>
                </w:tcPr>
                <w:p w14:paraId="799BAA9B">
                  <w:pPr>
                    <w:adjustRightInd w:val="0"/>
                    <w:snapToGrid w:val="0"/>
                    <w:spacing w:line="240" w:lineRule="auto"/>
                    <w:ind w:firstLine="0" w:firstLineChars="0"/>
                    <w:jc w:val="center"/>
                    <w:rPr>
                      <w:color w:val="auto"/>
                      <w:sz w:val="21"/>
                      <w:szCs w:val="21"/>
                      <w:lang w:val="zh-CN"/>
                    </w:rPr>
                  </w:pPr>
                  <w:r>
                    <w:rPr>
                      <w:rFonts w:hint="eastAsia"/>
                      <w:color w:val="auto"/>
                      <w:sz w:val="21"/>
                      <w:szCs w:val="21"/>
                    </w:rPr>
                    <w:t>废气</w:t>
                  </w:r>
                </w:p>
              </w:tc>
              <w:tc>
                <w:tcPr>
                  <w:tcW w:w="1095" w:type="dxa"/>
                  <w:tcBorders>
                    <w:tl2br w:val="nil"/>
                    <w:tr2bl w:val="nil"/>
                  </w:tcBorders>
                  <w:shd w:val="clear" w:color="auto" w:fill="auto"/>
                  <w:tcMar>
                    <w:top w:w="0" w:type="dxa"/>
                    <w:left w:w="0" w:type="dxa"/>
                    <w:bottom w:w="0" w:type="dxa"/>
                    <w:right w:w="0" w:type="dxa"/>
                  </w:tcMar>
                  <w:vAlign w:val="center"/>
                </w:tcPr>
                <w:p w14:paraId="7F0CE25E">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val="en-US" w:eastAsia="zh-CN"/>
                    </w:rPr>
                    <w:t>成型废气</w:t>
                  </w:r>
                </w:p>
              </w:tc>
              <w:tc>
                <w:tcPr>
                  <w:tcW w:w="1170" w:type="dxa"/>
                  <w:tcBorders>
                    <w:tl2br w:val="nil"/>
                    <w:tr2bl w:val="nil"/>
                  </w:tcBorders>
                  <w:shd w:val="clear" w:color="auto" w:fill="auto"/>
                  <w:tcMar>
                    <w:top w:w="0" w:type="dxa"/>
                    <w:left w:w="0" w:type="dxa"/>
                    <w:bottom w:w="0" w:type="dxa"/>
                    <w:right w:w="0" w:type="dxa"/>
                  </w:tcMar>
                  <w:vAlign w:val="center"/>
                </w:tcPr>
                <w:p w14:paraId="7CE1AADF">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成型切割废气G1</w:t>
                  </w:r>
                </w:p>
              </w:tc>
              <w:tc>
                <w:tcPr>
                  <w:tcW w:w="1470" w:type="dxa"/>
                  <w:tcBorders>
                    <w:tl2br w:val="nil"/>
                    <w:tr2bl w:val="nil"/>
                  </w:tcBorders>
                  <w:shd w:val="clear" w:color="auto" w:fill="auto"/>
                  <w:tcMar>
                    <w:top w:w="0" w:type="dxa"/>
                    <w:left w:w="0" w:type="dxa"/>
                    <w:bottom w:w="0" w:type="dxa"/>
                    <w:right w:w="0" w:type="dxa"/>
                  </w:tcMar>
                  <w:vAlign w:val="center"/>
                </w:tcPr>
                <w:p w14:paraId="2B7D2753">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颗粒物</w:t>
                  </w:r>
                </w:p>
              </w:tc>
              <w:tc>
                <w:tcPr>
                  <w:tcW w:w="3496" w:type="dxa"/>
                  <w:vMerge w:val="restart"/>
                  <w:tcBorders>
                    <w:tl2br w:val="nil"/>
                    <w:tr2bl w:val="nil"/>
                  </w:tcBorders>
                  <w:shd w:val="clear" w:color="auto" w:fill="auto"/>
                  <w:tcMar>
                    <w:top w:w="0" w:type="dxa"/>
                    <w:left w:w="0" w:type="dxa"/>
                    <w:bottom w:w="0" w:type="dxa"/>
                    <w:right w:w="0" w:type="dxa"/>
                  </w:tcMar>
                  <w:vAlign w:val="center"/>
                </w:tcPr>
                <w:p w14:paraId="28017C09">
                  <w:pPr>
                    <w:adjustRightInd w:val="0"/>
                    <w:snapToGrid w:val="0"/>
                    <w:spacing w:line="240" w:lineRule="auto"/>
                    <w:ind w:firstLine="0" w:firstLineChars="0"/>
                    <w:rPr>
                      <w:rFonts w:cs="Times New Roman"/>
                      <w:color w:val="auto"/>
                      <w:sz w:val="21"/>
                      <w:szCs w:val="21"/>
                    </w:rPr>
                  </w:pPr>
                  <w:r>
                    <w:rPr>
                      <w:rFonts w:hint="eastAsia" w:cs="Times New Roman"/>
                      <w:color w:val="auto"/>
                      <w:sz w:val="21"/>
                      <w:szCs w:val="21"/>
                      <w:lang w:val="en-US" w:eastAsia="zh-CN"/>
                    </w:rPr>
                    <w:t>成型废气、燃烧废气、实验废气</w:t>
                  </w:r>
                  <w:r>
                    <w:rPr>
                      <w:rFonts w:cs="Times New Roman"/>
                      <w:color w:val="auto"/>
                      <w:sz w:val="21"/>
                      <w:szCs w:val="21"/>
                    </w:rPr>
                    <w:t>经</w:t>
                  </w:r>
                  <w:r>
                    <w:rPr>
                      <w:rFonts w:hint="eastAsia" w:cs="Times New Roman"/>
                      <w:color w:val="auto"/>
                      <w:sz w:val="21"/>
                      <w:szCs w:val="21"/>
                    </w:rPr>
                    <w:t>“</w:t>
                  </w:r>
                  <w:r>
                    <w:rPr>
                      <w:rFonts w:cs="Times New Roman"/>
                      <w:color w:val="auto"/>
                      <w:sz w:val="21"/>
                      <w:szCs w:val="21"/>
                    </w:rPr>
                    <w:t>布袋除尘器+活性炭吸附</w:t>
                  </w:r>
                  <w:r>
                    <w:rPr>
                      <w:rFonts w:hint="eastAsia" w:cs="Times New Roman"/>
                      <w:color w:val="auto"/>
                      <w:sz w:val="21"/>
                      <w:szCs w:val="21"/>
                    </w:rPr>
                    <w:t>”</w:t>
                  </w:r>
                  <w:r>
                    <w:rPr>
                      <w:rFonts w:cs="Times New Roman"/>
                      <w:color w:val="auto"/>
                      <w:sz w:val="21"/>
                      <w:szCs w:val="21"/>
                    </w:rPr>
                    <w:t>TA001处理后经</w:t>
                  </w:r>
                  <w:r>
                    <w:rPr>
                      <w:rFonts w:hint="eastAsia" w:cs="Times New Roman"/>
                      <w:color w:val="auto"/>
                      <w:sz w:val="21"/>
                      <w:szCs w:val="21"/>
                      <w:lang w:eastAsia="zh-CN"/>
                    </w:rPr>
                    <w:t>20m</w:t>
                  </w:r>
                  <w:r>
                    <w:rPr>
                      <w:rFonts w:cs="Times New Roman"/>
                      <w:color w:val="auto"/>
                      <w:sz w:val="21"/>
                      <w:szCs w:val="21"/>
                    </w:rPr>
                    <w:t>排气筒DA001达标排放</w:t>
                  </w:r>
                </w:p>
              </w:tc>
            </w:tr>
            <w:tr w14:paraId="39333F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77D08079">
                  <w:pPr>
                    <w:adjustRightInd w:val="0"/>
                    <w:snapToGrid w:val="0"/>
                    <w:spacing w:line="240" w:lineRule="auto"/>
                    <w:ind w:firstLine="0" w:firstLineChars="0"/>
                    <w:jc w:val="center"/>
                    <w:rPr>
                      <w:color w:val="auto"/>
                      <w:sz w:val="21"/>
                      <w:szCs w:val="21"/>
                      <w:lang w:val="zh-CN"/>
                    </w:rPr>
                  </w:pPr>
                </w:p>
              </w:tc>
              <w:tc>
                <w:tcPr>
                  <w:tcW w:w="1095" w:type="dxa"/>
                  <w:tcBorders>
                    <w:tl2br w:val="nil"/>
                    <w:tr2bl w:val="nil"/>
                  </w:tcBorders>
                  <w:shd w:val="clear" w:color="auto" w:fill="auto"/>
                  <w:tcMar>
                    <w:top w:w="0" w:type="dxa"/>
                    <w:left w:w="0" w:type="dxa"/>
                    <w:bottom w:w="0" w:type="dxa"/>
                    <w:right w:w="0" w:type="dxa"/>
                  </w:tcMar>
                  <w:vAlign w:val="center"/>
                </w:tcPr>
                <w:p w14:paraId="5780596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难燃性试验</w:t>
                  </w:r>
                </w:p>
              </w:tc>
              <w:tc>
                <w:tcPr>
                  <w:tcW w:w="1170" w:type="dxa"/>
                  <w:tcBorders>
                    <w:tl2br w:val="nil"/>
                    <w:tr2bl w:val="nil"/>
                  </w:tcBorders>
                  <w:shd w:val="clear" w:color="auto" w:fill="auto"/>
                  <w:tcMar>
                    <w:top w:w="0" w:type="dxa"/>
                    <w:left w:w="0" w:type="dxa"/>
                    <w:bottom w:w="0" w:type="dxa"/>
                    <w:right w:w="0" w:type="dxa"/>
                  </w:tcMar>
                  <w:vAlign w:val="center"/>
                </w:tcPr>
                <w:p w14:paraId="2921DA17">
                  <w:pPr>
                    <w:adjustRightInd w:val="0"/>
                    <w:snapToGrid w:val="0"/>
                    <w:spacing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rPr>
                    <w:t>燃烧废气G</w:t>
                  </w:r>
                  <w:r>
                    <w:rPr>
                      <w:rFonts w:hint="eastAsia" w:cs="Times New Roman"/>
                      <w:color w:val="auto"/>
                      <w:sz w:val="21"/>
                      <w:szCs w:val="21"/>
                      <w:lang w:val="en-US" w:eastAsia="zh-CN"/>
                    </w:rPr>
                    <w:t>2</w:t>
                  </w:r>
                </w:p>
              </w:tc>
              <w:tc>
                <w:tcPr>
                  <w:tcW w:w="1470" w:type="dxa"/>
                  <w:tcBorders>
                    <w:tl2br w:val="nil"/>
                    <w:tr2bl w:val="nil"/>
                  </w:tcBorders>
                  <w:shd w:val="clear" w:color="auto" w:fill="auto"/>
                  <w:tcMar>
                    <w:top w:w="0" w:type="dxa"/>
                    <w:left w:w="0" w:type="dxa"/>
                    <w:bottom w:w="0" w:type="dxa"/>
                    <w:right w:w="0" w:type="dxa"/>
                  </w:tcMar>
                  <w:vAlign w:val="center"/>
                </w:tcPr>
                <w:p w14:paraId="1F749B77">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颗粒物</w:t>
                  </w:r>
                </w:p>
                <w:p w14:paraId="285F2416">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非甲烷总烃</w:t>
                  </w:r>
                </w:p>
                <w:p w14:paraId="2F27BD02">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氯化氢</w:t>
                  </w:r>
                </w:p>
                <w:p w14:paraId="3B8C05EC">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一氧化碳</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4C6D3BE9">
                  <w:pPr>
                    <w:adjustRightInd w:val="0"/>
                    <w:snapToGrid w:val="0"/>
                    <w:spacing w:line="240" w:lineRule="auto"/>
                    <w:ind w:firstLine="0" w:firstLineChars="0"/>
                    <w:rPr>
                      <w:rFonts w:cs="Times New Roman"/>
                      <w:color w:val="auto"/>
                      <w:sz w:val="21"/>
                      <w:szCs w:val="21"/>
                    </w:rPr>
                  </w:pPr>
                </w:p>
              </w:tc>
            </w:tr>
            <w:tr w14:paraId="722E8F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64C8F129">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0E37975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单体燃烧</w:t>
                  </w:r>
                </w:p>
                <w:p w14:paraId="2DB143F3">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w:t>
                  </w:r>
                </w:p>
              </w:tc>
              <w:tc>
                <w:tcPr>
                  <w:tcW w:w="1170" w:type="dxa"/>
                  <w:tcBorders>
                    <w:tl2br w:val="nil"/>
                    <w:tr2bl w:val="nil"/>
                  </w:tcBorders>
                  <w:shd w:val="clear" w:color="auto" w:fill="auto"/>
                  <w:tcMar>
                    <w:top w:w="0" w:type="dxa"/>
                    <w:left w:w="0" w:type="dxa"/>
                    <w:bottom w:w="0" w:type="dxa"/>
                    <w:right w:w="0" w:type="dxa"/>
                  </w:tcMar>
                  <w:vAlign w:val="center"/>
                </w:tcPr>
                <w:p w14:paraId="49A8470C">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rPr>
                    <w:t>燃烧废气G</w:t>
                  </w:r>
                  <w:r>
                    <w:rPr>
                      <w:rFonts w:hint="eastAsia" w:cs="Times New Roman"/>
                      <w:color w:val="auto"/>
                      <w:sz w:val="21"/>
                      <w:szCs w:val="21"/>
                      <w:lang w:val="en-US" w:eastAsia="zh-CN"/>
                    </w:rPr>
                    <w:t>3</w:t>
                  </w:r>
                </w:p>
              </w:tc>
              <w:tc>
                <w:tcPr>
                  <w:tcW w:w="1470" w:type="dxa"/>
                  <w:vMerge w:val="restart"/>
                  <w:tcBorders>
                    <w:tl2br w:val="nil"/>
                    <w:tr2bl w:val="nil"/>
                  </w:tcBorders>
                  <w:shd w:val="clear" w:color="auto" w:fill="auto"/>
                  <w:tcMar>
                    <w:top w:w="0" w:type="dxa"/>
                    <w:left w:w="0" w:type="dxa"/>
                    <w:bottom w:w="0" w:type="dxa"/>
                    <w:right w:w="0" w:type="dxa"/>
                  </w:tcMar>
                  <w:vAlign w:val="center"/>
                </w:tcPr>
                <w:p w14:paraId="73C5B5B3">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颗粒物</w:t>
                  </w:r>
                </w:p>
                <w:p w14:paraId="53804D0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非甲烷总烃</w:t>
                  </w:r>
                </w:p>
                <w:p w14:paraId="192444B2">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一氧化碳</w:t>
                  </w:r>
                </w:p>
                <w:p w14:paraId="09D8B43D">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氯化氢</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228D47E0">
                  <w:pPr>
                    <w:adjustRightInd w:val="0"/>
                    <w:snapToGrid w:val="0"/>
                    <w:spacing w:line="240" w:lineRule="auto"/>
                    <w:ind w:firstLine="0" w:firstLineChars="0"/>
                    <w:jc w:val="center"/>
                    <w:rPr>
                      <w:rFonts w:cs="Times New Roman"/>
                      <w:color w:val="auto"/>
                      <w:sz w:val="21"/>
                      <w:szCs w:val="21"/>
                    </w:rPr>
                  </w:pPr>
                </w:p>
              </w:tc>
            </w:tr>
            <w:tr w14:paraId="3AB802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31095590">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5C50D510">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可燃性试验</w:t>
                  </w:r>
                </w:p>
              </w:tc>
              <w:tc>
                <w:tcPr>
                  <w:tcW w:w="1170" w:type="dxa"/>
                  <w:tcBorders>
                    <w:tl2br w:val="nil"/>
                    <w:tr2bl w:val="nil"/>
                  </w:tcBorders>
                  <w:shd w:val="clear" w:color="auto" w:fill="auto"/>
                  <w:tcMar>
                    <w:top w:w="0" w:type="dxa"/>
                    <w:left w:w="0" w:type="dxa"/>
                    <w:bottom w:w="0" w:type="dxa"/>
                    <w:right w:w="0" w:type="dxa"/>
                  </w:tcMar>
                  <w:vAlign w:val="center"/>
                </w:tcPr>
                <w:p w14:paraId="0B95C1F1">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rPr>
                    <w:t>燃烧废气G</w:t>
                  </w:r>
                  <w:r>
                    <w:rPr>
                      <w:rFonts w:hint="eastAsia" w:cs="Times New Roman"/>
                      <w:color w:val="auto"/>
                      <w:sz w:val="21"/>
                      <w:szCs w:val="21"/>
                      <w:lang w:val="en-US" w:eastAsia="zh-CN"/>
                    </w:rPr>
                    <w:t>4</w:t>
                  </w:r>
                </w:p>
              </w:tc>
              <w:tc>
                <w:tcPr>
                  <w:tcW w:w="1470" w:type="dxa"/>
                  <w:vMerge w:val="continue"/>
                  <w:tcBorders>
                    <w:tl2br w:val="nil"/>
                    <w:tr2bl w:val="nil"/>
                  </w:tcBorders>
                  <w:shd w:val="clear" w:color="auto" w:fill="auto"/>
                  <w:tcMar>
                    <w:top w:w="0" w:type="dxa"/>
                    <w:left w:w="0" w:type="dxa"/>
                    <w:bottom w:w="0" w:type="dxa"/>
                    <w:right w:w="0" w:type="dxa"/>
                  </w:tcMar>
                  <w:vAlign w:val="center"/>
                </w:tcPr>
                <w:p w14:paraId="109020F9">
                  <w:pPr>
                    <w:adjustRightInd w:val="0"/>
                    <w:snapToGrid w:val="0"/>
                    <w:spacing w:line="240" w:lineRule="auto"/>
                    <w:ind w:firstLine="0" w:firstLineChars="0"/>
                    <w:jc w:val="center"/>
                    <w:rPr>
                      <w:rFonts w:cs="Times New Roman"/>
                      <w:color w:val="auto"/>
                      <w:sz w:val="21"/>
                      <w:szCs w:val="21"/>
                    </w:rPr>
                  </w:pPr>
                </w:p>
              </w:tc>
              <w:tc>
                <w:tcPr>
                  <w:tcW w:w="3496" w:type="dxa"/>
                  <w:vMerge w:val="continue"/>
                  <w:tcBorders>
                    <w:tl2br w:val="nil"/>
                    <w:tr2bl w:val="nil"/>
                  </w:tcBorders>
                  <w:shd w:val="clear" w:color="auto" w:fill="auto"/>
                  <w:tcMar>
                    <w:top w:w="0" w:type="dxa"/>
                    <w:left w:w="0" w:type="dxa"/>
                    <w:bottom w:w="0" w:type="dxa"/>
                    <w:right w:w="0" w:type="dxa"/>
                  </w:tcMar>
                  <w:vAlign w:val="center"/>
                </w:tcPr>
                <w:p w14:paraId="58D49E71">
                  <w:pPr>
                    <w:adjustRightInd w:val="0"/>
                    <w:snapToGrid w:val="0"/>
                    <w:spacing w:line="240" w:lineRule="auto"/>
                    <w:ind w:firstLine="0" w:firstLineChars="0"/>
                    <w:jc w:val="center"/>
                    <w:rPr>
                      <w:rFonts w:cs="Times New Roman"/>
                      <w:color w:val="auto"/>
                      <w:sz w:val="21"/>
                      <w:szCs w:val="21"/>
                    </w:rPr>
                  </w:pPr>
                </w:p>
              </w:tc>
            </w:tr>
            <w:tr w14:paraId="699482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2DB646E1">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44FE7F2E">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氧指数试验</w:t>
                  </w:r>
                </w:p>
              </w:tc>
              <w:tc>
                <w:tcPr>
                  <w:tcW w:w="1170" w:type="dxa"/>
                  <w:tcBorders>
                    <w:tl2br w:val="nil"/>
                    <w:tr2bl w:val="nil"/>
                  </w:tcBorders>
                  <w:shd w:val="clear" w:color="auto" w:fill="auto"/>
                  <w:tcMar>
                    <w:top w:w="0" w:type="dxa"/>
                    <w:left w:w="0" w:type="dxa"/>
                    <w:bottom w:w="0" w:type="dxa"/>
                    <w:right w:w="0" w:type="dxa"/>
                  </w:tcMar>
                  <w:vAlign w:val="center"/>
                </w:tcPr>
                <w:p w14:paraId="2BA15458">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rPr>
                    <w:t>燃烧废气G</w:t>
                  </w:r>
                  <w:r>
                    <w:rPr>
                      <w:rFonts w:hint="eastAsia" w:cs="Times New Roman"/>
                      <w:color w:val="auto"/>
                      <w:sz w:val="21"/>
                      <w:szCs w:val="21"/>
                      <w:lang w:val="en-US" w:eastAsia="zh-CN"/>
                    </w:rPr>
                    <w:t>5</w:t>
                  </w:r>
                </w:p>
              </w:tc>
              <w:tc>
                <w:tcPr>
                  <w:tcW w:w="1470" w:type="dxa"/>
                  <w:tcBorders>
                    <w:tl2br w:val="nil"/>
                    <w:tr2bl w:val="nil"/>
                  </w:tcBorders>
                  <w:shd w:val="clear" w:color="auto" w:fill="auto"/>
                  <w:tcMar>
                    <w:top w:w="0" w:type="dxa"/>
                    <w:left w:w="0" w:type="dxa"/>
                    <w:bottom w:w="0" w:type="dxa"/>
                    <w:right w:w="0" w:type="dxa"/>
                  </w:tcMar>
                  <w:vAlign w:val="center"/>
                </w:tcPr>
                <w:p w14:paraId="1E6EE329">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颗粒物</w:t>
                  </w:r>
                </w:p>
                <w:p w14:paraId="208FD1A0">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非甲烷总烃</w:t>
                  </w:r>
                </w:p>
                <w:p w14:paraId="14265309">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氯化氢</w:t>
                  </w:r>
                </w:p>
                <w:p w14:paraId="38613D1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一氧化碳</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0D1D4A29">
                  <w:pPr>
                    <w:adjustRightInd w:val="0"/>
                    <w:snapToGrid w:val="0"/>
                    <w:spacing w:line="240" w:lineRule="auto"/>
                    <w:ind w:firstLine="0" w:firstLineChars="0"/>
                    <w:jc w:val="center"/>
                    <w:rPr>
                      <w:rFonts w:cs="Times New Roman"/>
                      <w:color w:val="auto"/>
                      <w:sz w:val="21"/>
                      <w:szCs w:val="21"/>
                    </w:rPr>
                  </w:pPr>
                </w:p>
              </w:tc>
            </w:tr>
            <w:tr w14:paraId="69729E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2E3F1482">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12439AB1">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不燃性试验</w:t>
                  </w:r>
                </w:p>
              </w:tc>
              <w:tc>
                <w:tcPr>
                  <w:tcW w:w="1170" w:type="dxa"/>
                  <w:tcBorders>
                    <w:tl2br w:val="nil"/>
                    <w:tr2bl w:val="nil"/>
                  </w:tcBorders>
                  <w:shd w:val="clear" w:color="auto" w:fill="auto"/>
                  <w:tcMar>
                    <w:top w:w="0" w:type="dxa"/>
                    <w:left w:w="0" w:type="dxa"/>
                    <w:bottom w:w="0" w:type="dxa"/>
                    <w:right w:w="0" w:type="dxa"/>
                  </w:tcMar>
                  <w:vAlign w:val="center"/>
                </w:tcPr>
                <w:p w14:paraId="040FA46A">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rPr>
                    <w:t>燃烧废气G</w:t>
                  </w:r>
                  <w:r>
                    <w:rPr>
                      <w:rFonts w:hint="eastAsia" w:cs="Times New Roman"/>
                      <w:color w:val="auto"/>
                      <w:sz w:val="21"/>
                      <w:szCs w:val="21"/>
                      <w:lang w:val="en-US" w:eastAsia="zh-CN"/>
                    </w:rPr>
                    <w:t>6</w:t>
                  </w:r>
                </w:p>
              </w:tc>
              <w:tc>
                <w:tcPr>
                  <w:tcW w:w="1470" w:type="dxa"/>
                  <w:tcBorders>
                    <w:tl2br w:val="nil"/>
                    <w:tr2bl w:val="nil"/>
                  </w:tcBorders>
                  <w:shd w:val="clear" w:color="auto" w:fill="auto"/>
                  <w:tcMar>
                    <w:top w:w="0" w:type="dxa"/>
                    <w:left w:w="0" w:type="dxa"/>
                    <w:bottom w:w="0" w:type="dxa"/>
                    <w:right w:w="0" w:type="dxa"/>
                  </w:tcMar>
                  <w:vAlign w:val="center"/>
                </w:tcPr>
                <w:p w14:paraId="0CB7A0CE">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颗粒物</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7F5546C4">
                  <w:pPr>
                    <w:adjustRightInd w:val="0"/>
                    <w:snapToGrid w:val="0"/>
                    <w:spacing w:line="240" w:lineRule="auto"/>
                    <w:ind w:firstLine="0" w:firstLineChars="0"/>
                    <w:jc w:val="center"/>
                    <w:rPr>
                      <w:rFonts w:cs="Times New Roman"/>
                      <w:color w:val="auto"/>
                      <w:sz w:val="21"/>
                      <w:szCs w:val="21"/>
                    </w:rPr>
                  </w:pPr>
                </w:p>
              </w:tc>
            </w:tr>
            <w:tr w14:paraId="509DD7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6EA1EDED">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7216B533">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单根电线电缆垂直燃烧试验</w:t>
                  </w:r>
                </w:p>
              </w:tc>
              <w:tc>
                <w:tcPr>
                  <w:tcW w:w="1170" w:type="dxa"/>
                  <w:tcBorders>
                    <w:tl2br w:val="nil"/>
                    <w:tr2bl w:val="nil"/>
                  </w:tcBorders>
                  <w:shd w:val="clear" w:color="auto" w:fill="auto"/>
                  <w:tcMar>
                    <w:top w:w="0" w:type="dxa"/>
                    <w:left w:w="0" w:type="dxa"/>
                    <w:bottom w:w="0" w:type="dxa"/>
                    <w:right w:w="0" w:type="dxa"/>
                  </w:tcMar>
                  <w:vAlign w:val="center"/>
                </w:tcPr>
                <w:p w14:paraId="1FC569F9">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rPr>
                    <w:t>燃烧废气</w:t>
                  </w:r>
                  <w:r>
                    <w:rPr>
                      <w:rFonts w:hint="eastAsia" w:cs="Times New Roman"/>
                      <w:color w:val="auto"/>
                      <w:sz w:val="21"/>
                      <w:szCs w:val="21"/>
                      <w:lang w:val="en-US" w:eastAsia="zh-CN"/>
                    </w:rPr>
                    <w:t>G7</w:t>
                  </w:r>
                </w:p>
              </w:tc>
              <w:tc>
                <w:tcPr>
                  <w:tcW w:w="1470" w:type="dxa"/>
                  <w:tcBorders>
                    <w:tl2br w:val="nil"/>
                    <w:tr2bl w:val="nil"/>
                  </w:tcBorders>
                  <w:shd w:val="clear" w:color="auto" w:fill="auto"/>
                  <w:tcMar>
                    <w:top w:w="0" w:type="dxa"/>
                    <w:left w:w="0" w:type="dxa"/>
                    <w:bottom w:w="0" w:type="dxa"/>
                    <w:right w:w="0" w:type="dxa"/>
                  </w:tcMar>
                  <w:vAlign w:val="center"/>
                </w:tcPr>
                <w:p w14:paraId="3EFC31AD">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非甲烷总烃</w:t>
                  </w:r>
                </w:p>
                <w:p w14:paraId="5ADBC530">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一氧化碳</w:t>
                  </w:r>
                </w:p>
                <w:p w14:paraId="04A481DD">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氯化氢</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183C596A">
                  <w:pPr>
                    <w:adjustRightInd w:val="0"/>
                    <w:snapToGrid w:val="0"/>
                    <w:spacing w:line="240" w:lineRule="auto"/>
                    <w:ind w:firstLine="0" w:firstLineChars="0"/>
                    <w:jc w:val="center"/>
                    <w:rPr>
                      <w:rFonts w:cs="Times New Roman"/>
                      <w:color w:val="auto"/>
                      <w:sz w:val="21"/>
                      <w:szCs w:val="21"/>
                    </w:rPr>
                  </w:pPr>
                </w:p>
              </w:tc>
            </w:tr>
            <w:tr w14:paraId="551711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262DE0B2">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72A93751">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阴燃试验</w:t>
                  </w:r>
                </w:p>
              </w:tc>
              <w:tc>
                <w:tcPr>
                  <w:tcW w:w="1170" w:type="dxa"/>
                  <w:tcBorders>
                    <w:tl2br w:val="nil"/>
                    <w:tr2bl w:val="nil"/>
                  </w:tcBorders>
                  <w:shd w:val="clear" w:color="auto" w:fill="auto"/>
                  <w:tcMar>
                    <w:top w:w="0" w:type="dxa"/>
                    <w:left w:w="0" w:type="dxa"/>
                    <w:bottom w:w="0" w:type="dxa"/>
                    <w:right w:w="0" w:type="dxa"/>
                  </w:tcMar>
                  <w:vAlign w:val="center"/>
                </w:tcPr>
                <w:p w14:paraId="34DC2FCF">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rPr>
                    <w:t>燃烧废气</w:t>
                  </w:r>
                  <w:r>
                    <w:rPr>
                      <w:rFonts w:hint="eastAsia" w:cs="Times New Roman"/>
                      <w:color w:val="auto"/>
                      <w:sz w:val="21"/>
                      <w:szCs w:val="21"/>
                      <w:lang w:val="en-US" w:eastAsia="zh-CN"/>
                    </w:rPr>
                    <w:t>G8</w:t>
                  </w:r>
                </w:p>
              </w:tc>
              <w:tc>
                <w:tcPr>
                  <w:tcW w:w="1470" w:type="dxa"/>
                  <w:tcBorders>
                    <w:tl2br w:val="nil"/>
                    <w:tr2bl w:val="nil"/>
                  </w:tcBorders>
                  <w:shd w:val="clear" w:color="auto" w:fill="auto"/>
                  <w:tcMar>
                    <w:top w:w="0" w:type="dxa"/>
                    <w:left w:w="0" w:type="dxa"/>
                    <w:bottom w:w="0" w:type="dxa"/>
                    <w:right w:w="0" w:type="dxa"/>
                  </w:tcMar>
                  <w:vAlign w:val="center"/>
                </w:tcPr>
                <w:p w14:paraId="432CD128">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非甲烷总烃</w:t>
                  </w:r>
                </w:p>
                <w:p w14:paraId="276D181A">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一氧化碳</w:t>
                  </w:r>
                </w:p>
                <w:p w14:paraId="73580314">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氯化氢</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56C53F3A">
                  <w:pPr>
                    <w:adjustRightInd w:val="0"/>
                    <w:snapToGrid w:val="0"/>
                    <w:spacing w:line="240" w:lineRule="auto"/>
                    <w:ind w:firstLine="0" w:firstLineChars="0"/>
                    <w:jc w:val="center"/>
                    <w:rPr>
                      <w:rFonts w:cs="Times New Roman"/>
                      <w:color w:val="auto"/>
                      <w:sz w:val="21"/>
                      <w:szCs w:val="21"/>
                    </w:rPr>
                  </w:pPr>
                </w:p>
              </w:tc>
            </w:tr>
            <w:tr w14:paraId="32F769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39C2340A">
                  <w:pPr>
                    <w:adjustRightInd w:val="0"/>
                    <w:snapToGrid w:val="0"/>
                    <w:spacing w:line="240" w:lineRule="auto"/>
                    <w:ind w:firstLine="0" w:firstLineChars="0"/>
                    <w:jc w:val="center"/>
                    <w:rPr>
                      <w:color w:val="auto"/>
                      <w:sz w:val="21"/>
                      <w:szCs w:val="21"/>
                    </w:rPr>
                  </w:pPr>
                </w:p>
              </w:tc>
              <w:tc>
                <w:tcPr>
                  <w:tcW w:w="1095" w:type="dxa"/>
                  <w:tcBorders>
                    <w:tl2br w:val="nil"/>
                    <w:tr2bl w:val="nil"/>
                  </w:tcBorders>
                  <w:shd w:val="clear" w:color="auto" w:fill="auto"/>
                  <w:tcMar>
                    <w:top w:w="0" w:type="dxa"/>
                    <w:left w:w="0" w:type="dxa"/>
                    <w:bottom w:w="0" w:type="dxa"/>
                    <w:right w:w="0" w:type="dxa"/>
                  </w:tcMar>
                  <w:vAlign w:val="center"/>
                </w:tcPr>
                <w:p w14:paraId="02E60924">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实验废气</w:t>
                  </w:r>
                </w:p>
              </w:tc>
              <w:tc>
                <w:tcPr>
                  <w:tcW w:w="1170" w:type="dxa"/>
                  <w:tcBorders>
                    <w:tl2br w:val="nil"/>
                    <w:tr2bl w:val="nil"/>
                  </w:tcBorders>
                  <w:shd w:val="clear" w:color="auto" w:fill="auto"/>
                  <w:tcMar>
                    <w:top w:w="0" w:type="dxa"/>
                    <w:left w:w="0" w:type="dxa"/>
                    <w:bottom w:w="0" w:type="dxa"/>
                    <w:right w:w="0" w:type="dxa"/>
                  </w:tcMar>
                  <w:vAlign w:val="center"/>
                </w:tcPr>
                <w:p w14:paraId="63986478">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实验废气G9</w:t>
                  </w:r>
                </w:p>
              </w:tc>
              <w:tc>
                <w:tcPr>
                  <w:tcW w:w="1470" w:type="dxa"/>
                  <w:tcBorders>
                    <w:tl2br w:val="nil"/>
                    <w:tr2bl w:val="nil"/>
                  </w:tcBorders>
                  <w:shd w:val="clear" w:color="auto" w:fill="auto"/>
                  <w:tcMar>
                    <w:top w:w="0" w:type="dxa"/>
                    <w:left w:w="0" w:type="dxa"/>
                    <w:bottom w:w="0" w:type="dxa"/>
                    <w:right w:w="0" w:type="dxa"/>
                  </w:tcMar>
                  <w:vAlign w:val="center"/>
                </w:tcPr>
                <w:p w14:paraId="7CB4F953">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非甲烷总烃、甲醇、乙酸、乙酸乙酯、异丙醇、异丁醇</w:t>
                  </w:r>
                </w:p>
              </w:tc>
              <w:tc>
                <w:tcPr>
                  <w:tcW w:w="3496" w:type="dxa"/>
                  <w:vMerge w:val="continue"/>
                  <w:tcBorders>
                    <w:tl2br w:val="nil"/>
                    <w:tr2bl w:val="nil"/>
                  </w:tcBorders>
                  <w:shd w:val="clear" w:color="auto" w:fill="auto"/>
                  <w:tcMar>
                    <w:top w:w="0" w:type="dxa"/>
                    <w:left w:w="0" w:type="dxa"/>
                    <w:bottom w:w="0" w:type="dxa"/>
                    <w:right w:w="0" w:type="dxa"/>
                  </w:tcMar>
                  <w:vAlign w:val="center"/>
                </w:tcPr>
                <w:p w14:paraId="089FB0C3">
                  <w:pPr>
                    <w:adjustRightInd w:val="0"/>
                    <w:snapToGrid w:val="0"/>
                    <w:spacing w:line="240" w:lineRule="auto"/>
                    <w:ind w:firstLine="0" w:firstLineChars="0"/>
                    <w:jc w:val="center"/>
                    <w:rPr>
                      <w:rFonts w:cs="Times New Roman"/>
                      <w:color w:val="auto"/>
                      <w:sz w:val="21"/>
                      <w:szCs w:val="21"/>
                    </w:rPr>
                  </w:pPr>
                </w:p>
              </w:tc>
            </w:tr>
            <w:tr w14:paraId="1F0DA2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restart"/>
                  <w:tcBorders>
                    <w:tl2br w:val="nil"/>
                    <w:tr2bl w:val="nil"/>
                  </w:tcBorders>
                  <w:tcMar>
                    <w:top w:w="0" w:type="dxa"/>
                    <w:left w:w="0" w:type="dxa"/>
                    <w:bottom w:w="0" w:type="dxa"/>
                    <w:right w:w="0" w:type="dxa"/>
                  </w:tcMar>
                  <w:vAlign w:val="center"/>
                </w:tcPr>
                <w:p w14:paraId="411C80DC">
                  <w:pPr>
                    <w:adjustRightInd w:val="0"/>
                    <w:snapToGrid w:val="0"/>
                    <w:spacing w:line="240" w:lineRule="auto"/>
                    <w:ind w:firstLine="0" w:firstLineChars="0"/>
                    <w:jc w:val="center"/>
                    <w:rPr>
                      <w:color w:val="auto"/>
                      <w:sz w:val="21"/>
                      <w:szCs w:val="21"/>
                      <w:lang w:val="zh-CN"/>
                    </w:rPr>
                  </w:pPr>
                  <w:r>
                    <w:rPr>
                      <w:rFonts w:hint="eastAsia"/>
                      <w:color w:val="auto"/>
                      <w:sz w:val="21"/>
                      <w:szCs w:val="21"/>
                    </w:rPr>
                    <w:t>废水</w:t>
                  </w:r>
                </w:p>
              </w:tc>
              <w:tc>
                <w:tcPr>
                  <w:tcW w:w="1095" w:type="dxa"/>
                  <w:tcBorders>
                    <w:tl2br w:val="nil"/>
                    <w:tr2bl w:val="nil"/>
                  </w:tcBorders>
                  <w:tcMar>
                    <w:top w:w="0" w:type="dxa"/>
                    <w:left w:w="0" w:type="dxa"/>
                    <w:bottom w:w="0" w:type="dxa"/>
                    <w:right w:w="0" w:type="dxa"/>
                  </w:tcMar>
                  <w:vAlign w:val="center"/>
                </w:tcPr>
                <w:p w14:paraId="26A3D926">
                  <w:pPr>
                    <w:adjustRightInd w:val="0"/>
                    <w:snapToGrid w:val="0"/>
                    <w:spacing w:line="240" w:lineRule="auto"/>
                    <w:ind w:firstLine="0" w:firstLineChars="0"/>
                    <w:jc w:val="center"/>
                    <w:rPr>
                      <w:color w:val="auto"/>
                      <w:sz w:val="21"/>
                      <w:szCs w:val="21"/>
                    </w:rPr>
                  </w:pPr>
                  <w:r>
                    <w:rPr>
                      <w:rFonts w:hint="eastAsia"/>
                      <w:color w:val="auto"/>
                      <w:sz w:val="21"/>
                      <w:szCs w:val="21"/>
                    </w:rPr>
                    <w:t>职工日常工作生活</w:t>
                  </w:r>
                </w:p>
              </w:tc>
              <w:tc>
                <w:tcPr>
                  <w:tcW w:w="1170" w:type="dxa"/>
                  <w:tcBorders>
                    <w:tl2br w:val="nil"/>
                    <w:tr2bl w:val="nil"/>
                  </w:tcBorders>
                  <w:tcMar>
                    <w:top w:w="0" w:type="dxa"/>
                    <w:left w:w="0" w:type="dxa"/>
                    <w:bottom w:w="0" w:type="dxa"/>
                    <w:right w:w="0" w:type="dxa"/>
                  </w:tcMar>
                  <w:vAlign w:val="center"/>
                </w:tcPr>
                <w:p w14:paraId="3FBF37BC">
                  <w:pPr>
                    <w:adjustRightInd w:val="0"/>
                    <w:snapToGrid w:val="0"/>
                    <w:spacing w:line="240" w:lineRule="auto"/>
                    <w:ind w:firstLine="0" w:firstLineChars="0"/>
                    <w:jc w:val="center"/>
                    <w:rPr>
                      <w:color w:val="auto"/>
                      <w:sz w:val="21"/>
                      <w:szCs w:val="21"/>
                    </w:rPr>
                  </w:pPr>
                  <w:r>
                    <w:rPr>
                      <w:rFonts w:hint="eastAsia"/>
                      <w:color w:val="auto"/>
                      <w:sz w:val="21"/>
                      <w:szCs w:val="21"/>
                    </w:rPr>
                    <w:t>生活污水W1</w:t>
                  </w:r>
                </w:p>
              </w:tc>
              <w:tc>
                <w:tcPr>
                  <w:tcW w:w="1470" w:type="dxa"/>
                  <w:vMerge w:val="restart"/>
                  <w:tcBorders>
                    <w:tl2br w:val="nil"/>
                    <w:tr2bl w:val="nil"/>
                  </w:tcBorders>
                  <w:tcMar>
                    <w:top w:w="0" w:type="dxa"/>
                    <w:left w:w="0" w:type="dxa"/>
                    <w:bottom w:w="0" w:type="dxa"/>
                    <w:right w:w="0" w:type="dxa"/>
                  </w:tcMar>
                  <w:vAlign w:val="center"/>
                </w:tcPr>
                <w:p w14:paraId="0164F169">
                  <w:pPr>
                    <w:adjustRightInd w:val="0"/>
                    <w:snapToGrid w:val="0"/>
                    <w:spacing w:line="240" w:lineRule="auto"/>
                    <w:ind w:firstLine="0" w:firstLineChars="0"/>
                    <w:jc w:val="center"/>
                    <w:rPr>
                      <w:color w:val="auto"/>
                      <w:sz w:val="21"/>
                      <w:szCs w:val="21"/>
                    </w:rPr>
                  </w:pPr>
                  <w:r>
                    <w:rPr>
                      <w:rFonts w:hint="eastAsia"/>
                      <w:color w:val="auto"/>
                      <w:sz w:val="21"/>
                      <w:szCs w:val="21"/>
                    </w:rPr>
                    <w:t>pH、CODcr、BOD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w:t>
                  </w:r>
                </w:p>
              </w:tc>
              <w:tc>
                <w:tcPr>
                  <w:tcW w:w="3496" w:type="dxa"/>
                  <w:vMerge w:val="restart"/>
                  <w:tcBorders>
                    <w:tl2br w:val="nil"/>
                    <w:tr2bl w:val="nil"/>
                  </w:tcBorders>
                  <w:tcMar>
                    <w:top w:w="0" w:type="dxa"/>
                    <w:left w:w="0" w:type="dxa"/>
                    <w:bottom w:w="0" w:type="dxa"/>
                    <w:right w:w="0" w:type="dxa"/>
                  </w:tcMar>
                  <w:vAlign w:val="center"/>
                </w:tcPr>
                <w:p w14:paraId="71DF7E22">
                  <w:pPr>
                    <w:adjustRightInd w:val="0"/>
                    <w:snapToGrid w:val="0"/>
                    <w:spacing w:line="240" w:lineRule="auto"/>
                    <w:ind w:firstLine="0" w:firstLineChars="0"/>
                    <w:jc w:val="center"/>
                    <w:rPr>
                      <w:color w:val="auto"/>
                      <w:sz w:val="21"/>
                      <w:szCs w:val="21"/>
                    </w:rPr>
                  </w:pPr>
                  <w:r>
                    <w:rPr>
                      <w:rFonts w:hint="eastAsia"/>
                      <w:color w:val="auto"/>
                      <w:sz w:val="21"/>
                      <w:szCs w:val="21"/>
                    </w:rPr>
                    <w:t>经园区化粪池预处理后纳入市政污水管网，最终经</w:t>
                  </w:r>
                  <w:r>
                    <w:rPr>
                      <w:rFonts w:hint="eastAsia"/>
                      <w:color w:val="auto"/>
                      <w:sz w:val="21"/>
                      <w:szCs w:val="21"/>
                      <w:lang w:eastAsia="zh-CN"/>
                    </w:rPr>
                    <w:t>北京轻纺服装产业基地应急污水处理站</w:t>
                  </w:r>
                  <w:r>
                    <w:rPr>
                      <w:rFonts w:hint="eastAsia"/>
                      <w:color w:val="auto"/>
                      <w:sz w:val="21"/>
                      <w:szCs w:val="21"/>
                    </w:rPr>
                    <w:t>处理</w:t>
                  </w:r>
                </w:p>
              </w:tc>
            </w:tr>
            <w:tr w14:paraId="028561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50C77510">
                  <w:pPr>
                    <w:adjustRightInd w:val="0"/>
                    <w:snapToGrid w:val="0"/>
                    <w:spacing w:line="240" w:lineRule="auto"/>
                    <w:ind w:firstLine="0" w:firstLineChars="0"/>
                    <w:jc w:val="center"/>
                    <w:rPr>
                      <w:rFonts w:hint="eastAsia"/>
                      <w:color w:val="auto"/>
                      <w:sz w:val="21"/>
                      <w:szCs w:val="21"/>
                    </w:rPr>
                  </w:pPr>
                </w:p>
              </w:tc>
              <w:tc>
                <w:tcPr>
                  <w:tcW w:w="1095" w:type="dxa"/>
                  <w:tcBorders>
                    <w:tl2br w:val="nil"/>
                    <w:tr2bl w:val="nil"/>
                  </w:tcBorders>
                  <w:tcMar>
                    <w:top w:w="0" w:type="dxa"/>
                    <w:left w:w="0" w:type="dxa"/>
                    <w:bottom w:w="0" w:type="dxa"/>
                    <w:right w:w="0" w:type="dxa"/>
                  </w:tcMar>
                  <w:vAlign w:val="center"/>
                </w:tcPr>
                <w:p w14:paraId="1E64199E">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化学性试验</w:t>
                  </w:r>
                </w:p>
              </w:tc>
              <w:tc>
                <w:tcPr>
                  <w:tcW w:w="1170" w:type="dxa"/>
                  <w:tcBorders>
                    <w:tl2br w:val="nil"/>
                    <w:tr2bl w:val="nil"/>
                  </w:tcBorders>
                  <w:tcMar>
                    <w:top w:w="0" w:type="dxa"/>
                    <w:left w:w="0" w:type="dxa"/>
                    <w:bottom w:w="0" w:type="dxa"/>
                    <w:right w:w="0" w:type="dxa"/>
                  </w:tcMar>
                  <w:vAlign w:val="center"/>
                </w:tcPr>
                <w:p w14:paraId="2DD45357">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检测废水W2</w:t>
                  </w:r>
                </w:p>
              </w:tc>
              <w:tc>
                <w:tcPr>
                  <w:tcW w:w="1470" w:type="dxa"/>
                  <w:vMerge w:val="continue"/>
                  <w:tcBorders>
                    <w:tl2br w:val="nil"/>
                    <w:tr2bl w:val="nil"/>
                  </w:tcBorders>
                  <w:tcMar>
                    <w:top w:w="0" w:type="dxa"/>
                    <w:left w:w="0" w:type="dxa"/>
                    <w:bottom w:w="0" w:type="dxa"/>
                    <w:right w:w="0" w:type="dxa"/>
                  </w:tcMar>
                  <w:vAlign w:val="center"/>
                </w:tcPr>
                <w:p w14:paraId="0F956CC9">
                  <w:pPr>
                    <w:adjustRightInd w:val="0"/>
                    <w:snapToGrid w:val="0"/>
                    <w:spacing w:line="240" w:lineRule="auto"/>
                    <w:ind w:firstLine="0" w:firstLineChars="0"/>
                    <w:jc w:val="center"/>
                    <w:rPr>
                      <w:rFonts w:hint="eastAsia"/>
                      <w:color w:val="auto"/>
                      <w:sz w:val="21"/>
                      <w:szCs w:val="21"/>
                    </w:rPr>
                  </w:pPr>
                </w:p>
              </w:tc>
              <w:tc>
                <w:tcPr>
                  <w:tcW w:w="3496" w:type="dxa"/>
                  <w:vMerge w:val="continue"/>
                  <w:tcBorders>
                    <w:tl2br w:val="nil"/>
                    <w:tr2bl w:val="nil"/>
                  </w:tcBorders>
                  <w:tcMar>
                    <w:top w:w="0" w:type="dxa"/>
                    <w:left w:w="0" w:type="dxa"/>
                    <w:bottom w:w="0" w:type="dxa"/>
                    <w:right w:w="0" w:type="dxa"/>
                  </w:tcMar>
                  <w:vAlign w:val="center"/>
                </w:tcPr>
                <w:p w14:paraId="0011EAB2">
                  <w:pPr>
                    <w:adjustRightInd w:val="0"/>
                    <w:snapToGrid w:val="0"/>
                    <w:spacing w:line="240" w:lineRule="auto"/>
                    <w:ind w:firstLine="0" w:firstLineChars="0"/>
                    <w:jc w:val="center"/>
                    <w:rPr>
                      <w:rFonts w:hint="eastAsia"/>
                      <w:color w:val="auto"/>
                      <w:sz w:val="21"/>
                      <w:szCs w:val="21"/>
                    </w:rPr>
                  </w:pPr>
                </w:p>
              </w:tc>
            </w:tr>
            <w:tr w14:paraId="5BDE53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tcMar>
                    <w:top w:w="0" w:type="dxa"/>
                    <w:left w:w="0" w:type="dxa"/>
                    <w:bottom w:w="0" w:type="dxa"/>
                    <w:right w:w="0" w:type="dxa"/>
                  </w:tcMar>
                  <w:vAlign w:val="center"/>
                </w:tcPr>
                <w:p w14:paraId="73F313D4">
                  <w:pPr>
                    <w:adjustRightInd w:val="0"/>
                    <w:snapToGrid w:val="0"/>
                    <w:spacing w:line="240" w:lineRule="auto"/>
                    <w:ind w:firstLine="0" w:firstLineChars="0"/>
                    <w:jc w:val="center"/>
                    <w:rPr>
                      <w:color w:val="auto"/>
                      <w:sz w:val="21"/>
                      <w:szCs w:val="21"/>
                    </w:rPr>
                  </w:pPr>
                  <w:r>
                    <w:rPr>
                      <w:color w:val="auto"/>
                      <w:sz w:val="21"/>
                      <w:szCs w:val="21"/>
                      <w:lang w:val="zh-CN"/>
                    </w:rPr>
                    <w:t>噪声</w:t>
                  </w:r>
                </w:p>
              </w:tc>
              <w:tc>
                <w:tcPr>
                  <w:tcW w:w="1095" w:type="dxa"/>
                  <w:tcBorders>
                    <w:tl2br w:val="nil"/>
                    <w:tr2bl w:val="nil"/>
                  </w:tcBorders>
                  <w:tcMar>
                    <w:top w:w="0" w:type="dxa"/>
                    <w:left w:w="0" w:type="dxa"/>
                    <w:bottom w:w="0" w:type="dxa"/>
                    <w:right w:w="0" w:type="dxa"/>
                  </w:tcMar>
                  <w:vAlign w:val="center"/>
                </w:tcPr>
                <w:p w14:paraId="3211FC9A">
                  <w:pPr>
                    <w:adjustRightInd w:val="0"/>
                    <w:snapToGrid w:val="0"/>
                    <w:spacing w:line="240" w:lineRule="auto"/>
                    <w:ind w:firstLine="0" w:firstLineChars="0"/>
                    <w:jc w:val="center"/>
                    <w:rPr>
                      <w:color w:val="auto"/>
                      <w:sz w:val="21"/>
                      <w:szCs w:val="21"/>
                    </w:rPr>
                  </w:pPr>
                  <w:r>
                    <w:rPr>
                      <w:rFonts w:hint="eastAsia"/>
                      <w:color w:val="auto"/>
                      <w:sz w:val="21"/>
                      <w:szCs w:val="21"/>
                    </w:rPr>
                    <w:t>试验设备、风机等</w:t>
                  </w:r>
                </w:p>
              </w:tc>
              <w:tc>
                <w:tcPr>
                  <w:tcW w:w="1170" w:type="dxa"/>
                  <w:tcBorders>
                    <w:tl2br w:val="nil"/>
                    <w:tr2bl w:val="nil"/>
                  </w:tcBorders>
                  <w:tcMar>
                    <w:top w:w="0" w:type="dxa"/>
                    <w:left w:w="0" w:type="dxa"/>
                    <w:bottom w:w="0" w:type="dxa"/>
                    <w:right w:w="0" w:type="dxa"/>
                  </w:tcMar>
                  <w:vAlign w:val="center"/>
                </w:tcPr>
                <w:p w14:paraId="79F8DC19">
                  <w:pPr>
                    <w:adjustRightInd w:val="0"/>
                    <w:snapToGrid w:val="0"/>
                    <w:spacing w:line="240" w:lineRule="auto"/>
                    <w:ind w:firstLine="0" w:firstLineChars="0"/>
                    <w:jc w:val="center"/>
                    <w:rPr>
                      <w:color w:val="auto"/>
                      <w:sz w:val="21"/>
                      <w:szCs w:val="21"/>
                    </w:rPr>
                  </w:pPr>
                  <w:r>
                    <w:rPr>
                      <w:rFonts w:hint="eastAsia"/>
                      <w:color w:val="auto"/>
                      <w:sz w:val="21"/>
                      <w:szCs w:val="21"/>
                    </w:rPr>
                    <w:t>设备噪声</w:t>
                  </w:r>
                </w:p>
              </w:tc>
              <w:tc>
                <w:tcPr>
                  <w:tcW w:w="1470" w:type="dxa"/>
                  <w:tcBorders>
                    <w:tl2br w:val="nil"/>
                    <w:tr2bl w:val="nil"/>
                  </w:tcBorders>
                  <w:tcMar>
                    <w:top w:w="0" w:type="dxa"/>
                    <w:left w:w="0" w:type="dxa"/>
                    <w:bottom w:w="0" w:type="dxa"/>
                    <w:right w:w="0" w:type="dxa"/>
                  </w:tcMar>
                  <w:vAlign w:val="center"/>
                </w:tcPr>
                <w:p w14:paraId="0ED3272F">
                  <w:pPr>
                    <w:adjustRightInd w:val="0"/>
                    <w:snapToGrid w:val="0"/>
                    <w:spacing w:line="240" w:lineRule="auto"/>
                    <w:ind w:firstLine="0" w:firstLineChars="0"/>
                    <w:jc w:val="center"/>
                    <w:rPr>
                      <w:color w:val="auto"/>
                      <w:sz w:val="21"/>
                      <w:szCs w:val="21"/>
                    </w:rPr>
                  </w:pPr>
                  <w:r>
                    <w:rPr>
                      <w:rFonts w:hint="eastAsia"/>
                      <w:color w:val="auto"/>
                      <w:sz w:val="21"/>
                      <w:szCs w:val="21"/>
                    </w:rPr>
                    <w:t>等效连续A声级</w:t>
                  </w:r>
                </w:p>
              </w:tc>
              <w:tc>
                <w:tcPr>
                  <w:tcW w:w="3496" w:type="dxa"/>
                  <w:tcBorders>
                    <w:tl2br w:val="nil"/>
                    <w:tr2bl w:val="nil"/>
                  </w:tcBorders>
                  <w:tcMar>
                    <w:top w:w="0" w:type="dxa"/>
                    <w:left w:w="0" w:type="dxa"/>
                    <w:bottom w:w="0" w:type="dxa"/>
                    <w:right w:w="0" w:type="dxa"/>
                  </w:tcMar>
                  <w:vAlign w:val="center"/>
                </w:tcPr>
                <w:p w14:paraId="734A300C">
                  <w:pPr>
                    <w:adjustRightInd w:val="0"/>
                    <w:snapToGrid w:val="0"/>
                    <w:spacing w:line="240" w:lineRule="auto"/>
                    <w:ind w:firstLine="0" w:firstLineChars="0"/>
                    <w:jc w:val="center"/>
                    <w:rPr>
                      <w:color w:val="auto"/>
                      <w:sz w:val="21"/>
                      <w:szCs w:val="21"/>
                      <w:lang w:val="zh-CN"/>
                    </w:rPr>
                  </w:pPr>
                  <w:r>
                    <w:rPr>
                      <w:rFonts w:hint="eastAsia"/>
                      <w:color w:val="auto"/>
                      <w:sz w:val="21"/>
                      <w:szCs w:val="21"/>
                      <w:lang w:val="zh-CN"/>
                    </w:rPr>
                    <w:t>合理布局，选用低噪声设备，采取基础减振、墙体隔声等降噪措施</w:t>
                  </w:r>
                </w:p>
              </w:tc>
            </w:tr>
            <w:tr w14:paraId="252940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restart"/>
                  <w:tcBorders>
                    <w:tl2br w:val="nil"/>
                    <w:tr2bl w:val="nil"/>
                  </w:tcBorders>
                  <w:tcMar>
                    <w:top w:w="0" w:type="dxa"/>
                    <w:left w:w="0" w:type="dxa"/>
                    <w:bottom w:w="0" w:type="dxa"/>
                    <w:right w:w="0" w:type="dxa"/>
                  </w:tcMar>
                  <w:vAlign w:val="center"/>
                </w:tcPr>
                <w:p w14:paraId="16C77BC4">
                  <w:pPr>
                    <w:adjustRightInd w:val="0"/>
                    <w:snapToGrid w:val="0"/>
                    <w:spacing w:line="240" w:lineRule="auto"/>
                    <w:ind w:firstLine="0" w:firstLineChars="0"/>
                    <w:jc w:val="center"/>
                    <w:rPr>
                      <w:color w:val="auto"/>
                      <w:sz w:val="21"/>
                      <w:szCs w:val="21"/>
                      <w:lang w:val="zh-CN"/>
                    </w:rPr>
                  </w:pPr>
                  <w:r>
                    <w:rPr>
                      <w:color w:val="auto"/>
                      <w:sz w:val="21"/>
                      <w:szCs w:val="21"/>
                      <w:lang w:val="zh-CN"/>
                    </w:rPr>
                    <w:t>固体废物</w:t>
                  </w:r>
                </w:p>
              </w:tc>
              <w:tc>
                <w:tcPr>
                  <w:tcW w:w="1095" w:type="dxa"/>
                  <w:tcBorders>
                    <w:tl2br w:val="nil"/>
                    <w:tr2bl w:val="nil"/>
                  </w:tcBorders>
                  <w:tcMar>
                    <w:top w:w="0" w:type="dxa"/>
                    <w:left w:w="0" w:type="dxa"/>
                    <w:bottom w:w="0" w:type="dxa"/>
                    <w:right w:w="0" w:type="dxa"/>
                  </w:tcMar>
                  <w:vAlign w:val="center"/>
                </w:tcPr>
                <w:p w14:paraId="6E2C08B2">
                  <w:pPr>
                    <w:adjustRightInd w:val="0"/>
                    <w:snapToGrid w:val="0"/>
                    <w:spacing w:line="240" w:lineRule="auto"/>
                    <w:ind w:firstLine="0" w:firstLineChars="0"/>
                    <w:jc w:val="center"/>
                    <w:rPr>
                      <w:color w:val="auto"/>
                      <w:sz w:val="21"/>
                      <w:szCs w:val="21"/>
                    </w:rPr>
                  </w:pPr>
                  <w:r>
                    <w:rPr>
                      <w:rFonts w:hint="eastAsia"/>
                      <w:color w:val="auto"/>
                      <w:sz w:val="21"/>
                      <w:szCs w:val="21"/>
                    </w:rPr>
                    <w:t>样品成型</w:t>
                  </w:r>
                </w:p>
              </w:tc>
              <w:tc>
                <w:tcPr>
                  <w:tcW w:w="1170" w:type="dxa"/>
                  <w:tcBorders>
                    <w:tl2br w:val="nil"/>
                    <w:tr2bl w:val="nil"/>
                  </w:tcBorders>
                  <w:shd w:val="clear" w:color="auto" w:fill="auto"/>
                  <w:tcMar>
                    <w:top w:w="0" w:type="dxa"/>
                    <w:left w:w="0" w:type="dxa"/>
                    <w:bottom w:w="0" w:type="dxa"/>
                    <w:right w:w="0" w:type="dxa"/>
                  </w:tcMar>
                  <w:vAlign w:val="center"/>
                </w:tcPr>
                <w:p w14:paraId="5DE5EB8F">
                  <w:pPr>
                    <w:adjustRightInd w:val="0"/>
                    <w:snapToGrid w:val="0"/>
                    <w:spacing w:line="240" w:lineRule="auto"/>
                    <w:ind w:firstLine="0" w:firstLineChars="0"/>
                    <w:jc w:val="center"/>
                    <w:rPr>
                      <w:color w:val="auto"/>
                      <w:sz w:val="21"/>
                      <w:szCs w:val="21"/>
                    </w:rPr>
                  </w:pPr>
                  <w:r>
                    <w:rPr>
                      <w:rFonts w:hint="eastAsia"/>
                      <w:color w:val="auto"/>
                      <w:sz w:val="21"/>
                      <w:szCs w:val="21"/>
                    </w:rPr>
                    <w:t>废样品S1</w:t>
                  </w:r>
                </w:p>
              </w:tc>
              <w:tc>
                <w:tcPr>
                  <w:tcW w:w="1470" w:type="dxa"/>
                  <w:tcBorders>
                    <w:tl2br w:val="nil"/>
                    <w:tr2bl w:val="nil"/>
                  </w:tcBorders>
                  <w:shd w:val="clear" w:color="auto" w:fill="auto"/>
                  <w:tcMar>
                    <w:top w:w="0" w:type="dxa"/>
                    <w:left w:w="0" w:type="dxa"/>
                    <w:bottom w:w="0" w:type="dxa"/>
                    <w:right w:w="0" w:type="dxa"/>
                  </w:tcMar>
                  <w:vAlign w:val="center"/>
                </w:tcPr>
                <w:p w14:paraId="13549622">
                  <w:pPr>
                    <w:adjustRightInd w:val="0"/>
                    <w:snapToGrid w:val="0"/>
                    <w:spacing w:line="240" w:lineRule="auto"/>
                    <w:ind w:firstLine="0" w:firstLineChars="0"/>
                    <w:jc w:val="center"/>
                    <w:rPr>
                      <w:color w:val="auto"/>
                      <w:sz w:val="21"/>
                      <w:szCs w:val="21"/>
                    </w:rPr>
                  </w:pPr>
                  <w:r>
                    <w:rPr>
                      <w:rFonts w:hint="eastAsia"/>
                      <w:color w:val="auto"/>
                      <w:sz w:val="21"/>
                      <w:szCs w:val="21"/>
                    </w:rPr>
                    <w:t>/</w:t>
                  </w:r>
                </w:p>
              </w:tc>
              <w:tc>
                <w:tcPr>
                  <w:tcW w:w="3496" w:type="dxa"/>
                  <w:vMerge w:val="restart"/>
                  <w:tcBorders>
                    <w:tl2br w:val="nil"/>
                    <w:tr2bl w:val="nil"/>
                  </w:tcBorders>
                  <w:shd w:val="clear" w:color="auto" w:fill="auto"/>
                  <w:tcMar>
                    <w:top w:w="0" w:type="dxa"/>
                    <w:left w:w="0" w:type="dxa"/>
                    <w:bottom w:w="0" w:type="dxa"/>
                    <w:right w:w="0" w:type="dxa"/>
                  </w:tcMar>
                  <w:vAlign w:val="center"/>
                </w:tcPr>
                <w:p w14:paraId="46DBA607">
                  <w:pPr>
                    <w:adjustRightInd w:val="0"/>
                    <w:snapToGrid w:val="0"/>
                    <w:spacing w:line="240" w:lineRule="auto"/>
                    <w:ind w:firstLine="0" w:firstLineChars="0"/>
                    <w:jc w:val="center"/>
                    <w:rPr>
                      <w:color w:val="auto"/>
                      <w:sz w:val="21"/>
                      <w:szCs w:val="21"/>
                      <w:lang w:val="zh-CN"/>
                    </w:rPr>
                  </w:pPr>
                  <w:r>
                    <w:rPr>
                      <w:rFonts w:hint="eastAsia"/>
                      <w:color w:val="auto"/>
                      <w:sz w:val="21"/>
                      <w:szCs w:val="21"/>
                      <w:lang w:val="zh-CN"/>
                    </w:rPr>
                    <w:t>统一收集后</w:t>
                  </w:r>
                  <w:r>
                    <w:rPr>
                      <w:rFonts w:hint="eastAsia"/>
                      <w:color w:val="auto"/>
                      <w:sz w:val="21"/>
                      <w:szCs w:val="21"/>
                    </w:rPr>
                    <w:t>暂存于一般工业固体废物暂存区，定期</w:t>
                  </w:r>
                  <w:r>
                    <w:rPr>
                      <w:rFonts w:hint="eastAsia"/>
                      <w:color w:val="auto"/>
                      <w:sz w:val="21"/>
                      <w:szCs w:val="21"/>
                      <w:lang w:val="zh-CN"/>
                    </w:rPr>
                    <w:t>外售固废单位回收处置</w:t>
                  </w:r>
                </w:p>
              </w:tc>
            </w:tr>
            <w:tr w14:paraId="4DE62E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4EDD16D5">
                  <w:pPr>
                    <w:adjustRightInd w:val="0"/>
                    <w:snapToGrid w:val="0"/>
                    <w:spacing w:line="240" w:lineRule="auto"/>
                    <w:ind w:firstLine="0" w:firstLineChars="0"/>
                    <w:jc w:val="center"/>
                    <w:rPr>
                      <w:color w:val="auto"/>
                      <w:sz w:val="21"/>
                      <w:szCs w:val="21"/>
                    </w:rPr>
                  </w:pPr>
                </w:p>
              </w:tc>
              <w:tc>
                <w:tcPr>
                  <w:tcW w:w="1095" w:type="dxa"/>
                  <w:vMerge w:val="restart"/>
                  <w:tcBorders>
                    <w:tl2br w:val="nil"/>
                    <w:tr2bl w:val="nil"/>
                  </w:tcBorders>
                  <w:shd w:val="clear" w:color="auto" w:fill="auto"/>
                  <w:tcMar>
                    <w:top w:w="0" w:type="dxa"/>
                    <w:left w:w="0" w:type="dxa"/>
                    <w:bottom w:w="0" w:type="dxa"/>
                    <w:right w:w="0" w:type="dxa"/>
                  </w:tcMar>
                  <w:vAlign w:val="center"/>
                </w:tcPr>
                <w:p w14:paraId="45EDE29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样品试验</w:t>
                  </w:r>
                </w:p>
              </w:tc>
              <w:tc>
                <w:tcPr>
                  <w:tcW w:w="1170" w:type="dxa"/>
                  <w:tcBorders>
                    <w:tl2br w:val="nil"/>
                    <w:tr2bl w:val="nil"/>
                  </w:tcBorders>
                  <w:shd w:val="clear" w:color="auto" w:fill="auto"/>
                  <w:tcMar>
                    <w:top w:w="0" w:type="dxa"/>
                    <w:left w:w="0" w:type="dxa"/>
                    <w:bottom w:w="0" w:type="dxa"/>
                    <w:right w:w="0" w:type="dxa"/>
                  </w:tcMar>
                  <w:vAlign w:val="center"/>
                </w:tcPr>
                <w:p w14:paraId="7CB7AF34">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试验残留样品S2</w:t>
                  </w:r>
                </w:p>
              </w:tc>
              <w:tc>
                <w:tcPr>
                  <w:tcW w:w="1470" w:type="dxa"/>
                  <w:tcBorders>
                    <w:tl2br w:val="nil"/>
                    <w:tr2bl w:val="nil"/>
                  </w:tcBorders>
                  <w:shd w:val="clear" w:color="auto" w:fill="auto"/>
                  <w:tcMar>
                    <w:top w:w="0" w:type="dxa"/>
                    <w:left w:w="0" w:type="dxa"/>
                    <w:bottom w:w="0" w:type="dxa"/>
                    <w:right w:w="0" w:type="dxa"/>
                  </w:tcMar>
                  <w:vAlign w:val="center"/>
                </w:tcPr>
                <w:p w14:paraId="4F09F015">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w:t>
                  </w:r>
                </w:p>
              </w:tc>
              <w:tc>
                <w:tcPr>
                  <w:tcW w:w="3496" w:type="dxa"/>
                  <w:vMerge w:val="continue"/>
                  <w:tcBorders>
                    <w:tl2br w:val="nil"/>
                    <w:tr2bl w:val="nil"/>
                  </w:tcBorders>
                  <w:tcMar>
                    <w:top w:w="0" w:type="dxa"/>
                    <w:left w:w="0" w:type="dxa"/>
                    <w:bottom w:w="0" w:type="dxa"/>
                    <w:right w:w="0" w:type="dxa"/>
                  </w:tcMar>
                  <w:vAlign w:val="center"/>
                </w:tcPr>
                <w:p w14:paraId="489A1E4E">
                  <w:pPr>
                    <w:adjustRightInd w:val="0"/>
                    <w:snapToGrid w:val="0"/>
                    <w:spacing w:line="240" w:lineRule="auto"/>
                    <w:ind w:firstLine="0" w:firstLineChars="0"/>
                    <w:jc w:val="center"/>
                    <w:rPr>
                      <w:color w:val="auto"/>
                      <w:sz w:val="21"/>
                      <w:szCs w:val="21"/>
                    </w:rPr>
                  </w:pPr>
                </w:p>
              </w:tc>
            </w:tr>
            <w:tr w14:paraId="0A6CFA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120A840B">
                  <w:pPr>
                    <w:adjustRightInd w:val="0"/>
                    <w:snapToGrid w:val="0"/>
                    <w:spacing w:line="240" w:lineRule="auto"/>
                    <w:ind w:firstLine="0" w:firstLineChars="0"/>
                    <w:jc w:val="center"/>
                    <w:rPr>
                      <w:color w:val="auto"/>
                      <w:sz w:val="21"/>
                      <w:szCs w:val="21"/>
                    </w:rPr>
                  </w:pPr>
                </w:p>
              </w:tc>
              <w:tc>
                <w:tcPr>
                  <w:tcW w:w="1095" w:type="dxa"/>
                  <w:vMerge w:val="continue"/>
                  <w:tcBorders>
                    <w:tl2br w:val="nil"/>
                    <w:tr2bl w:val="nil"/>
                  </w:tcBorders>
                  <w:shd w:val="clear" w:color="auto" w:fill="auto"/>
                  <w:tcMar>
                    <w:top w:w="0" w:type="dxa"/>
                    <w:left w:w="0" w:type="dxa"/>
                    <w:bottom w:w="0" w:type="dxa"/>
                    <w:right w:w="0" w:type="dxa"/>
                  </w:tcMar>
                  <w:vAlign w:val="center"/>
                </w:tcPr>
                <w:p w14:paraId="4F756E52">
                  <w:pPr>
                    <w:adjustRightInd w:val="0"/>
                    <w:snapToGrid w:val="0"/>
                    <w:spacing w:line="240" w:lineRule="auto"/>
                    <w:ind w:firstLine="0" w:firstLineChars="0"/>
                    <w:jc w:val="center"/>
                    <w:rPr>
                      <w:rFonts w:hint="eastAsia" w:cs="Times New Roman"/>
                      <w:color w:val="auto"/>
                      <w:sz w:val="21"/>
                      <w:szCs w:val="21"/>
                    </w:rPr>
                  </w:pPr>
                </w:p>
              </w:tc>
              <w:tc>
                <w:tcPr>
                  <w:tcW w:w="1170" w:type="dxa"/>
                  <w:tcBorders>
                    <w:tl2br w:val="nil"/>
                    <w:tr2bl w:val="nil"/>
                  </w:tcBorders>
                  <w:shd w:val="clear" w:color="auto" w:fill="auto"/>
                  <w:tcMar>
                    <w:top w:w="0" w:type="dxa"/>
                    <w:left w:w="0" w:type="dxa"/>
                    <w:bottom w:w="0" w:type="dxa"/>
                    <w:right w:w="0" w:type="dxa"/>
                  </w:tcMar>
                  <w:vAlign w:val="center"/>
                </w:tcPr>
                <w:p w14:paraId="69A76162">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lang w:val="en-US" w:eastAsia="zh-CN"/>
                    </w:rPr>
                    <w:t>废包装物S8</w:t>
                  </w:r>
                </w:p>
              </w:tc>
              <w:tc>
                <w:tcPr>
                  <w:tcW w:w="1470" w:type="dxa"/>
                  <w:tcBorders>
                    <w:tl2br w:val="nil"/>
                    <w:tr2bl w:val="nil"/>
                  </w:tcBorders>
                  <w:shd w:val="clear" w:color="auto" w:fill="auto"/>
                  <w:tcMar>
                    <w:top w:w="0" w:type="dxa"/>
                    <w:left w:w="0" w:type="dxa"/>
                    <w:bottom w:w="0" w:type="dxa"/>
                    <w:right w:w="0" w:type="dxa"/>
                  </w:tcMar>
                  <w:vAlign w:val="center"/>
                </w:tcPr>
                <w:p w14:paraId="03D3ABC5">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3496" w:type="dxa"/>
                  <w:vMerge w:val="continue"/>
                  <w:tcBorders>
                    <w:tl2br w:val="nil"/>
                    <w:tr2bl w:val="nil"/>
                  </w:tcBorders>
                  <w:tcMar>
                    <w:top w:w="0" w:type="dxa"/>
                    <w:left w:w="0" w:type="dxa"/>
                    <w:bottom w:w="0" w:type="dxa"/>
                    <w:right w:w="0" w:type="dxa"/>
                  </w:tcMar>
                  <w:vAlign w:val="center"/>
                </w:tcPr>
                <w:p w14:paraId="1E851530">
                  <w:pPr>
                    <w:adjustRightInd w:val="0"/>
                    <w:snapToGrid w:val="0"/>
                    <w:spacing w:line="240" w:lineRule="auto"/>
                    <w:ind w:firstLine="0" w:firstLineChars="0"/>
                    <w:jc w:val="center"/>
                    <w:rPr>
                      <w:color w:val="auto"/>
                      <w:sz w:val="21"/>
                      <w:szCs w:val="21"/>
                    </w:rPr>
                  </w:pPr>
                </w:p>
              </w:tc>
            </w:tr>
            <w:tr w14:paraId="49E3FA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7E7709D7">
                  <w:pPr>
                    <w:adjustRightInd w:val="0"/>
                    <w:snapToGrid w:val="0"/>
                    <w:spacing w:line="240" w:lineRule="auto"/>
                    <w:ind w:firstLine="0" w:firstLineChars="0"/>
                    <w:jc w:val="center"/>
                    <w:rPr>
                      <w:color w:val="auto"/>
                      <w:sz w:val="21"/>
                      <w:szCs w:val="21"/>
                    </w:rPr>
                  </w:pPr>
                </w:p>
              </w:tc>
              <w:tc>
                <w:tcPr>
                  <w:tcW w:w="1095" w:type="dxa"/>
                  <w:vMerge w:val="restart"/>
                  <w:tcBorders>
                    <w:tl2br w:val="nil"/>
                    <w:tr2bl w:val="nil"/>
                  </w:tcBorders>
                  <w:tcMar>
                    <w:top w:w="0" w:type="dxa"/>
                    <w:left w:w="0" w:type="dxa"/>
                    <w:bottom w:w="0" w:type="dxa"/>
                    <w:right w:w="0" w:type="dxa"/>
                  </w:tcMar>
                  <w:vAlign w:val="center"/>
                </w:tcPr>
                <w:p w14:paraId="28289B1A">
                  <w:pPr>
                    <w:adjustRightInd w:val="0"/>
                    <w:snapToGrid w:val="0"/>
                    <w:spacing w:line="240" w:lineRule="auto"/>
                    <w:ind w:firstLine="0" w:firstLineChars="0"/>
                    <w:jc w:val="center"/>
                    <w:rPr>
                      <w:color w:val="auto"/>
                      <w:sz w:val="21"/>
                      <w:szCs w:val="21"/>
                    </w:rPr>
                  </w:pPr>
                  <w:r>
                    <w:rPr>
                      <w:rFonts w:hint="eastAsia"/>
                      <w:color w:val="auto"/>
                      <w:sz w:val="21"/>
                      <w:szCs w:val="21"/>
                    </w:rPr>
                    <w:t>环保治理设施运行</w:t>
                  </w:r>
                </w:p>
              </w:tc>
              <w:tc>
                <w:tcPr>
                  <w:tcW w:w="1170" w:type="dxa"/>
                  <w:tcBorders>
                    <w:tl2br w:val="nil"/>
                    <w:tr2bl w:val="nil"/>
                  </w:tcBorders>
                  <w:shd w:val="clear" w:color="auto" w:fill="auto"/>
                  <w:tcMar>
                    <w:top w:w="0" w:type="dxa"/>
                    <w:left w:w="0" w:type="dxa"/>
                    <w:bottom w:w="0" w:type="dxa"/>
                    <w:right w:w="0" w:type="dxa"/>
                  </w:tcMar>
                  <w:vAlign w:val="center"/>
                </w:tcPr>
                <w:p w14:paraId="3941A1B8">
                  <w:pPr>
                    <w:adjustRightInd w:val="0"/>
                    <w:snapToGrid w:val="0"/>
                    <w:spacing w:line="240" w:lineRule="auto"/>
                    <w:ind w:firstLine="0" w:firstLineChars="0"/>
                    <w:jc w:val="center"/>
                    <w:rPr>
                      <w:color w:val="auto"/>
                      <w:sz w:val="21"/>
                      <w:szCs w:val="21"/>
                    </w:rPr>
                  </w:pPr>
                  <w:r>
                    <w:rPr>
                      <w:rFonts w:hint="eastAsia"/>
                      <w:color w:val="auto"/>
                      <w:sz w:val="21"/>
                      <w:szCs w:val="21"/>
                    </w:rPr>
                    <w:t>废布袋S3</w:t>
                  </w:r>
                </w:p>
              </w:tc>
              <w:tc>
                <w:tcPr>
                  <w:tcW w:w="1470" w:type="dxa"/>
                  <w:tcBorders>
                    <w:tl2br w:val="nil"/>
                    <w:tr2bl w:val="nil"/>
                  </w:tcBorders>
                  <w:tcMar>
                    <w:top w:w="0" w:type="dxa"/>
                    <w:left w:w="0" w:type="dxa"/>
                    <w:bottom w:w="0" w:type="dxa"/>
                    <w:right w:w="0" w:type="dxa"/>
                  </w:tcMar>
                  <w:vAlign w:val="center"/>
                </w:tcPr>
                <w:p w14:paraId="017DA4E0">
                  <w:pPr>
                    <w:adjustRightInd w:val="0"/>
                    <w:snapToGrid w:val="0"/>
                    <w:spacing w:line="240" w:lineRule="auto"/>
                    <w:ind w:firstLine="0" w:firstLineChars="0"/>
                    <w:jc w:val="center"/>
                    <w:rPr>
                      <w:color w:val="auto"/>
                      <w:sz w:val="21"/>
                      <w:szCs w:val="21"/>
                    </w:rPr>
                  </w:pPr>
                  <w:r>
                    <w:rPr>
                      <w:rFonts w:hint="eastAsia"/>
                      <w:color w:val="auto"/>
                      <w:sz w:val="21"/>
                      <w:szCs w:val="21"/>
                    </w:rPr>
                    <w:t>/</w:t>
                  </w:r>
                </w:p>
              </w:tc>
              <w:tc>
                <w:tcPr>
                  <w:tcW w:w="3496" w:type="dxa"/>
                  <w:vMerge w:val="continue"/>
                  <w:tcBorders>
                    <w:tl2br w:val="nil"/>
                    <w:tr2bl w:val="nil"/>
                  </w:tcBorders>
                  <w:tcMar>
                    <w:top w:w="0" w:type="dxa"/>
                    <w:left w:w="0" w:type="dxa"/>
                    <w:bottom w:w="0" w:type="dxa"/>
                    <w:right w:w="0" w:type="dxa"/>
                  </w:tcMar>
                  <w:vAlign w:val="center"/>
                </w:tcPr>
                <w:p w14:paraId="16554CF2">
                  <w:pPr>
                    <w:adjustRightInd w:val="0"/>
                    <w:snapToGrid w:val="0"/>
                    <w:spacing w:line="240" w:lineRule="auto"/>
                    <w:ind w:firstLine="0" w:firstLineChars="0"/>
                    <w:jc w:val="center"/>
                    <w:rPr>
                      <w:color w:val="auto"/>
                      <w:sz w:val="21"/>
                      <w:szCs w:val="21"/>
                    </w:rPr>
                  </w:pPr>
                </w:p>
              </w:tc>
            </w:tr>
            <w:tr w14:paraId="6AD9E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644C9021">
                  <w:pPr>
                    <w:adjustRightInd w:val="0"/>
                    <w:snapToGrid w:val="0"/>
                    <w:spacing w:line="240" w:lineRule="auto"/>
                    <w:ind w:firstLine="0" w:firstLineChars="0"/>
                    <w:jc w:val="center"/>
                    <w:rPr>
                      <w:color w:val="auto"/>
                      <w:sz w:val="21"/>
                      <w:szCs w:val="21"/>
                    </w:rPr>
                  </w:pPr>
                </w:p>
              </w:tc>
              <w:tc>
                <w:tcPr>
                  <w:tcW w:w="1095" w:type="dxa"/>
                  <w:vMerge w:val="continue"/>
                  <w:tcBorders>
                    <w:tl2br w:val="nil"/>
                    <w:tr2bl w:val="nil"/>
                  </w:tcBorders>
                  <w:tcMar>
                    <w:top w:w="0" w:type="dxa"/>
                    <w:left w:w="0" w:type="dxa"/>
                    <w:bottom w:w="0" w:type="dxa"/>
                    <w:right w:w="0" w:type="dxa"/>
                  </w:tcMar>
                  <w:vAlign w:val="center"/>
                </w:tcPr>
                <w:p w14:paraId="0CE24C1F">
                  <w:pPr>
                    <w:adjustRightInd w:val="0"/>
                    <w:snapToGrid w:val="0"/>
                    <w:spacing w:line="240" w:lineRule="auto"/>
                    <w:ind w:firstLine="0" w:firstLineChars="0"/>
                    <w:jc w:val="center"/>
                    <w:rPr>
                      <w:color w:val="auto"/>
                      <w:sz w:val="21"/>
                      <w:szCs w:val="21"/>
                    </w:rPr>
                  </w:pPr>
                </w:p>
              </w:tc>
              <w:tc>
                <w:tcPr>
                  <w:tcW w:w="1170" w:type="dxa"/>
                  <w:tcBorders>
                    <w:tl2br w:val="nil"/>
                    <w:tr2bl w:val="nil"/>
                  </w:tcBorders>
                  <w:shd w:val="clear" w:color="auto" w:fill="auto"/>
                  <w:tcMar>
                    <w:top w:w="0" w:type="dxa"/>
                    <w:left w:w="0" w:type="dxa"/>
                    <w:bottom w:w="0" w:type="dxa"/>
                    <w:right w:w="0" w:type="dxa"/>
                  </w:tcMar>
                  <w:vAlign w:val="center"/>
                </w:tcPr>
                <w:p w14:paraId="62324F62">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废活性炭S4</w:t>
                  </w:r>
                </w:p>
              </w:tc>
              <w:tc>
                <w:tcPr>
                  <w:tcW w:w="1470" w:type="dxa"/>
                  <w:tcBorders>
                    <w:tl2br w:val="nil"/>
                    <w:tr2bl w:val="nil"/>
                  </w:tcBorders>
                  <w:shd w:val="clear" w:color="auto" w:fill="auto"/>
                  <w:tcMar>
                    <w:top w:w="0" w:type="dxa"/>
                    <w:left w:w="0" w:type="dxa"/>
                    <w:bottom w:w="0" w:type="dxa"/>
                    <w:right w:w="0" w:type="dxa"/>
                  </w:tcMar>
                  <w:vAlign w:val="center"/>
                </w:tcPr>
                <w:p w14:paraId="58B6E5E3">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w:t>
                  </w:r>
                </w:p>
              </w:tc>
              <w:tc>
                <w:tcPr>
                  <w:tcW w:w="3496" w:type="dxa"/>
                  <w:vMerge w:val="restart"/>
                  <w:tcBorders>
                    <w:tl2br w:val="nil"/>
                    <w:tr2bl w:val="nil"/>
                  </w:tcBorders>
                  <w:tcMar>
                    <w:top w:w="0" w:type="dxa"/>
                    <w:left w:w="0" w:type="dxa"/>
                    <w:bottom w:w="0" w:type="dxa"/>
                    <w:right w:w="0" w:type="dxa"/>
                  </w:tcMar>
                  <w:vAlign w:val="center"/>
                </w:tcPr>
                <w:p w14:paraId="5DFF444B">
                  <w:pPr>
                    <w:adjustRightInd w:val="0"/>
                    <w:snapToGrid w:val="0"/>
                    <w:spacing w:line="240" w:lineRule="auto"/>
                    <w:ind w:firstLine="0" w:firstLineChars="0"/>
                    <w:jc w:val="center"/>
                    <w:rPr>
                      <w:color w:val="auto"/>
                      <w:sz w:val="21"/>
                      <w:szCs w:val="21"/>
                    </w:rPr>
                  </w:pPr>
                  <w:r>
                    <w:rPr>
                      <w:rFonts w:hint="eastAsia"/>
                      <w:color w:val="auto"/>
                      <w:sz w:val="21"/>
                      <w:szCs w:val="21"/>
                      <w:lang w:val="zh-CN"/>
                    </w:rPr>
                    <w:t>统一收集后</w:t>
                  </w:r>
                  <w:r>
                    <w:rPr>
                      <w:rFonts w:hint="eastAsia"/>
                      <w:color w:val="auto"/>
                      <w:sz w:val="21"/>
                      <w:szCs w:val="21"/>
                    </w:rPr>
                    <w:t>暂存于危险废物暂存间，定期委托资质单位清运处置</w:t>
                  </w:r>
                </w:p>
              </w:tc>
            </w:tr>
            <w:tr w14:paraId="44EB39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71018FAB">
                  <w:pPr>
                    <w:adjustRightInd w:val="0"/>
                    <w:snapToGrid w:val="0"/>
                    <w:spacing w:line="240" w:lineRule="auto"/>
                    <w:ind w:firstLine="0" w:firstLineChars="0"/>
                    <w:jc w:val="center"/>
                    <w:rPr>
                      <w:color w:val="auto"/>
                      <w:sz w:val="21"/>
                      <w:szCs w:val="21"/>
                    </w:rPr>
                  </w:pPr>
                </w:p>
              </w:tc>
              <w:tc>
                <w:tcPr>
                  <w:tcW w:w="1095" w:type="dxa"/>
                  <w:vMerge w:val="restart"/>
                  <w:tcBorders>
                    <w:tl2br w:val="nil"/>
                    <w:tr2bl w:val="nil"/>
                  </w:tcBorders>
                  <w:tcMar>
                    <w:top w:w="0" w:type="dxa"/>
                    <w:left w:w="0" w:type="dxa"/>
                    <w:bottom w:w="0" w:type="dxa"/>
                    <w:right w:w="0" w:type="dxa"/>
                  </w:tcMar>
                  <w:vAlign w:val="center"/>
                </w:tcPr>
                <w:p w14:paraId="3880A1EE">
                  <w:pPr>
                    <w:adjustRightInd w:val="0"/>
                    <w:snapToGrid w:val="0"/>
                    <w:spacing w:line="240" w:lineRule="auto"/>
                    <w:ind w:firstLine="0" w:firstLineChars="0"/>
                    <w:jc w:val="center"/>
                    <w:rPr>
                      <w:color w:val="auto"/>
                      <w:sz w:val="21"/>
                      <w:szCs w:val="21"/>
                    </w:rPr>
                  </w:pPr>
                  <w:r>
                    <w:rPr>
                      <w:rFonts w:hint="eastAsia" w:cs="Times New Roman"/>
                      <w:color w:val="auto"/>
                      <w:sz w:val="21"/>
                      <w:szCs w:val="21"/>
                    </w:rPr>
                    <w:t>样品试验</w:t>
                  </w:r>
                </w:p>
              </w:tc>
              <w:tc>
                <w:tcPr>
                  <w:tcW w:w="1170" w:type="dxa"/>
                  <w:tcBorders>
                    <w:tl2br w:val="nil"/>
                    <w:tr2bl w:val="nil"/>
                  </w:tcBorders>
                  <w:shd w:val="clear" w:color="auto" w:fill="auto"/>
                  <w:tcMar>
                    <w:top w:w="0" w:type="dxa"/>
                    <w:left w:w="0" w:type="dxa"/>
                    <w:bottom w:w="0" w:type="dxa"/>
                    <w:right w:w="0" w:type="dxa"/>
                  </w:tcMar>
                  <w:vAlign w:val="center"/>
                </w:tcPr>
                <w:p w14:paraId="7E5CE70D">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检测废液S5</w:t>
                  </w:r>
                </w:p>
              </w:tc>
              <w:tc>
                <w:tcPr>
                  <w:tcW w:w="1470" w:type="dxa"/>
                  <w:tcBorders>
                    <w:tl2br w:val="nil"/>
                    <w:tr2bl w:val="nil"/>
                  </w:tcBorders>
                  <w:shd w:val="clear" w:color="auto" w:fill="auto"/>
                  <w:tcMar>
                    <w:top w:w="0" w:type="dxa"/>
                    <w:left w:w="0" w:type="dxa"/>
                    <w:bottom w:w="0" w:type="dxa"/>
                    <w:right w:w="0" w:type="dxa"/>
                  </w:tcMar>
                  <w:vAlign w:val="center"/>
                </w:tcPr>
                <w:p w14:paraId="7BB26B0F">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w:t>
                  </w:r>
                </w:p>
              </w:tc>
              <w:tc>
                <w:tcPr>
                  <w:tcW w:w="3496" w:type="dxa"/>
                  <w:vMerge w:val="continue"/>
                  <w:tcBorders>
                    <w:tl2br w:val="nil"/>
                    <w:tr2bl w:val="nil"/>
                  </w:tcBorders>
                  <w:tcMar>
                    <w:top w:w="0" w:type="dxa"/>
                    <w:left w:w="0" w:type="dxa"/>
                    <w:bottom w:w="0" w:type="dxa"/>
                    <w:right w:w="0" w:type="dxa"/>
                  </w:tcMar>
                  <w:vAlign w:val="center"/>
                </w:tcPr>
                <w:p w14:paraId="14C7A410">
                  <w:pPr>
                    <w:adjustRightInd w:val="0"/>
                    <w:snapToGrid w:val="0"/>
                    <w:spacing w:line="240" w:lineRule="auto"/>
                    <w:ind w:firstLine="0" w:firstLineChars="0"/>
                    <w:jc w:val="center"/>
                    <w:rPr>
                      <w:rFonts w:hint="eastAsia"/>
                      <w:color w:val="auto"/>
                      <w:sz w:val="21"/>
                      <w:szCs w:val="21"/>
                      <w:lang w:val="zh-CN"/>
                    </w:rPr>
                  </w:pPr>
                </w:p>
              </w:tc>
            </w:tr>
            <w:tr w14:paraId="3B032B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40788B7E">
                  <w:pPr>
                    <w:adjustRightInd w:val="0"/>
                    <w:snapToGrid w:val="0"/>
                    <w:spacing w:line="240" w:lineRule="auto"/>
                    <w:ind w:firstLine="0" w:firstLineChars="0"/>
                    <w:jc w:val="center"/>
                    <w:rPr>
                      <w:color w:val="auto"/>
                      <w:sz w:val="21"/>
                      <w:szCs w:val="21"/>
                    </w:rPr>
                  </w:pPr>
                </w:p>
              </w:tc>
              <w:tc>
                <w:tcPr>
                  <w:tcW w:w="1095" w:type="dxa"/>
                  <w:vMerge w:val="continue"/>
                  <w:tcBorders>
                    <w:tl2br w:val="nil"/>
                    <w:tr2bl w:val="nil"/>
                  </w:tcBorders>
                  <w:tcMar>
                    <w:top w:w="0" w:type="dxa"/>
                    <w:left w:w="0" w:type="dxa"/>
                    <w:bottom w:w="0" w:type="dxa"/>
                    <w:right w:w="0" w:type="dxa"/>
                  </w:tcMar>
                  <w:vAlign w:val="center"/>
                </w:tcPr>
                <w:p w14:paraId="488EC3A1">
                  <w:pPr>
                    <w:adjustRightInd w:val="0"/>
                    <w:snapToGrid w:val="0"/>
                    <w:spacing w:line="240" w:lineRule="auto"/>
                    <w:ind w:firstLine="0" w:firstLineChars="0"/>
                    <w:jc w:val="center"/>
                    <w:rPr>
                      <w:rFonts w:hint="eastAsia" w:cs="Times New Roman"/>
                      <w:color w:val="auto"/>
                      <w:sz w:val="21"/>
                      <w:szCs w:val="21"/>
                    </w:rPr>
                  </w:pPr>
                </w:p>
              </w:tc>
              <w:tc>
                <w:tcPr>
                  <w:tcW w:w="1170" w:type="dxa"/>
                  <w:tcBorders>
                    <w:tl2br w:val="nil"/>
                    <w:tr2bl w:val="nil"/>
                  </w:tcBorders>
                  <w:shd w:val="clear" w:color="auto" w:fill="auto"/>
                  <w:tcMar>
                    <w:top w:w="0" w:type="dxa"/>
                    <w:left w:w="0" w:type="dxa"/>
                    <w:bottom w:w="0" w:type="dxa"/>
                    <w:right w:w="0" w:type="dxa"/>
                  </w:tcMar>
                  <w:vAlign w:val="center"/>
                </w:tcPr>
                <w:p w14:paraId="4FFFEFA8">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废一次性耗材S6</w:t>
                  </w:r>
                </w:p>
              </w:tc>
              <w:tc>
                <w:tcPr>
                  <w:tcW w:w="1470" w:type="dxa"/>
                  <w:tcBorders>
                    <w:tl2br w:val="nil"/>
                    <w:tr2bl w:val="nil"/>
                  </w:tcBorders>
                  <w:shd w:val="clear" w:color="auto" w:fill="auto"/>
                  <w:tcMar>
                    <w:top w:w="0" w:type="dxa"/>
                    <w:left w:w="0" w:type="dxa"/>
                    <w:bottom w:w="0" w:type="dxa"/>
                    <w:right w:w="0" w:type="dxa"/>
                  </w:tcMar>
                  <w:vAlign w:val="center"/>
                </w:tcPr>
                <w:p w14:paraId="7448A5C5">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rPr>
                    <w:t>/</w:t>
                  </w:r>
                </w:p>
              </w:tc>
              <w:tc>
                <w:tcPr>
                  <w:tcW w:w="3496" w:type="dxa"/>
                  <w:vMerge w:val="continue"/>
                  <w:tcBorders>
                    <w:tl2br w:val="nil"/>
                    <w:tr2bl w:val="nil"/>
                  </w:tcBorders>
                  <w:tcMar>
                    <w:top w:w="0" w:type="dxa"/>
                    <w:left w:w="0" w:type="dxa"/>
                    <w:bottom w:w="0" w:type="dxa"/>
                    <w:right w:w="0" w:type="dxa"/>
                  </w:tcMar>
                  <w:vAlign w:val="center"/>
                </w:tcPr>
                <w:p w14:paraId="3FE9AC76">
                  <w:pPr>
                    <w:adjustRightInd w:val="0"/>
                    <w:snapToGrid w:val="0"/>
                    <w:spacing w:line="240" w:lineRule="auto"/>
                    <w:ind w:firstLine="0" w:firstLineChars="0"/>
                    <w:jc w:val="center"/>
                    <w:rPr>
                      <w:rFonts w:hint="eastAsia"/>
                      <w:color w:val="auto"/>
                      <w:sz w:val="21"/>
                      <w:szCs w:val="21"/>
                      <w:lang w:val="zh-CN"/>
                    </w:rPr>
                  </w:pPr>
                </w:p>
              </w:tc>
            </w:tr>
            <w:tr w14:paraId="5C2AE5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6016B618">
                  <w:pPr>
                    <w:adjustRightInd w:val="0"/>
                    <w:snapToGrid w:val="0"/>
                    <w:spacing w:line="240" w:lineRule="auto"/>
                    <w:ind w:firstLine="0" w:firstLineChars="0"/>
                    <w:jc w:val="center"/>
                    <w:rPr>
                      <w:color w:val="auto"/>
                      <w:sz w:val="21"/>
                      <w:szCs w:val="21"/>
                    </w:rPr>
                  </w:pPr>
                </w:p>
              </w:tc>
              <w:tc>
                <w:tcPr>
                  <w:tcW w:w="1095" w:type="dxa"/>
                  <w:vMerge w:val="continue"/>
                  <w:tcBorders>
                    <w:tl2br w:val="nil"/>
                    <w:tr2bl w:val="nil"/>
                  </w:tcBorders>
                  <w:tcMar>
                    <w:top w:w="0" w:type="dxa"/>
                    <w:left w:w="0" w:type="dxa"/>
                    <w:bottom w:w="0" w:type="dxa"/>
                    <w:right w:w="0" w:type="dxa"/>
                  </w:tcMar>
                  <w:vAlign w:val="center"/>
                </w:tcPr>
                <w:p w14:paraId="3A522708">
                  <w:pPr>
                    <w:adjustRightInd w:val="0"/>
                    <w:snapToGrid w:val="0"/>
                    <w:spacing w:line="240" w:lineRule="auto"/>
                    <w:ind w:firstLine="0" w:firstLineChars="0"/>
                    <w:jc w:val="center"/>
                    <w:rPr>
                      <w:rFonts w:hint="eastAsia" w:cs="Times New Roman"/>
                      <w:color w:val="auto"/>
                      <w:sz w:val="21"/>
                      <w:szCs w:val="21"/>
                    </w:rPr>
                  </w:pPr>
                </w:p>
              </w:tc>
              <w:tc>
                <w:tcPr>
                  <w:tcW w:w="1170" w:type="dxa"/>
                  <w:tcBorders>
                    <w:tl2br w:val="nil"/>
                    <w:tr2bl w:val="nil"/>
                  </w:tcBorders>
                  <w:shd w:val="clear" w:color="auto" w:fill="auto"/>
                  <w:tcMar>
                    <w:top w:w="0" w:type="dxa"/>
                    <w:left w:w="0" w:type="dxa"/>
                    <w:bottom w:w="0" w:type="dxa"/>
                    <w:right w:w="0" w:type="dxa"/>
                  </w:tcMar>
                  <w:vAlign w:val="center"/>
                </w:tcPr>
                <w:p w14:paraId="30E56538">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废试剂瓶S7</w:t>
                  </w:r>
                </w:p>
              </w:tc>
              <w:tc>
                <w:tcPr>
                  <w:tcW w:w="1470" w:type="dxa"/>
                  <w:tcBorders>
                    <w:tl2br w:val="nil"/>
                    <w:tr2bl w:val="nil"/>
                  </w:tcBorders>
                  <w:shd w:val="clear" w:color="auto" w:fill="auto"/>
                  <w:tcMar>
                    <w:top w:w="0" w:type="dxa"/>
                    <w:left w:w="0" w:type="dxa"/>
                    <w:bottom w:w="0" w:type="dxa"/>
                    <w:right w:w="0" w:type="dxa"/>
                  </w:tcMar>
                  <w:vAlign w:val="center"/>
                </w:tcPr>
                <w:p w14:paraId="68E0C761">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3496" w:type="dxa"/>
                  <w:vMerge w:val="continue"/>
                  <w:tcBorders>
                    <w:tl2br w:val="nil"/>
                    <w:tr2bl w:val="nil"/>
                  </w:tcBorders>
                  <w:tcMar>
                    <w:top w:w="0" w:type="dxa"/>
                    <w:left w:w="0" w:type="dxa"/>
                    <w:bottom w:w="0" w:type="dxa"/>
                    <w:right w:w="0" w:type="dxa"/>
                  </w:tcMar>
                  <w:vAlign w:val="center"/>
                </w:tcPr>
                <w:p w14:paraId="6C8D0823">
                  <w:pPr>
                    <w:adjustRightInd w:val="0"/>
                    <w:snapToGrid w:val="0"/>
                    <w:spacing w:line="240" w:lineRule="auto"/>
                    <w:ind w:firstLine="0" w:firstLineChars="0"/>
                    <w:jc w:val="center"/>
                    <w:rPr>
                      <w:rFonts w:hint="eastAsia"/>
                      <w:color w:val="auto"/>
                      <w:sz w:val="21"/>
                      <w:szCs w:val="21"/>
                      <w:lang w:val="zh-CN"/>
                    </w:rPr>
                  </w:pPr>
                </w:p>
              </w:tc>
            </w:tr>
            <w:tr w14:paraId="033289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tcMar>
                    <w:top w:w="0" w:type="dxa"/>
                    <w:left w:w="0" w:type="dxa"/>
                    <w:bottom w:w="0" w:type="dxa"/>
                    <w:right w:w="0" w:type="dxa"/>
                  </w:tcMar>
                  <w:vAlign w:val="center"/>
                </w:tcPr>
                <w:p w14:paraId="6D9FCF46">
                  <w:pPr>
                    <w:adjustRightInd w:val="0"/>
                    <w:snapToGrid w:val="0"/>
                    <w:spacing w:line="240" w:lineRule="auto"/>
                    <w:ind w:firstLine="0" w:firstLineChars="0"/>
                    <w:jc w:val="center"/>
                    <w:rPr>
                      <w:color w:val="auto"/>
                      <w:sz w:val="21"/>
                      <w:szCs w:val="21"/>
                    </w:rPr>
                  </w:pPr>
                </w:p>
              </w:tc>
              <w:tc>
                <w:tcPr>
                  <w:tcW w:w="1095" w:type="dxa"/>
                  <w:tcBorders>
                    <w:tl2br w:val="nil"/>
                    <w:tr2bl w:val="nil"/>
                  </w:tcBorders>
                  <w:tcMar>
                    <w:top w:w="0" w:type="dxa"/>
                    <w:left w:w="0" w:type="dxa"/>
                    <w:bottom w:w="0" w:type="dxa"/>
                    <w:right w:w="0" w:type="dxa"/>
                  </w:tcMar>
                  <w:vAlign w:val="center"/>
                </w:tcPr>
                <w:p w14:paraId="554AEF79">
                  <w:pPr>
                    <w:adjustRightInd w:val="0"/>
                    <w:snapToGrid w:val="0"/>
                    <w:spacing w:line="240" w:lineRule="auto"/>
                    <w:ind w:firstLine="0" w:firstLineChars="0"/>
                    <w:jc w:val="center"/>
                    <w:rPr>
                      <w:color w:val="auto"/>
                      <w:sz w:val="21"/>
                      <w:szCs w:val="21"/>
                    </w:rPr>
                  </w:pPr>
                  <w:r>
                    <w:rPr>
                      <w:rFonts w:hint="eastAsia"/>
                      <w:color w:val="auto"/>
                      <w:sz w:val="21"/>
                      <w:szCs w:val="21"/>
                    </w:rPr>
                    <w:t>职工生活</w:t>
                  </w:r>
                </w:p>
              </w:tc>
              <w:tc>
                <w:tcPr>
                  <w:tcW w:w="1170" w:type="dxa"/>
                  <w:tcBorders>
                    <w:tl2br w:val="nil"/>
                    <w:tr2bl w:val="nil"/>
                  </w:tcBorders>
                  <w:shd w:val="clear" w:color="auto" w:fill="auto"/>
                  <w:tcMar>
                    <w:top w:w="0" w:type="dxa"/>
                    <w:left w:w="0" w:type="dxa"/>
                    <w:bottom w:w="0" w:type="dxa"/>
                    <w:right w:w="0" w:type="dxa"/>
                  </w:tcMar>
                  <w:vAlign w:val="center"/>
                </w:tcPr>
                <w:p w14:paraId="09F4410A">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生活垃圾</w:t>
                  </w:r>
                </w:p>
              </w:tc>
              <w:tc>
                <w:tcPr>
                  <w:tcW w:w="1470" w:type="dxa"/>
                  <w:tcBorders>
                    <w:tl2br w:val="nil"/>
                    <w:tr2bl w:val="nil"/>
                  </w:tcBorders>
                  <w:shd w:val="clear" w:color="auto" w:fill="auto"/>
                  <w:tcMar>
                    <w:top w:w="0" w:type="dxa"/>
                    <w:left w:w="0" w:type="dxa"/>
                    <w:bottom w:w="0" w:type="dxa"/>
                    <w:right w:w="0" w:type="dxa"/>
                  </w:tcMar>
                  <w:vAlign w:val="center"/>
                </w:tcPr>
                <w:p w14:paraId="09A8E9F9">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rPr>
                    <w:t>/</w:t>
                  </w:r>
                </w:p>
              </w:tc>
              <w:tc>
                <w:tcPr>
                  <w:tcW w:w="3496" w:type="dxa"/>
                  <w:tcBorders>
                    <w:tl2br w:val="nil"/>
                    <w:tr2bl w:val="nil"/>
                  </w:tcBorders>
                  <w:tcMar>
                    <w:top w:w="0" w:type="dxa"/>
                    <w:left w:w="0" w:type="dxa"/>
                    <w:bottom w:w="0" w:type="dxa"/>
                    <w:right w:w="0" w:type="dxa"/>
                  </w:tcMar>
                  <w:vAlign w:val="center"/>
                </w:tcPr>
                <w:p w14:paraId="60540522">
                  <w:pPr>
                    <w:adjustRightInd w:val="0"/>
                    <w:snapToGrid w:val="0"/>
                    <w:spacing w:line="240" w:lineRule="auto"/>
                    <w:ind w:firstLine="0" w:firstLineChars="0"/>
                    <w:jc w:val="center"/>
                    <w:rPr>
                      <w:color w:val="auto"/>
                      <w:sz w:val="21"/>
                      <w:szCs w:val="21"/>
                    </w:rPr>
                  </w:pPr>
                  <w:r>
                    <w:rPr>
                      <w:rFonts w:hint="eastAsia"/>
                      <w:color w:val="auto"/>
                      <w:sz w:val="21"/>
                      <w:szCs w:val="21"/>
                    </w:rPr>
                    <w:t>统一收集后定期交环卫部门清运处理</w:t>
                  </w:r>
                </w:p>
              </w:tc>
            </w:tr>
          </w:tbl>
          <w:p w14:paraId="1725D6D3">
            <w:pPr>
              <w:widowControl/>
              <w:ind w:firstLine="960" w:firstLineChars="400"/>
              <w:jc w:val="left"/>
              <w:rPr>
                <w:rFonts w:hint="eastAsia" w:ascii="宋体" w:hAnsi="宋体" w:cs="宋体"/>
                <w:color w:val="auto"/>
                <w:kern w:val="0"/>
                <w:lang w:val="en-US" w:eastAsia="zh-CN" w:bidi="ar"/>
              </w:rPr>
            </w:pPr>
          </w:p>
          <w:p w14:paraId="19672492">
            <w:pPr>
              <w:pStyle w:val="24"/>
              <w:bidi w:val="0"/>
              <w:rPr>
                <w:color w:val="auto"/>
              </w:rPr>
            </w:pPr>
          </w:p>
        </w:tc>
      </w:tr>
      <w:tr w14:paraId="5AB2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8C2A5F1">
            <w:pPr>
              <w:spacing w:line="240" w:lineRule="auto"/>
              <w:ind w:firstLine="0" w:firstLineChars="0"/>
              <w:jc w:val="center"/>
              <w:rPr>
                <w:rFonts w:cs="Times New Roman"/>
                <w:color w:val="auto"/>
              </w:rPr>
            </w:pPr>
            <w:r>
              <w:rPr>
                <w:rFonts w:cs="Times New Roman"/>
                <w:color w:val="auto"/>
              </w:rPr>
              <w:t>与项目有关的原有环境污染问题</w:t>
            </w:r>
          </w:p>
        </w:tc>
        <w:tc>
          <w:tcPr>
            <w:tcW w:w="8239" w:type="dxa"/>
            <w:vAlign w:val="center"/>
          </w:tcPr>
          <w:p w14:paraId="31FD7BD5">
            <w:pPr>
              <w:ind w:firstLine="480"/>
              <w:rPr>
                <w:rFonts w:cs="Times New Roman"/>
                <w:color w:val="auto"/>
              </w:rPr>
            </w:pPr>
            <w:r>
              <w:rPr>
                <w:rFonts w:cs="Times New Roman"/>
                <w:color w:val="auto"/>
              </w:rPr>
              <w:t>项目为新建项目，项目所在地原为闲置厂房，不存在原有污染情况。</w:t>
            </w:r>
          </w:p>
          <w:p w14:paraId="6BC76F3E">
            <w:pPr>
              <w:ind w:firstLine="480"/>
              <w:rPr>
                <w:rFonts w:cs="Times New Roman"/>
                <w:color w:val="auto"/>
              </w:rPr>
            </w:pPr>
          </w:p>
          <w:p w14:paraId="47A96C63">
            <w:pPr>
              <w:ind w:firstLine="480"/>
              <w:rPr>
                <w:rFonts w:cs="Times New Roman"/>
                <w:color w:val="auto"/>
              </w:rPr>
            </w:pPr>
          </w:p>
          <w:p w14:paraId="423A131B">
            <w:pPr>
              <w:ind w:firstLine="480"/>
              <w:rPr>
                <w:rFonts w:cs="Times New Roman"/>
                <w:color w:val="auto"/>
              </w:rPr>
            </w:pPr>
          </w:p>
          <w:p w14:paraId="3ECB4F3E">
            <w:pPr>
              <w:ind w:firstLine="480"/>
              <w:rPr>
                <w:rFonts w:cs="Times New Roman"/>
                <w:color w:val="auto"/>
              </w:rPr>
            </w:pPr>
          </w:p>
          <w:p w14:paraId="32A4E5DC">
            <w:pPr>
              <w:ind w:firstLine="480"/>
              <w:rPr>
                <w:rFonts w:cs="Times New Roman"/>
                <w:color w:val="auto"/>
              </w:rPr>
            </w:pPr>
          </w:p>
          <w:p w14:paraId="4563D883">
            <w:pPr>
              <w:ind w:firstLine="480"/>
              <w:rPr>
                <w:rFonts w:cs="Times New Roman"/>
                <w:color w:val="auto"/>
              </w:rPr>
            </w:pPr>
          </w:p>
          <w:p w14:paraId="64707431">
            <w:pPr>
              <w:ind w:firstLine="480"/>
              <w:rPr>
                <w:rFonts w:cs="Times New Roman"/>
                <w:color w:val="auto"/>
              </w:rPr>
            </w:pPr>
          </w:p>
          <w:p w14:paraId="32A390CF">
            <w:pPr>
              <w:ind w:firstLine="480"/>
              <w:rPr>
                <w:rFonts w:cs="Times New Roman"/>
                <w:color w:val="auto"/>
              </w:rPr>
            </w:pPr>
          </w:p>
          <w:p w14:paraId="530D5624">
            <w:pPr>
              <w:ind w:firstLine="480"/>
              <w:rPr>
                <w:rFonts w:cs="Times New Roman"/>
                <w:color w:val="auto"/>
              </w:rPr>
            </w:pPr>
          </w:p>
          <w:p w14:paraId="1D938593">
            <w:pPr>
              <w:ind w:firstLine="480"/>
              <w:rPr>
                <w:rFonts w:cs="Times New Roman"/>
                <w:color w:val="auto"/>
              </w:rPr>
            </w:pPr>
          </w:p>
          <w:p w14:paraId="6EDDA7BF">
            <w:pPr>
              <w:ind w:firstLine="480"/>
              <w:rPr>
                <w:rFonts w:cs="Times New Roman"/>
                <w:color w:val="auto"/>
              </w:rPr>
            </w:pPr>
          </w:p>
          <w:p w14:paraId="33F795EA">
            <w:pPr>
              <w:ind w:firstLine="480"/>
              <w:rPr>
                <w:rFonts w:cs="Times New Roman"/>
                <w:color w:val="auto"/>
              </w:rPr>
            </w:pPr>
          </w:p>
          <w:p w14:paraId="3858B5B6">
            <w:pPr>
              <w:ind w:firstLine="480"/>
              <w:rPr>
                <w:rFonts w:cs="Times New Roman"/>
                <w:color w:val="auto"/>
              </w:rPr>
            </w:pPr>
          </w:p>
        </w:tc>
      </w:tr>
    </w:tbl>
    <w:p w14:paraId="750FD238">
      <w:pPr>
        <w:ind w:firstLine="480"/>
        <w:rPr>
          <w:color w:val="000000" w:themeColor="text1"/>
          <w14:textFill>
            <w14:solidFill>
              <w14:schemeClr w14:val="tx1"/>
            </w14:solidFill>
          </w14:textFill>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5EC03744">
      <w:pPr>
        <w:pStyle w:val="2"/>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三、区域环境质量现状、环境保护目标及评价标准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3D48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FE42BE1">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区域环境质量现状</w:t>
            </w:r>
          </w:p>
        </w:tc>
        <w:tc>
          <w:tcPr>
            <w:tcW w:w="8239" w:type="dxa"/>
            <w:vAlign w:val="center"/>
          </w:tcPr>
          <w:p w14:paraId="5FCC5B15">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1、大气环境质量现状</w:t>
            </w:r>
          </w:p>
          <w:p w14:paraId="706829C6">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本项目所在区域为二类环境空气功能区，环境空气质量执行《环境空气质量标准》（GB3095-2012）及其修改单中二级标准。本次环评引用《202</w:t>
            </w: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14:textFill>
                  <w14:solidFill>
                    <w14:schemeClr w14:val="tx1"/>
                  </w14:solidFill>
                </w14:textFill>
              </w:rPr>
              <w:t>年北京市生态环境状况公报》（202</w:t>
            </w:r>
            <w:r>
              <w:rPr>
                <w:rFonts w:hint="eastAsia" w:cs="Times New Roman"/>
                <w:color w:val="000000" w:themeColor="text1"/>
                <w:lang w:val="en-US" w:eastAsia="zh-CN"/>
                <w14:textFill>
                  <w14:solidFill>
                    <w14:schemeClr w14:val="tx1"/>
                  </w14:solidFill>
                </w14:textFill>
              </w:rPr>
              <w:t>5</w:t>
            </w:r>
            <w:r>
              <w:rPr>
                <w:rFonts w:hint="eastAsia" w:cs="Times New Roman"/>
                <w:color w:val="000000" w:themeColor="text1"/>
                <w14:textFill>
                  <w14:solidFill>
                    <w14:schemeClr w14:val="tx1"/>
                  </w14:solidFill>
                </w14:textFill>
              </w:rPr>
              <w:t>年5月）数据对北京市、大兴区空气质量状况进行评价，具体见下表。</w:t>
            </w:r>
          </w:p>
          <w:p w14:paraId="75DCB841">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表3-1 北京市及大兴区202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年度环境空气监测结果一览表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014"/>
              <w:gridCol w:w="1797"/>
              <w:gridCol w:w="1183"/>
              <w:gridCol w:w="1106"/>
              <w:gridCol w:w="1106"/>
              <w:gridCol w:w="914"/>
            </w:tblGrid>
            <w:tr w14:paraId="30FD0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14:paraId="702814F0">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cs="Times New Roman"/>
                      <w:b/>
                      <w:bCs/>
                      <w:color w:val="000000" w:themeColor="text1"/>
                      <w:kern w:val="0"/>
                      <w:sz w:val="21"/>
                      <w:szCs w:val="21"/>
                      <w:lang w:bidi="ar"/>
                      <w14:textFill>
                        <w14:solidFill>
                          <w14:schemeClr w14:val="tx1"/>
                        </w14:solidFill>
                      </w14:textFill>
                    </w:rPr>
                    <w:t>区域</w:t>
                  </w:r>
                </w:p>
              </w:tc>
              <w:tc>
                <w:tcPr>
                  <w:tcW w:w="1014" w:type="dxa"/>
                  <w:tcBorders>
                    <w:tl2br w:val="nil"/>
                    <w:tr2bl w:val="nil"/>
                  </w:tcBorders>
                  <w:vAlign w:val="center"/>
                </w:tcPr>
                <w:p w14:paraId="22C92CEA">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cs="Times New Roman"/>
                      <w:b/>
                      <w:bCs/>
                      <w:color w:val="000000" w:themeColor="text1"/>
                      <w:kern w:val="0"/>
                      <w:sz w:val="21"/>
                      <w:szCs w:val="21"/>
                      <w:lang w:bidi="ar"/>
                      <w14:textFill>
                        <w14:solidFill>
                          <w14:schemeClr w14:val="tx1"/>
                        </w14:solidFill>
                      </w14:textFill>
                    </w:rPr>
                    <w:t>污染物</w:t>
                  </w:r>
                </w:p>
              </w:tc>
              <w:tc>
                <w:tcPr>
                  <w:tcW w:w="1797" w:type="dxa"/>
                  <w:tcBorders>
                    <w:tl2br w:val="nil"/>
                    <w:tr2bl w:val="nil"/>
                  </w:tcBorders>
                  <w:vAlign w:val="center"/>
                </w:tcPr>
                <w:p w14:paraId="36172D42">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cs="Times New Roman"/>
                      <w:b/>
                      <w:bCs/>
                      <w:color w:val="000000" w:themeColor="text1"/>
                      <w:kern w:val="0"/>
                      <w:sz w:val="21"/>
                      <w:szCs w:val="21"/>
                      <w:lang w:bidi="ar"/>
                      <w14:textFill>
                        <w14:solidFill>
                          <w14:schemeClr w14:val="tx1"/>
                        </w14:solidFill>
                      </w14:textFill>
                    </w:rPr>
                    <w:t>评价指标</w:t>
                  </w:r>
                </w:p>
              </w:tc>
              <w:tc>
                <w:tcPr>
                  <w:tcW w:w="1183" w:type="dxa"/>
                  <w:tcBorders>
                    <w:tl2br w:val="nil"/>
                    <w:tr2bl w:val="nil"/>
                  </w:tcBorders>
                  <w:vAlign w:val="center"/>
                </w:tcPr>
                <w:p w14:paraId="48FCF646">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cs="Times New Roman"/>
                      <w:b/>
                      <w:bCs/>
                      <w:color w:val="000000" w:themeColor="text1"/>
                      <w:kern w:val="0"/>
                      <w:sz w:val="21"/>
                      <w:szCs w:val="21"/>
                      <w:lang w:bidi="ar"/>
                      <w14:textFill>
                        <w14:solidFill>
                          <w14:schemeClr w14:val="tx1"/>
                        </w14:solidFill>
                      </w14:textFill>
                    </w:rPr>
                    <w:t>现状浓度μg/m</w:t>
                  </w:r>
                  <w:r>
                    <w:rPr>
                      <w:rFonts w:cs="Times New Roman"/>
                      <w:b/>
                      <w:bCs/>
                      <w:color w:val="000000" w:themeColor="text1"/>
                      <w:kern w:val="0"/>
                      <w:sz w:val="21"/>
                      <w:szCs w:val="21"/>
                      <w:vertAlign w:val="superscript"/>
                      <w:lang w:bidi="ar"/>
                      <w14:textFill>
                        <w14:solidFill>
                          <w14:schemeClr w14:val="tx1"/>
                        </w14:solidFill>
                      </w14:textFill>
                    </w:rPr>
                    <w:t>3</w:t>
                  </w:r>
                </w:p>
              </w:tc>
              <w:tc>
                <w:tcPr>
                  <w:tcW w:w="1106" w:type="dxa"/>
                  <w:tcBorders>
                    <w:tl2br w:val="nil"/>
                    <w:tr2bl w:val="nil"/>
                  </w:tcBorders>
                  <w:vAlign w:val="center"/>
                </w:tcPr>
                <w:p w14:paraId="2A4219F4">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标准值</w:t>
                  </w:r>
                  <w:r>
                    <w:rPr>
                      <w:rFonts w:cs="Times New Roman"/>
                      <w:b/>
                      <w:bCs/>
                      <w:color w:val="000000" w:themeColor="text1"/>
                      <w:kern w:val="0"/>
                      <w:sz w:val="21"/>
                      <w:szCs w:val="21"/>
                      <w:lang w:bidi="ar"/>
                      <w14:textFill>
                        <w14:solidFill>
                          <w14:schemeClr w14:val="tx1"/>
                        </w14:solidFill>
                      </w14:textFill>
                    </w:rPr>
                    <w:t>μg/m</w:t>
                  </w:r>
                  <w:r>
                    <w:rPr>
                      <w:rFonts w:cs="Times New Roman"/>
                      <w:b/>
                      <w:bCs/>
                      <w:color w:val="000000" w:themeColor="text1"/>
                      <w:kern w:val="0"/>
                      <w:sz w:val="21"/>
                      <w:szCs w:val="21"/>
                      <w:vertAlign w:val="superscript"/>
                      <w:lang w:bidi="ar"/>
                      <w14:textFill>
                        <w14:solidFill>
                          <w14:schemeClr w14:val="tx1"/>
                        </w14:solidFill>
                      </w14:textFill>
                    </w:rPr>
                    <w:t>3</w:t>
                  </w:r>
                </w:p>
              </w:tc>
              <w:tc>
                <w:tcPr>
                  <w:tcW w:w="1106" w:type="dxa"/>
                  <w:tcBorders>
                    <w:tl2br w:val="nil"/>
                    <w:tr2bl w:val="nil"/>
                  </w:tcBorders>
                  <w:vAlign w:val="center"/>
                </w:tcPr>
                <w:p w14:paraId="668A1932">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占标率%</w:t>
                  </w:r>
                </w:p>
              </w:tc>
              <w:tc>
                <w:tcPr>
                  <w:tcW w:w="914" w:type="dxa"/>
                  <w:tcBorders>
                    <w:tl2br w:val="nil"/>
                    <w:tr2bl w:val="nil"/>
                  </w:tcBorders>
                  <w:vAlign w:val="center"/>
                </w:tcPr>
                <w:p w14:paraId="36187C42">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达标</w:t>
                  </w:r>
                </w:p>
                <w:p w14:paraId="184C2D2C">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情况</w:t>
                  </w:r>
                </w:p>
              </w:tc>
            </w:tr>
            <w:tr w14:paraId="57DE94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restart"/>
                  <w:tcBorders>
                    <w:tl2br w:val="nil"/>
                    <w:tr2bl w:val="nil"/>
                  </w:tcBorders>
                  <w:vAlign w:val="center"/>
                </w:tcPr>
                <w:p w14:paraId="07F1104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北京市</w:t>
                  </w:r>
                </w:p>
              </w:tc>
              <w:tc>
                <w:tcPr>
                  <w:tcW w:w="1014" w:type="dxa"/>
                  <w:tcBorders>
                    <w:tl2br w:val="nil"/>
                    <w:tr2bl w:val="nil"/>
                  </w:tcBorders>
                  <w:vAlign w:val="center"/>
                </w:tcPr>
                <w:p w14:paraId="6999F00A">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PM</w:t>
                  </w:r>
                  <w:r>
                    <w:rPr>
                      <w:rFonts w:hint="eastAsia" w:cs="Times New Roman"/>
                      <w:color w:val="000000" w:themeColor="text1"/>
                      <w:kern w:val="0"/>
                      <w:sz w:val="21"/>
                      <w:szCs w:val="21"/>
                      <w:vertAlign w:val="subscript"/>
                      <w:lang w:bidi="ar"/>
                      <w14:textFill>
                        <w14:solidFill>
                          <w14:schemeClr w14:val="tx1"/>
                        </w14:solidFill>
                      </w14:textFill>
                    </w:rPr>
                    <w:t>2.5</w:t>
                  </w:r>
                </w:p>
              </w:tc>
              <w:tc>
                <w:tcPr>
                  <w:tcW w:w="1797" w:type="dxa"/>
                  <w:tcBorders>
                    <w:tl2br w:val="nil"/>
                    <w:tr2bl w:val="nil"/>
                  </w:tcBorders>
                  <w:vAlign w:val="center"/>
                </w:tcPr>
                <w:p w14:paraId="6D36D6C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51074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30.5</w:t>
                  </w:r>
                </w:p>
              </w:tc>
              <w:tc>
                <w:tcPr>
                  <w:tcW w:w="1106" w:type="dxa"/>
                  <w:tcBorders>
                    <w:tl2br w:val="nil"/>
                    <w:tr2bl w:val="nil"/>
                  </w:tcBorders>
                  <w:vAlign w:val="center"/>
                </w:tcPr>
                <w:p w14:paraId="1E56B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35</w:t>
                  </w:r>
                </w:p>
              </w:tc>
              <w:tc>
                <w:tcPr>
                  <w:tcW w:w="1106" w:type="dxa"/>
                  <w:tcBorders>
                    <w:tl2br w:val="nil"/>
                    <w:tr2bl w:val="nil"/>
                  </w:tcBorders>
                  <w:vAlign w:val="center"/>
                </w:tcPr>
                <w:p w14:paraId="59722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87.14</w:t>
                  </w:r>
                </w:p>
              </w:tc>
              <w:tc>
                <w:tcPr>
                  <w:tcW w:w="914" w:type="dxa"/>
                  <w:tcBorders>
                    <w:tl2br w:val="nil"/>
                    <w:tr2bl w:val="nil"/>
                  </w:tcBorders>
                  <w:vAlign w:val="center"/>
                </w:tcPr>
                <w:p w14:paraId="59905058">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23900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6BD7BB9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3D67D549">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PM</w:t>
                  </w:r>
                  <w:r>
                    <w:rPr>
                      <w:rFonts w:hint="eastAsia" w:cs="Times New Roman"/>
                      <w:color w:val="000000" w:themeColor="text1"/>
                      <w:kern w:val="0"/>
                      <w:sz w:val="21"/>
                      <w:szCs w:val="21"/>
                      <w:vertAlign w:val="subscript"/>
                      <w:lang w:bidi="ar"/>
                      <w14:textFill>
                        <w14:solidFill>
                          <w14:schemeClr w14:val="tx1"/>
                        </w14:solidFill>
                      </w14:textFill>
                    </w:rPr>
                    <w:t>10</w:t>
                  </w:r>
                </w:p>
              </w:tc>
              <w:tc>
                <w:tcPr>
                  <w:tcW w:w="1797" w:type="dxa"/>
                  <w:tcBorders>
                    <w:tl2br w:val="nil"/>
                    <w:tr2bl w:val="nil"/>
                  </w:tcBorders>
                  <w:vAlign w:val="center"/>
                </w:tcPr>
                <w:p w14:paraId="380F38A8">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587ECB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54</w:t>
                  </w:r>
                </w:p>
              </w:tc>
              <w:tc>
                <w:tcPr>
                  <w:tcW w:w="1106" w:type="dxa"/>
                  <w:tcBorders>
                    <w:tl2br w:val="nil"/>
                    <w:tr2bl w:val="nil"/>
                  </w:tcBorders>
                  <w:vAlign w:val="center"/>
                </w:tcPr>
                <w:p w14:paraId="27EED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70</w:t>
                  </w:r>
                </w:p>
              </w:tc>
              <w:tc>
                <w:tcPr>
                  <w:tcW w:w="1106" w:type="dxa"/>
                  <w:tcBorders>
                    <w:tl2br w:val="nil"/>
                    <w:tr2bl w:val="nil"/>
                  </w:tcBorders>
                  <w:vAlign w:val="center"/>
                </w:tcPr>
                <w:p w14:paraId="54311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77.14</w:t>
                  </w:r>
                </w:p>
              </w:tc>
              <w:tc>
                <w:tcPr>
                  <w:tcW w:w="914" w:type="dxa"/>
                  <w:tcBorders>
                    <w:tl2br w:val="nil"/>
                    <w:tr2bl w:val="nil"/>
                  </w:tcBorders>
                  <w:vAlign w:val="center"/>
                </w:tcPr>
                <w:p w14:paraId="7977ED16">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3BD263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169562E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13297E79">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SO</w:t>
                  </w:r>
                  <w:r>
                    <w:rPr>
                      <w:rFonts w:hint="eastAsia" w:cs="Times New Roman"/>
                      <w:color w:val="000000" w:themeColor="text1"/>
                      <w:kern w:val="0"/>
                      <w:sz w:val="21"/>
                      <w:szCs w:val="21"/>
                      <w:vertAlign w:val="subscript"/>
                      <w:lang w:bidi="ar"/>
                      <w14:textFill>
                        <w14:solidFill>
                          <w14:schemeClr w14:val="tx1"/>
                        </w14:solidFill>
                      </w14:textFill>
                    </w:rPr>
                    <w:t>2</w:t>
                  </w:r>
                </w:p>
              </w:tc>
              <w:tc>
                <w:tcPr>
                  <w:tcW w:w="1797" w:type="dxa"/>
                  <w:tcBorders>
                    <w:tl2br w:val="nil"/>
                    <w:tr2bl w:val="nil"/>
                  </w:tcBorders>
                  <w:vAlign w:val="center"/>
                </w:tcPr>
                <w:p w14:paraId="145E94F3">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66633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3</w:t>
                  </w:r>
                </w:p>
              </w:tc>
              <w:tc>
                <w:tcPr>
                  <w:tcW w:w="1106" w:type="dxa"/>
                  <w:tcBorders>
                    <w:tl2br w:val="nil"/>
                    <w:tr2bl w:val="nil"/>
                  </w:tcBorders>
                  <w:vAlign w:val="center"/>
                </w:tcPr>
                <w:p w14:paraId="076596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60</w:t>
                  </w:r>
                </w:p>
              </w:tc>
              <w:tc>
                <w:tcPr>
                  <w:tcW w:w="1106" w:type="dxa"/>
                  <w:tcBorders>
                    <w:tl2br w:val="nil"/>
                    <w:tr2bl w:val="nil"/>
                  </w:tcBorders>
                  <w:vAlign w:val="center"/>
                </w:tcPr>
                <w:p w14:paraId="38F34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5.00</w:t>
                  </w:r>
                </w:p>
              </w:tc>
              <w:tc>
                <w:tcPr>
                  <w:tcW w:w="914" w:type="dxa"/>
                  <w:tcBorders>
                    <w:tl2br w:val="nil"/>
                    <w:tr2bl w:val="nil"/>
                  </w:tcBorders>
                  <w:vAlign w:val="center"/>
                </w:tcPr>
                <w:p w14:paraId="688FEB5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55D1C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24733608">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65D7BAF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NO</w:t>
                  </w:r>
                  <w:r>
                    <w:rPr>
                      <w:rFonts w:hint="eastAsia" w:cs="Times New Roman"/>
                      <w:color w:val="000000" w:themeColor="text1"/>
                      <w:kern w:val="0"/>
                      <w:sz w:val="21"/>
                      <w:szCs w:val="21"/>
                      <w:vertAlign w:val="subscript"/>
                      <w:lang w:bidi="ar"/>
                      <w14:textFill>
                        <w14:solidFill>
                          <w14:schemeClr w14:val="tx1"/>
                        </w14:solidFill>
                      </w14:textFill>
                    </w:rPr>
                    <w:t>2</w:t>
                  </w:r>
                </w:p>
              </w:tc>
              <w:tc>
                <w:tcPr>
                  <w:tcW w:w="1797" w:type="dxa"/>
                  <w:tcBorders>
                    <w:tl2br w:val="nil"/>
                    <w:tr2bl w:val="nil"/>
                  </w:tcBorders>
                  <w:vAlign w:val="center"/>
                </w:tcPr>
                <w:p w14:paraId="6991EE50">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18B058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24</w:t>
                  </w:r>
                </w:p>
              </w:tc>
              <w:tc>
                <w:tcPr>
                  <w:tcW w:w="1106" w:type="dxa"/>
                  <w:tcBorders>
                    <w:tl2br w:val="nil"/>
                    <w:tr2bl w:val="nil"/>
                  </w:tcBorders>
                  <w:vAlign w:val="center"/>
                </w:tcPr>
                <w:p w14:paraId="5F2318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40</w:t>
                  </w:r>
                </w:p>
              </w:tc>
              <w:tc>
                <w:tcPr>
                  <w:tcW w:w="1106" w:type="dxa"/>
                  <w:tcBorders>
                    <w:tl2br w:val="nil"/>
                    <w:tr2bl w:val="nil"/>
                  </w:tcBorders>
                  <w:vAlign w:val="center"/>
                </w:tcPr>
                <w:p w14:paraId="40C798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60.00</w:t>
                  </w:r>
                </w:p>
              </w:tc>
              <w:tc>
                <w:tcPr>
                  <w:tcW w:w="914" w:type="dxa"/>
                  <w:tcBorders>
                    <w:tl2br w:val="nil"/>
                    <w:tr2bl w:val="nil"/>
                  </w:tcBorders>
                  <w:vAlign w:val="center"/>
                </w:tcPr>
                <w:p w14:paraId="3358EABF">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1D681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03225F82">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455A447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O</w:t>
                  </w:r>
                  <w:r>
                    <w:rPr>
                      <w:rFonts w:hint="eastAsia" w:cs="Times New Roman"/>
                      <w:color w:val="000000" w:themeColor="text1"/>
                      <w:kern w:val="0"/>
                      <w:sz w:val="21"/>
                      <w:szCs w:val="21"/>
                      <w:vertAlign w:val="subscript"/>
                      <w:lang w:bidi="ar"/>
                      <w14:textFill>
                        <w14:solidFill>
                          <w14:schemeClr w14:val="tx1"/>
                        </w14:solidFill>
                      </w14:textFill>
                    </w:rPr>
                    <w:t>3</w:t>
                  </w:r>
                </w:p>
              </w:tc>
              <w:tc>
                <w:tcPr>
                  <w:tcW w:w="1797" w:type="dxa"/>
                  <w:tcBorders>
                    <w:tl2br w:val="nil"/>
                    <w:tr2bl w:val="nil"/>
                  </w:tcBorders>
                  <w:vAlign w:val="center"/>
                </w:tcPr>
                <w:p w14:paraId="77D143A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日最大8小时</w:t>
                  </w:r>
                </w:p>
                <w:p w14:paraId="54712559">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平均浓度</w:t>
                  </w:r>
                </w:p>
              </w:tc>
              <w:tc>
                <w:tcPr>
                  <w:tcW w:w="1183" w:type="dxa"/>
                  <w:tcBorders>
                    <w:tl2br w:val="nil"/>
                    <w:tr2bl w:val="nil"/>
                  </w:tcBorders>
                  <w:vAlign w:val="center"/>
                </w:tcPr>
                <w:p w14:paraId="1A18D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s="Times New Roman"/>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171</w:t>
                  </w:r>
                </w:p>
              </w:tc>
              <w:tc>
                <w:tcPr>
                  <w:tcW w:w="1106" w:type="dxa"/>
                  <w:tcBorders>
                    <w:tl2br w:val="nil"/>
                    <w:tr2bl w:val="nil"/>
                  </w:tcBorders>
                  <w:vAlign w:val="center"/>
                </w:tcPr>
                <w:p w14:paraId="51B339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160</w:t>
                  </w:r>
                </w:p>
              </w:tc>
              <w:tc>
                <w:tcPr>
                  <w:tcW w:w="1106" w:type="dxa"/>
                  <w:tcBorders>
                    <w:tl2br w:val="nil"/>
                    <w:tr2bl w:val="nil"/>
                  </w:tcBorders>
                  <w:vAlign w:val="center"/>
                </w:tcPr>
                <w:p w14:paraId="38D95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106.88</w:t>
                  </w:r>
                </w:p>
              </w:tc>
              <w:tc>
                <w:tcPr>
                  <w:tcW w:w="914" w:type="dxa"/>
                  <w:tcBorders>
                    <w:tl2br w:val="nil"/>
                    <w:tr2bl w:val="nil"/>
                  </w:tcBorders>
                  <w:vAlign w:val="center"/>
                </w:tcPr>
                <w:p w14:paraId="49F5EA97">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不达标</w:t>
                  </w:r>
                </w:p>
              </w:tc>
            </w:tr>
            <w:tr w14:paraId="3E77E3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1365D5F1">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3892C284">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CO</w:t>
                  </w:r>
                </w:p>
              </w:tc>
              <w:tc>
                <w:tcPr>
                  <w:tcW w:w="1797" w:type="dxa"/>
                  <w:tcBorders>
                    <w:tl2br w:val="nil"/>
                    <w:tr2bl w:val="nil"/>
                  </w:tcBorders>
                  <w:vAlign w:val="center"/>
                </w:tcPr>
                <w:p w14:paraId="3E29A26C">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24小时平均浓度</w:t>
                  </w:r>
                </w:p>
              </w:tc>
              <w:tc>
                <w:tcPr>
                  <w:tcW w:w="1183" w:type="dxa"/>
                  <w:tcBorders>
                    <w:tl2br w:val="nil"/>
                    <w:tr2bl w:val="nil"/>
                  </w:tcBorders>
                  <w:vAlign w:val="center"/>
                </w:tcPr>
                <w:p w14:paraId="5AE34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900</w:t>
                  </w:r>
                </w:p>
              </w:tc>
              <w:tc>
                <w:tcPr>
                  <w:tcW w:w="1106" w:type="dxa"/>
                  <w:tcBorders>
                    <w:tl2br w:val="nil"/>
                    <w:tr2bl w:val="nil"/>
                  </w:tcBorders>
                  <w:vAlign w:val="center"/>
                </w:tcPr>
                <w:p w14:paraId="2B4DA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4000</w:t>
                  </w:r>
                </w:p>
              </w:tc>
              <w:tc>
                <w:tcPr>
                  <w:tcW w:w="1106" w:type="dxa"/>
                  <w:tcBorders>
                    <w:tl2br w:val="nil"/>
                    <w:tr2bl w:val="nil"/>
                  </w:tcBorders>
                  <w:vAlign w:val="center"/>
                </w:tcPr>
                <w:p w14:paraId="18A3C2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kern w:val="0"/>
                      <w:sz w:val="21"/>
                      <w:szCs w:val="21"/>
                      <w:lang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22.50</w:t>
                  </w:r>
                </w:p>
              </w:tc>
              <w:tc>
                <w:tcPr>
                  <w:tcW w:w="914" w:type="dxa"/>
                  <w:tcBorders>
                    <w:tl2br w:val="nil"/>
                    <w:tr2bl w:val="nil"/>
                  </w:tcBorders>
                  <w:vAlign w:val="center"/>
                </w:tcPr>
                <w:p w14:paraId="04552FB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0E9381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restart"/>
                  <w:tcBorders>
                    <w:tl2br w:val="nil"/>
                    <w:tr2bl w:val="nil"/>
                  </w:tcBorders>
                  <w:vAlign w:val="center"/>
                </w:tcPr>
                <w:p w14:paraId="17078546">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大兴区</w:t>
                  </w:r>
                </w:p>
              </w:tc>
              <w:tc>
                <w:tcPr>
                  <w:tcW w:w="1014" w:type="dxa"/>
                  <w:tcBorders>
                    <w:tl2br w:val="nil"/>
                    <w:tr2bl w:val="nil"/>
                  </w:tcBorders>
                  <w:vAlign w:val="center"/>
                </w:tcPr>
                <w:p w14:paraId="770975B0">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PM</w:t>
                  </w:r>
                  <w:r>
                    <w:rPr>
                      <w:rFonts w:hint="eastAsia" w:cs="Times New Roman"/>
                      <w:color w:val="000000" w:themeColor="text1"/>
                      <w:kern w:val="0"/>
                      <w:sz w:val="21"/>
                      <w:szCs w:val="21"/>
                      <w:vertAlign w:val="subscript"/>
                      <w:lang w:bidi="ar"/>
                      <w14:textFill>
                        <w14:solidFill>
                          <w14:schemeClr w14:val="tx1"/>
                        </w14:solidFill>
                      </w14:textFill>
                    </w:rPr>
                    <w:t>2.5</w:t>
                  </w:r>
                </w:p>
              </w:tc>
              <w:tc>
                <w:tcPr>
                  <w:tcW w:w="1797" w:type="dxa"/>
                  <w:tcBorders>
                    <w:tl2br w:val="nil"/>
                    <w:tr2bl w:val="nil"/>
                  </w:tcBorders>
                  <w:vAlign w:val="center"/>
                </w:tcPr>
                <w:p w14:paraId="32CD27A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16BC8822">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3</w:t>
                  </w:r>
                  <w:r>
                    <w:rPr>
                      <w:rFonts w:hint="eastAsia" w:cs="Times New Roman"/>
                      <w:color w:val="000000" w:themeColor="text1"/>
                      <w:kern w:val="0"/>
                      <w:sz w:val="21"/>
                      <w:szCs w:val="21"/>
                      <w:lang w:val="en-US" w:eastAsia="zh-CN" w:bidi="ar"/>
                      <w14:textFill>
                        <w14:solidFill>
                          <w14:schemeClr w14:val="tx1"/>
                        </w14:solidFill>
                      </w14:textFill>
                    </w:rPr>
                    <w:t>3.2</w:t>
                  </w:r>
                </w:p>
              </w:tc>
              <w:tc>
                <w:tcPr>
                  <w:tcW w:w="1106" w:type="dxa"/>
                  <w:tcBorders>
                    <w:tl2br w:val="nil"/>
                    <w:tr2bl w:val="nil"/>
                  </w:tcBorders>
                  <w:vAlign w:val="center"/>
                </w:tcPr>
                <w:p w14:paraId="5BDE95E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35</w:t>
                  </w:r>
                </w:p>
              </w:tc>
              <w:tc>
                <w:tcPr>
                  <w:tcW w:w="1106" w:type="dxa"/>
                  <w:tcBorders>
                    <w:tl2br w:val="nil"/>
                    <w:tr2bl w:val="nil"/>
                  </w:tcBorders>
                  <w:vAlign w:val="center"/>
                </w:tcPr>
                <w:p w14:paraId="7FEB05C2">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94</w:t>
                  </w:r>
                  <w:r>
                    <w:rPr>
                      <w:rFonts w:hint="eastAsia" w:cs="Times New Roman"/>
                      <w:color w:val="000000" w:themeColor="text1"/>
                      <w:kern w:val="0"/>
                      <w:sz w:val="21"/>
                      <w:szCs w:val="21"/>
                      <w:lang w:bidi="ar"/>
                      <w14:textFill>
                        <w14:solidFill>
                          <w14:schemeClr w14:val="tx1"/>
                        </w14:solidFill>
                      </w14:textFill>
                    </w:rPr>
                    <w:t>.86</w:t>
                  </w:r>
                </w:p>
              </w:tc>
              <w:tc>
                <w:tcPr>
                  <w:tcW w:w="914" w:type="dxa"/>
                  <w:tcBorders>
                    <w:tl2br w:val="nil"/>
                    <w:tr2bl w:val="nil"/>
                  </w:tcBorders>
                  <w:vAlign w:val="center"/>
                </w:tcPr>
                <w:p w14:paraId="375D5121">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56C26E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14:paraId="0DDDFDD4">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tcBorders>
                    <w:tl2br w:val="nil"/>
                    <w:tr2bl w:val="nil"/>
                  </w:tcBorders>
                  <w:vAlign w:val="center"/>
                </w:tcPr>
                <w:p w14:paraId="580B97AC">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PM</w:t>
                  </w:r>
                  <w:r>
                    <w:rPr>
                      <w:rFonts w:hint="eastAsia" w:cs="Times New Roman"/>
                      <w:color w:val="000000" w:themeColor="text1"/>
                      <w:kern w:val="0"/>
                      <w:sz w:val="21"/>
                      <w:szCs w:val="21"/>
                      <w:vertAlign w:val="subscript"/>
                      <w:lang w:bidi="ar"/>
                      <w14:textFill>
                        <w14:solidFill>
                          <w14:schemeClr w14:val="tx1"/>
                        </w14:solidFill>
                      </w14:textFill>
                    </w:rPr>
                    <w:t>10</w:t>
                  </w:r>
                </w:p>
              </w:tc>
              <w:tc>
                <w:tcPr>
                  <w:tcW w:w="1797" w:type="dxa"/>
                  <w:tcBorders>
                    <w:tl2br w:val="nil"/>
                    <w:tr2bl w:val="nil"/>
                  </w:tcBorders>
                  <w:vAlign w:val="center"/>
                </w:tcPr>
                <w:p w14:paraId="64B6F50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tcBorders>
                    <w:tl2br w:val="nil"/>
                    <w:tr2bl w:val="nil"/>
                  </w:tcBorders>
                  <w:vAlign w:val="center"/>
                </w:tcPr>
                <w:p w14:paraId="565ADD57">
                  <w:pPr>
                    <w:widowControl/>
                    <w:adjustRightInd w:val="0"/>
                    <w:snapToGrid w:val="0"/>
                    <w:spacing w:line="240" w:lineRule="auto"/>
                    <w:ind w:firstLine="0" w:firstLineChars="0"/>
                    <w:jc w:val="center"/>
                    <w:rPr>
                      <w:rFonts w:hint="eastAsia"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6</w:t>
                  </w:r>
                  <w:r>
                    <w:rPr>
                      <w:rFonts w:hint="eastAsia" w:cs="Times New Roman"/>
                      <w:color w:val="000000" w:themeColor="text1"/>
                      <w:kern w:val="0"/>
                      <w:sz w:val="21"/>
                      <w:szCs w:val="21"/>
                      <w:lang w:val="en-US" w:eastAsia="zh-CN" w:bidi="ar"/>
                      <w14:textFill>
                        <w14:solidFill>
                          <w14:schemeClr w14:val="tx1"/>
                        </w14:solidFill>
                      </w14:textFill>
                    </w:rPr>
                    <w:t>1</w:t>
                  </w:r>
                </w:p>
              </w:tc>
              <w:tc>
                <w:tcPr>
                  <w:tcW w:w="1106" w:type="dxa"/>
                  <w:tcBorders>
                    <w:tl2br w:val="nil"/>
                    <w:tr2bl w:val="nil"/>
                  </w:tcBorders>
                  <w:vAlign w:val="center"/>
                </w:tcPr>
                <w:p w14:paraId="0B9A6195">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70</w:t>
                  </w:r>
                </w:p>
              </w:tc>
              <w:tc>
                <w:tcPr>
                  <w:tcW w:w="1106" w:type="dxa"/>
                  <w:tcBorders>
                    <w:tl2br w:val="nil"/>
                    <w:tr2bl w:val="nil"/>
                  </w:tcBorders>
                  <w:vAlign w:val="center"/>
                </w:tcPr>
                <w:p w14:paraId="22001480">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8</w:t>
                  </w:r>
                  <w:r>
                    <w:rPr>
                      <w:rFonts w:hint="eastAsia" w:cs="Times New Roman"/>
                      <w:color w:val="000000" w:themeColor="text1"/>
                      <w:kern w:val="0"/>
                      <w:sz w:val="21"/>
                      <w:szCs w:val="21"/>
                      <w:lang w:bidi="ar"/>
                      <w14:textFill>
                        <w14:solidFill>
                          <w14:schemeClr w14:val="tx1"/>
                        </w14:solidFill>
                      </w14:textFill>
                    </w:rPr>
                    <w:t>7.14</w:t>
                  </w:r>
                </w:p>
              </w:tc>
              <w:tc>
                <w:tcPr>
                  <w:tcW w:w="914" w:type="dxa"/>
                  <w:tcBorders>
                    <w:tl2br w:val="nil"/>
                    <w:tr2bl w:val="nil"/>
                  </w:tcBorders>
                  <w:vAlign w:val="center"/>
                </w:tcPr>
                <w:p w14:paraId="51727D87">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799FA1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vAlign w:val="center"/>
                </w:tcPr>
                <w:p w14:paraId="40A9BD8C">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vAlign w:val="center"/>
                </w:tcPr>
                <w:p w14:paraId="68C7E7B2">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SO</w:t>
                  </w:r>
                  <w:r>
                    <w:rPr>
                      <w:rFonts w:hint="eastAsia" w:cs="Times New Roman"/>
                      <w:color w:val="000000" w:themeColor="text1"/>
                      <w:kern w:val="0"/>
                      <w:sz w:val="21"/>
                      <w:szCs w:val="21"/>
                      <w:vertAlign w:val="subscript"/>
                      <w:lang w:bidi="ar"/>
                      <w14:textFill>
                        <w14:solidFill>
                          <w14:schemeClr w14:val="tx1"/>
                        </w14:solidFill>
                      </w14:textFill>
                    </w:rPr>
                    <w:t>2</w:t>
                  </w:r>
                </w:p>
              </w:tc>
              <w:tc>
                <w:tcPr>
                  <w:tcW w:w="1797" w:type="dxa"/>
                  <w:vAlign w:val="center"/>
                </w:tcPr>
                <w:p w14:paraId="354BEFCA">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vAlign w:val="center"/>
                </w:tcPr>
                <w:p w14:paraId="444B301F">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2</w:t>
                  </w:r>
                </w:p>
              </w:tc>
              <w:tc>
                <w:tcPr>
                  <w:tcW w:w="1106" w:type="dxa"/>
                  <w:vAlign w:val="center"/>
                </w:tcPr>
                <w:p w14:paraId="6BF70823">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60</w:t>
                  </w:r>
                </w:p>
              </w:tc>
              <w:tc>
                <w:tcPr>
                  <w:tcW w:w="1106" w:type="dxa"/>
                  <w:vAlign w:val="center"/>
                </w:tcPr>
                <w:p w14:paraId="5B23AD07">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3.33</w:t>
                  </w:r>
                </w:p>
              </w:tc>
              <w:tc>
                <w:tcPr>
                  <w:tcW w:w="914" w:type="dxa"/>
                  <w:vAlign w:val="center"/>
                </w:tcPr>
                <w:p w14:paraId="21A7BA90">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r w14:paraId="549401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vAlign w:val="center"/>
                </w:tcPr>
                <w:p w14:paraId="72F9097E">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1014" w:type="dxa"/>
                  <w:vAlign w:val="center"/>
                </w:tcPr>
                <w:p w14:paraId="1532C2D7">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NO</w:t>
                  </w:r>
                  <w:r>
                    <w:rPr>
                      <w:rFonts w:hint="eastAsia" w:cs="Times New Roman"/>
                      <w:color w:val="000000" w:themeColor="text1"/>
                      <w:kern w:val="0"/>
                      <w:sz w:val="21"/>
                      <w:szCs w:val="21"/>
                      <w:vertAlign w:val="subscript"/>
                      <w:lang w:bidi="ar"/>
                      <w14:textFill>
                        <w14:solidFill>
                          <w14:schemeClr w14:val="tx1"/>
                        </w14:solidFill>
                      </w14:textFill>
                    </w:rPr>
                    <w:t>2</w:t>
                  </w:r>
                </w:p>
              </w:tc>
              <w:tc>
                <w:tcPr>
                  <w:tcW w:w="1797" w:type="dxa"/>
                  <w:vAlign w:val="center"/>
                </w:tcPr>
                <w:p w14:paraId="4F25C84F">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年平均浓度</w:t>
                  </w:r>
                </w:p>
              </w:tc>
              <w:tc>
                <w:tcPr>
                  <w:tcW w:w="1183" w:type="dxa"/>
                  <w:vAlign w:val="center"/>
                </w:tcPr>
                <w:p w14:paraId="2D14F592">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28</w:t>
                  </w:r>
                </w:p>
              </w:tc>
              <w:tc>
                <w:tcPr>
                  <w:tcW w:w="1106" w:type="dxa"/>
                  <w:vAlign w:val="center"/>
                </w:tcPr>
                <w:p w14:paraId="3BDDC199">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40</w:t>
                  </w:r>
                </w:p>
              </w:tc>
              <w:tc>
                <w:tcPr>
                  <w:tcW w:w="1106" w:type="dxa"/>
                  <w:vAlign w:val="center"/>
                </w:tcPr>
                <w:p w14:paraId="376EE010">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70</w:t>
                  </w:r>
                  <w:r>
                    <w:rPr>
                      <w:rFonts w:hint="eastAsia" w:cs="Times New Roman"/>
                      <w:color w:val="000000" w:themeColor="text1"/>
                      <w:kern w:val="0"/>
                      <w:sz w:val="21"/>
                      <w:szCs w:val="21"/>
                      <w:lang w:bidi="ar"/>
                      <w14:textFill>
                        <w14:solidFill>
                          <w14:schemeClr w14:val="tx1"/>
                        </w14:solidFill>
                      </w14:textFill>
                    </w:rPr>
                    <w:t>.00</w:t>
                  </w:r>
                </w:p>
              </w:tc>
              <w:tc>
                <w:tcPr>
                  <w:tcW w:w="914" w:type="dxa"/>
                  <w:vAlign w:val="center"/>
                </w:tcPr>
                <w:p w14:paraId="64AEDF9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达标</w:t>
                  </w:r>
                </w:p>
              </w:tc>
            </w:tr>
          </w:tbl>
          <w:p w14:paraId="4F6DC608">
            <w:pPr>
              <w:pStyle w:val="25"/>
              <w:rPr>
                <w:color w:val="000000" w:themeColor="text1"/>
                <w14:textFill>
                  <w14:solidFill>
                    <w14:schemeClr w14:val="tx1"/>
                  </w14:solidFill>
                </w14:textFill>
              </w:rPr>
            </w:pPr>
            <w:r>
              <w:rPr>
                <w:color w:val="000000" w:themeColor="text1"/>
                <w14:textFill>
                  <w14:solidFill>
                    <w14:schemeClr w14:val="tx1"/>
                  </w14:solidFill>
                </w14:textFill>
              </w:rPr>
              <w:t>注：*CO为24小时平均浓度第95百分位数，O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为日最大8小时平均浓度第90位百分位数。</w:t>
            </w:r>
          </w:p>
          <w:p w14:paraId="70E3920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根据以上监测结果可知，202</w:t>
            </w: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年本项目所在区域PM</w:t>
            </w:r>
            <w:r>
              <w:rPr>
                <w:rFonts w:cs="Times New Roman"/>
                <w:color w:val="000000" w:themeColor="text1"/>
                <w:vertAlign w:val="subscript"/>
                <w14:textFill>
                  <w14:solidFill>
                    <w14:schemeClr w14:val="tx1"/>
                  </w14:solidFill>
                </w14:textFill>
              </w:rPr>
              <w:t>2.5</w:t>
            </w:r>
            <w:r>
              <w:rPr>
                <w:rFonts w:hint="eastAsia" w:cs="Times New Roman"/>
                <w:color w:val="000000" w:themeColor="text1"/>
                <w:vertAlign w:val="baseline"/>
                <w:lang w:eastAsia="zh-CN"/>
                <w14:textFill>
                  <w14:solidFill>
                    <w14:schemeClr w14:val="tx1"/>
                  </w14:solidFill>
                </w14:textFill>
              </w:rPr>
              <w:t>、</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年平均浓度</w:t>
            </w:r>
            <w:r>
              <w:rPr>
                <w:rFonts w:hint="eastAsia" w:cs="Times New Roman"/>
                <w:color w:val="000000" w:themeColor="text1"/>
                <w14:textFill>
                  <w14:solidFill>
                    <w14:schemeClr w14:val="tx1"/>
                  </w14:solidFill>
                </w14:textFill>
              </w:rPr>
              <w:t>满足</w:t>
            </w:r>
            <w:r>
              <w:rPr>
                <w:rFonts w:cs="Times New Roman"/>
                <w:color w:val="000000" w:themeColor="text1"/>
                <w14:textFill>
                  <w14:solidFill>
                    <w14:schemeClr w14:val="tx1"/>
                  </w14:solidFill>
                </w14:textFill>
              </w:rPr>
              <w:t>《环境空气质量标准》（GB3095-2012）及其修改单（公告[2018]第29号）（二级）标准要求</w:t>
            </w:r>
            <w:r>
              <w:rPr>
                <w:rFonts w:hint="eastAsia" w:cs="Times New Roman"/>
                <w:color w:val="000000" w:themeColor="text1"/>
                <w14:textFill>
                  <w14:solidFill>
                    <w14:schemeClr w14:val="tx1"/>
                  </w14:solidFill>
                </w14:textFill>
              </w:rPr>
              <w:t>；大兴区</w:t>
            </w:r>
            <w:r>
              <w:rPr>
                <w:rFonts w:cs="Times New Roman"/>
                <w:color w:val="000000" w:themeColor="text1"/>
                <w14:textFill>
                  <w14:solidFill>
                    <w14:schemeClr w14:val="tx1"/>
                  </w14:solidFill>
                </w14:textFill>
              </w:rPr>
              <w:t>无</w:t>
            </w:r>
            <w:r>
              <w:rPr>
                <w:rFonts w:hint="eastAsia" w:cs="Times New Roman"/>
                <w:color w:val="000000" w:themeColor="text1"/>
                <w14:textFill>
                  <w14:solidFill>
                    <w14:schemeClr w14:val="tx1"/>
                  </w14:solidFill>
                </w14:textFill>
              </w:rPr>
              <w:t>CO、O</w:t>
            </w:r>
            <w:r>
              <w:rPr>
                <w:rFonts w:hint="eastAsia"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监测数据，引用北京市现状监测值，北京市</w:t>
            </w:r>
            <w:r>
              <w:rPr>
                <w:rFonts w:hint="eastAsia" w:cs="Times New Roman"/>
                <w:color w:val="000000" w:themeColor="text1"/>
                <w14:textFill>
                  <w14:solidFill>
                    <w14:schemeClr w14:val="tx1"/>
                  </w14:solidFill>
                </w14:textFill>
              </w:rPr>
              <w:t>CO24小时平均浓度满足</w:t>
            </w:r>
            <w:r>
              <w:rPr>
                <w:rFonts w:cs="Times New Roman"/>
                <w:color w:val="000000" w:themeColor="text1"/>
                <w14:textFill>
                  <w14:solidFill>
                    <w14:schemeClr w14:val="tx1"/>
                  </w14:solidFill>
                </w14:textFill>
              </w:rPr>
              <w:t>《环境空气质量标准》（GB3095-2012）及其修改单（公告[2018]第29号）（二级）标准要求</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日最大8小时平均浓度超过《环境空气质量标准》（GB3095-2012）及其修改单（公告[2018]第29号）（二级）标准限值。因此，本项目所在评价区域为不达标区。</w:t>
            </w:r>
          </w:p>
          <w:p w14:paraId="362DDF78">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2、地表水环境质量现状</w:t>
            </w:r>
          </w:p>
          <w:p w14:paraId="18B9F8E0">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距离项目最近的地表水体为项目厂界</w:t>
            </w:r>
            <w:r>
              <w:rPr>
                <w:rFonts w:hint="eastAsia" w:cs="Times New Roman"/>
                <w:color w:val="000000" w:themeColor="text1"/>
                <w:lang w:val="en-US" w:eastAsia="zh-CN"/>
                <w14:textFill>
                  <w14:solidFill>
                    <w14:schemeClr w14:val="tx1"/>
                  </w14:solidFill>
                </w14:textFill>
              </w:rPr>
              <w:t>南</w:t>
            </w:r>
            <w:r>
              <w:rPr>
                <w:rFonts w:hint="eastAsia" w:cs="Times New Roman"/>
                <w:color w:val="000000" w:themeColor="text1"/>
                <w14:textFill>
                  <w14:solidFill>
                    <w14:schemeClr w14:val="tx1"/>
                  </w14:solidFill>
                </w14:textFill>
              </w:rPr>
              <w:t>侧约</w:t>
            </w:r>
            <w:r>
              <w:rPr>
                <w:rFonts w:hint="eastAsia" w:cs="Times New Roman"/>
                <w:color w:val="000000" w:themeColor="text1"/>
                <w:lang w:val="en-US" w:eastAsia="zh-CN"/>
                <w14:textFill>
                  <w14:solidFill>
                    <w14:schemeClr w14:val="tx1"/>
                  </w14:solidFill>
                </w14:textFill>
              </w:rPr>
              <w:t>90</w:t>
            </w:r>
            <w:r>
              <w:rPr>
                <w:rFonts w:hint="eastAsia" w:cs="Times New Roman"/>
                <w:color w:val="000000" w:themeColor="text1"/>
                <w14:textFill>
                  <w14:solidFill>
                    <w14:schemeClr w14:val="tx1"/>
                  </w14:solidFill>
                </w14:textFill>
              </w:rPr>
              <w:t>m的</w:t>
            </w:r>
            <w:r>
              <w:rPr>
                <w:rFonts w:hint="eastAsia" w:cs="Times New Roman"/>
                <w:color w:val="000000" w:themeColor="text1"/>
                <w:lang w:eastAsia="zh-CN"/>
                <w14:textFill>
                  <w14:solidFill>
                    <w14:schemeClr w14:val="tx1"/>
                  </w14:solidFill>
                </w14:textFill>
              </w:rPr>
              <w:t>凤河</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凤河属于北运河水系，</w:t>
            </w:r>
            <w:r>
              <w:rPr>
                <w:rFonts w:hint="eastAsia" w:cs="Times New Roman"/>
                <w:color w:val="000000" w:themeColor="text1"/>
                <w14:textFill>
                  <w14:solidFill>
                    <w14:schemeClr w14:val="tx1"/>
                  </w14:solidFill>
                </w14:textFill>
              </w:rPr>
              <w:t>根据北京市地面水水域功能分类图（2014）中</w:t>
            </w:r>
            <w:r>
              <w:rPr>
                <w:rFonts w:hint="eastAsia" w:cs="Times New Roman"/>
                <w:color w:val="000000" w:themeColor="text1"/>
                <w:lang w:val="en-US" w:eastAsia="zh-CN"/>
                <w14:textFill>
                  <w14:solidFill>
                    <w14:schemeClr w14:val="tx1"/>
                  </w14:solidFill>
                </w14:textFill>
              </w:rPr>
              <w:t>水体功能区划</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凤河</w:t>
            </w:r>
            <w:r>
              <w:rPr>
                <w:rFonts w:hint="eastAsia" w:cs="Times New Roman"/>
                <w:color w:val="000000" w:themeColor="text1"/>
                <w14:textFill>
                  <w14:solidFill>
                    <w14:schemeClr w14:val="tx1"/>
                  </w14:solidFill>
                </w14:textFill>
              </w:rPr>
              <w:t>水体功能为“农业用水及一般景观要求水域”，水质划分为</w:t>
            </w:r>
            <w:r>
              <w:rPr>
                <w:rFonts w:cs="Times New Roman"/>
                <w:color w:val="000000" w:themeColor="text1"/>
                <w14:textFill>
                  <w14:solidFill>
                    <w14:schemeClr w14:val="tx1"/>
                  </w14:solidFill>
                </w14:textFill>
              </w:rPr>
              <w:t>Ⅴ</w:t>
            </w:r>
            <w:r>
              <w:rPr>
                <w:rFonts w:hint="eastAsia" w:cs="Times New Roman"/>
                <w:color w:val="000000" w:themeColor="text1"/>
                <w14:textFill>
                  <w14:solidFill>
                    <w14:schemeClr w14:val="tx1"/>
                  </w14:solidFill>
                </w14:textFill>
              </w:rPr>
              <w:t>类功能水体，水质执行《地表水环境质量标准》（GB3838-2002）中的</w:t>
            </w:r>
            <w:r>
              <w:rPr>
                <w:rFonts w:cs="Times New Roman"/>
                <w:color w:val="000000" w:themeColor="text1"/>
                <w14:textFill>
                  <w14:solidFill>
                    <w14:schemeClr w14:val="tx1"/>
                  </w14:solidFill>
                </w14:textFill>
              </w:rPr>
              <w:t>Ⅴ</w:t>
            </w:r>
            <w:r>
              <w:rPr>
                <w:rFonts w:hint="eastAsia" w:cs="Times New Roman"/>
                <w:color w:val="000000" w:themeColor="text1"/>
                <w14:textFill>
                  <w14:solidFill>
                    <w14:schemeClr w14:val="tx1"/>
                  </w14:solidFill>
                </w14:textFill>
              </w:rPr>
              <w:t>类标准。</w:t>
            </w:r>
          </w:p>
          <w:p w14:paraId="2ABF3C5C">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根据北京市生态环境局网站公布的</w:t>
            </w:r>
            <w:r>
              <w:rPr>
                <w:rFonts w:hint="eastAsia" w:cs="Times New Roman"/>
                <w:color w:val="000000" w:themeColor="text1"/>
                <w:lang w:val="en-US" w:eastAsia="zh-CN"/>
                <w14:textFill>
                  <w14:solidFill>
                    <w14:schemeClr w14:val="tx1"/>
                  </w14:solidFill>
                </w14:textFill>
              </w:rPr>
              <w:t>近一年</w:t>
            </w:r>
            <w:r>
              <w:rPr>
                <w:rFonts w:hint="eastAsia" w:cs="Times New Roman"/>
                <w:color w:val="000000" w:themeColor="text1"/>
                <w14:textFill>
                  <w14:solidFill>
                    <w14:schemeClr w14:val="tx1"/>
                  </w14:solidFill>
                </w14:textFill>
              </w:rPr>
              <w:t>河流水质状况，</w:t>
            </w:r>
            <w:r>
              <w:rPr>
                <w:rFonts w:hint="eastAsia" w:cs="Times New Roman"/>
                <w:color w:val="000000" w:themeColor="text1"/>
                <w:lang w:eastAsia="zh-CN"/>
                <w14:textFill>
                  <w14:solidFill>
                    <w14:schemeClr w14:val="tx1"/>
                  </w14:solidFill>
                </w14:textFill>
              </w:rPr>
              <w:t>凤河</w:t>
            </w:r>
            <w:r>
              <w:rPr>
                <w:rFonts w:hint="eastAsia" w:cs="Times New Roman"/>
                <w:color w:val="000000" w:themeColor="text1"/>
                <w14:textFill>
                  <w14:solidFill>
                    <w14:schemeClr w14:val="tx1"/>
                  </w14:solidFill>
                </w14:textFill>
              </w:rPr>
              <w:t>水质均能达到《地表水环境质量标准》（GB3838-2002）中的</w:t>
            </w:r>
            <w:r>
              <w:rPr>
                <w:rFonts w:cs="Times New Roman"/>
                <w:color w:val="000000" w:themeColor="text1"/>
                <w14:textFill>
                  <w14:solidFill>
                    <w14:schemeClr w14:val="tx1"/>
                  </w14:solidFill>
                </w14:textFill>
              </w:rPr>
              <w:t>Ⅴ</w:t>
            </w:r>
            <w:r>
              <w:rPr>
                <w:rFonts w:hint="eastAsia" w:cs="Times New Roman"/>
                <w:color w:val="000000" w:themeColor="text1"/>
                <w14:textFill>
                  <w14:solidFill>
                    <w14:schemeClr w14:val="tx1"/>
                  </w14:solidFill>
                </w14:textFill>
              </w:rPr>
              <w:t>类水质标准要求。具体统计结果详见下表。</w:t>
            </w:r>
          </w:p>
          <w:p w14:paraId="5C1290AF">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表3-2 </w:t>
            </w:r>
            <w:r>
              <w:rPr>
                <w:rFonts w:hint="eastAsia"/>
                <w:color w:val="000000" w:themeColor="text1"/>
                <w:lang w:eastAsia="zh-CN"/>
                <w14:textFill>
                  <w14:solidFill>
                    <w14:schemeClr w14:val="tx1"/>
                  </w14:solidFill>
                </w14:textFill>
              </w:rPr>
              <w:t>凤河</w:t>
            </w:r>
            <w:r>
              <w:rPr>
                <w:rFonts w:hint="eastAsia"/>
                <w:color w:val="000000" w:themeColor="text1"/>
                <w14:textFill>
                  <w14:solidFill>
                    <w14:schemeClr w14:val="tx1"/>
                  </w14:solidFill>
                </w14:textFill>
              </w:rPr>
              <w:t>水质状况一览表</w:t>
            </w:r>
          </w:p>
          <w:tbl>
            <w:tblPr>
              <w:tblStyle w:val="18"/>
              <w:tblW w:w="4996" w:type="pct"/>
              <w:jc w:val="center"/>
              <w:tblBorders>
                <w:top w:val="single" w:color="auto" w:sz="4" w:space="0"/>
                <w:left w:val="none" w:color="auto" w:sz="0" w:space="0"/>
                <w:bottom w:val="single" w:color="auto" w:sz="4"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642"/>
              <w:gridCol w:w="608"/>
              <w:gridCol w:w="608"/>
              <w:gridCol w:w="608"/>
              <w:gridCol w:w="608"/>
              <w:gridCol w:w="608"/>
              <w:gridCol w:w="608"/>
              <w:gridCol w:w="608"/>
              <w:gridCol w:w="608"/>
              <w:gridCol w:w="615"/>
              <w:gridCol w:w="596"/>
              <w:gridCol w:w="647"/>
              <w:gridCol w:w="654"/>
            </w:tblGrid>
            <w:tr w14:paraId="4752362A">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tcBorders>
                    <w:tl2br w:val="nil"/>
                    <w:tr2bl w:val="nil"/>
                  </w:tcBorders>
                  <w:vAlign w:val="center"/>
                </w:tcPr>
                <w:p w14:paraId="4757A99B">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b/>
                      <w:bCs/>
                      <w:color w:val="000000" w:themeColor="text1"/>
                      <w:sz w:val="18"/>
                      <w:szCs w:val="18"/>
                      <w:highlight w:val="none"/>
                      <w14:textFill>
                        <w14:solidFill>
                          <w14:schemeClr w14:val="tx1"/>
                        </w14:solidFill>
                      </w14:textFill>
                    </w:rPr>
                  </w:pPr>
                  <w:r>
                    <w:rPr>
                      <w:rFonts w:hint="default" w:ascii="Times New Roman" w:hAnsi="Times New Roman" w:cs="Times New Roman"/>
                      <w:b/>
                      <w:bCs/>
                      <w:color w:val="000000" w:themeColor="text1"/>
                      <w:sz w:val="18"/>
                      <w:szCs w:val="18"/>
                      <w:highlight w:val="none"/>
                      <w14:textFill>
                        <w14:solidFill>
                          <w14:schemeClr w14:val="tx1"/>
                        </w14:solidFill>
                      </w14:textFill>
                    </w:rPr>
                    <w:t>日期</w:t>
                  </w:r>
                </w:p>
              </w:tc>
              <w:tc>
                <w:tcPr>
                  <w:tcW w:w="608" w:type="dxa"/>
                  <w:tcBorders>
                    <w:tl2br w:val="nil"/>
                    <w:tr2bl w:val="nil"/>
                  </w:tcBorders>
                  <w:vAlign w:val="center"/>
                </w:tcPr>
                <w:p w14:paraId="326B3079">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b/>
                      <w:bCs/>
                      <w:color w:val="000000" w:themeColor="text1"/>
                      <w:sz w:val="18"/>
                      <w:szCs w:val="18"/>
                      <w:highlight w:val="none"/>
                      <w14:textFill>
                        <w14:solidFill>
                          <w14:schemeClr w14:val="tx1"/>
                        </w14:solidFill>
                      </w14:textFill>
                    </w:rPr>
                    <w:t>202</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4</w:t>
                  </w:r>
                </w:p>
              </w:tc>
              <w:tc>
                <w:tcPr>
                  <w:tcW w:w="6768" w:type="dxa"/>
                  <w:gridSpan w:val="11"/>
                  <w:tcBorders>
                    <w:tl2br w:val="nil"/>
                    <w:tr2bl w:val="nil"/>
                  </w:tcBorders>
                  <w:vAlign w:val="center"/>
                </w:tcPr>
                <w:p w14:paraId="560ECDF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2025</w:t>
                  </w:r>
                </w:p>
              </w:tc>
            </w:tr>
            <w:tr w14:paraId="15C131D3">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vAlign w:val="center"/>
                </w:tcPr>
                <w:p w14:paraId="349C5141">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b/>
                      <w:bCs/>
                      <w:color w:val="000000" w:themeColor="text1"/>
                      <w:sz w:val="18"/>
                      <w:szCs w:val="18"/>
                      <w:highlight w:val="none"/>
                      <w14:textFill>
                        <w14:solidFill>
                          <w14:schemeClr w14:val="tx1"/>
                        </w14:solidFill>
                      </w14:textFill>
                    </w:rPr>
                  </w:pPr>
                </w:p>
              </w:tc>
              <w:tc>
                <w:tcPr>
                  <w:tcW w:w="608" w:type="dxa"/>
                  <w:tcBorders>
                    <w:tl2br w:val="nil"/>
                    <w:tr2bl w:val="nil"/>
                  </w:tcBorders>
                  <w:shd w:val="clear" w:color="auto" w:fill="auto"/>
                  <w:vAlign w:val="center"/>
                </w:tcPr>
                <w:p w14:paraId="5A00CB2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12月</w:t>
                  </w:r>
                </w:p>
              </w:tc>
              <w:tc>
                <w:tcPr>
                  <w:tcW w:w="608" w:type="dxa"/>
                  <w:tcBorders>
                    <w:tl2br w:val="nil"/>
                    <w:tr2bl w:val="nil"/>
                  </w:tcBorders>
                  <w:shd w:val="clear" w:color="auto" w:fill="auto"/>
                  <w:vAlign w:val="center"/>
                </w:tcPr>
                <w:p w14:paraId="7DB26DE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18"/>
                      <w:szCs w:val="18"/>
                      <w:highlight w:val="none"/>
                      <w:lang w:val="en-US" w:eastAsia="zh-CN" w:bidi="ar-SA"/>
                      <w14:textFill>
                        <w14:solidFill>
                          <w14:schemeClr w14:val="tx1"/>
                        </w14:solidFill>
                      </w14:textFill>
                    </w:rPr>
                    <w:t>1月</w:t>
                  </w:r>
                </w:p>
              </w:tc>
              <w:tc>
                <w:tcPr>
                  <w:tcW w:w="608" w:type="dxa"/>
                  <w:tcBorders>
                    <w:tl2br w:val="nil"/>
                    <w:tr2bl w:val="nil"/>
                  </w:tcBorders>
                  <w:shd w:val="clear" w:color="auto" w:fill="auto"/>
                  <w:vAlign w:val="center"/>
                </w:tcPr>
                <w:p w14:paraId="2ECFFF7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18"/>
                      <w:szCs w:val="18"/>
                      <w:highlight w:val="none"/>
                      <w:lang w:val="en-US" w:eastAsia="zh-CN" w:bidi="ar-SA"/>
                      <w14:textFill>
                        <w14:solidFill>
                          <w14:schemeClr w14:val="tx1"/>
                        </w14:solidFill>
                      </w14:textFill>
                    </w:rPr>
                    <w:t>2月</w:t>
                  </w:r>
                </w:p>
              </w:tc>
              <w:tc>
                <w:tcPr>
                  <w:tcW w:w="608" w:type="dxa"/>
                  <w:tcBorders>
                    <w:tl2br w:val="nil"/>
                    <w:tr2bl w:val="nil"/>
                  </w:tcBorders>
                  <w:shd w:val="clear" w:color="auto" w:fill="auto"/>
                  <w:vAlign w:val="center"/>
                </w:tcPr>
                <w:p w14:paraId="7D5D9901">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18"/>
                      <w:szCs w:val="18"/>
                      <w:highlight w:val="none"/>
                      <w:lang w:val="en-US" w:eastAsia="zh-CN" w:bidi="ar-SA"/>
                      <w14:textFill>
                        <w14:solidFill>
                          <w14:schemeClr w14:val="tx1"/>
                        </w14:solidFill>
                      </w14:textFill>
                    </w:rPr>
                    <w:t>3月</w:t>
                  </w:r>
                </w:p>
              </w:tc>
              <w:tc>
                <w:tcPr>
                  <w:tcW w:w="608" w:type="dxa"/>
                  <w:tcBorders>
                    <w:tl2br w:val="nil"/>
                    <w:tr2bl w:val="nil"/>
                  </w:tcBorders>
                  <w:shd w:val="clear" w:color="auto" w:fill="auto"/>
                  <w:vAlign w:val="center"/>
                </w:tcPr>
                <w:p w14:paraId="07109F5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18"/>
                      <w:szCs w:val="18"/>
                      <w:highlight w:val="none"/>
                      <w:lang w:val="en-US" w:eastAsia="zh-CN" w:bidi="ar-SA"/>
                      <w14:textFill>
                        <w14:solidFill>
                          <w14:schemeClr w14:val="tx1"/>
                        </w14:solidFill>
                      </w14:textFill>
                    </w:rPr>
                    <w:t>4月</w:t>
                  </w:r>
                </w:p>
              </w:tc>
              <w:tc>
                <w:tcPr>
                  <w:tcW w:w="608" w:type="dxa"/>
                  <w:tcBorders>
                    <w:tl2br w:val="nil"/>
                    <w:tr2bl w:val="nil"/>
                  </w:tcBorders>
                  <w:shd w:val="clear" w:color="auto" w:fill="auto"/>
                  <w:vAlign w:val="center"/>
                </w:tcPr>
                <w:p w14:paraId="5B789C0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18"/>
                      <w:szCs w:val="18"/>
                      <w:highlight w:val="none"/>
                      <w:lang w:val="en-US" w:eastAsia="zh-CN" w:bidi="ar-SA"/>
                      <w14:textFill>
                        <w14:solidFill>
                          <w14:schemeClr w14:val="tx1"/>
                        </w14:solidFill>
                      </w14:textFill>
                    </w:rPr>
                    <w:t>5月</w:t>
                  </w:r>
                </w:p>
              </w:tc>
              <w:tc>
                <w:tcPr>
                  <w:tcW w:w="608" w:type="dxa"/>
                  <w:tcBorders>
                    <w:tl2br w:val="nil"/>
                    <w:tr2bl w:val="nil"/>
                  </w:tcBorders>
                  <w:shd w:val="clear" w:color="auto" w:fill="auto"/>
                  <w:vAlign w:val="center"/>
                </w:tcPr>
                <w:p w14:paraId="07FCCE3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c>
                <w:tcPr>
                  <w:tcW w:w="608" w:type="dxa"/>
                  <w:tcBorders>
                    <w:tl2br w:val="nil"/>
                    <w:tr2bl w:val="nil"/>
                  </w:tcBorders>
                  <w:shd w:val="clear" w:color="auto" w:fill="auto"/>
                  <w:vAlign w:val="center"/>
                </w:tcPr>
                <w:p w14:paraId="0FC9AD1A">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c>
                <w:tcPr>
                  <w:tcW w:w="615" w:type="dxa"/>
                  <w:tcBorders>
                    <w:tl2br w:val="nil"/>
                    <w:tr2bl w:val="nil"/>
                  </w:tcBorders>
                  <w:shd w:val="clear" w:color="auto" w:fill="auto"/>
                  <w:vAlign w:val="center"/>
                </w:tcPr>
                <w:p w14:paraId="1BD4AD42">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c>
                <w:tcPr>
                  <w:tcW w:w="596" w:type="dxa"/>
                  <w:tcBorders>
                    <w:tl2br w:val="nil"/>
                    <w:tr2bl w:val="nil"/>
                  </w:tcBorders>
                  <w:shd w:val="clear" w:color="auto" w:fill="auto"/>
                  <w:vAlign w:val="center"/>
                </w:tcPr>
                <w:p w14:paraId="48096A3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c>
                <w:tcPr>
                  <w:tcW w:w="647" w:type="dxa"/>
                  <w:tcBorders>
                    <w:tl2br w:val="nil"/>
                    <w:tr2bl w:val="nil"/>
                  </w:tcBorders>
                  <w:shd w:val="clear" w:color="auto" w:fill="auto"/>
                  <w:vAlign w:val="center"/>
                </w:tcPr>
                <w:p w14:paraId="0BC50572">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c>
                <w:tcPr>
                  <w:tcW w:w="654" w:type="dxa"/>
                  <w:tcBorders>
                    <w:tl2br w:val="nil"/>
                    <w:tr2bl w:val="nil"/>
                  </w:tcBorders>
                  <w:shd w:val="clear" w:color="auto" w:fill="auto"/>
                  <w:vAlign w:val="center"/>
                </w:tcPr>
                <w:p w14:paraId="0FA474D5">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11</w:t>
                  </w:r>
                  <w:r>
                    <w:rPr>
                      <w:rFonts w:hint="default" w:ascii="Times New Roman" w:hAnsi="Times New Roman" w:cs="Times New Roman"/>
                      <w:b/>
                      <w:bCs/>
                      <w:color w:val="000000" w:themeColor="text1"/>
                      <w:sz w:val="18"/>
                      <w:szCs w:val="18"/>
                      <w:highlight w:val="none"/>
                      <w14:textFill>
                        <w14:solidFill>
                          <w14:schemeClr w14:val="tx1"/>
                        </w14:solidFill>
                      </w14:textFill>
                    </w:rPr>
                    <w:t>月</w:t>
                  </w:r>
                </w:p>
              </w:tc>
            </w:tr>
            <w:tr w14:paraId="6F3CD97D">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42" w:type="dxa"/>
                  <w:tcBorders>
                    <w:tl2br w:val="nil"/>
                    <w:tr2bl w:val="nil"/>
                  </w:tcBorders>
                  <w:vAlign w:val="center"/>
                </w:tcPr>
                <w:p w14:paraId="51BE5410">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现状水质</w:t>
                  </w:r>
                </w:p>
              </w:tc>
              <w:tc>
                <w:tcPr>
                  <w:tcW w:w="608" w:type="dxa"/>
                  <w:tcBorders>
                    <w:tl2br w:val="nil"/>
                    <w:tr2bl w:val="nil"/>
                  </w:tcBorders>
                  <w:shd w:val="clear" w:color="auto" w:fill="auto"/>
                  <w:vAlign w:val="center"/>
                </w:tcPr>
                <w:p w14:paraId="6239C812">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71282BB9">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1AA014A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628AE989">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169A9FB2">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7C3762A1">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3071019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08" w:type="dxa"/>
                  <w:tcBorders>
                    <w:tl2br w:val="nil"/>
                    <w:tr2bl w:val="nil"/>
                  </w:tcBorders>
                  <w:shd w:val="clear" w:color="auto" w:fill="auto"/>
                  <w:vAlign w:val="center"/>
                </w:tcPr>
                <w:p w14:paraId="676143CB">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Ⅲ</w:t>
                  </w:r>
                </w:p>
              </w:tc>
              <w:tc>
                <w:tcPr>
                  <w:tcW w:w="615" w:type="dxa"/>
                  <w:tcBorders>
                    <w:tl2br w:val="nil"/>
                    <w:tr2bl w:val="nil"/>
                  </w:tcBorders>
                  <w:shd w:val="clear" w:color="auto" w:fill="auto"/>
                  <w:vAlign w:val="center"/>
                </w:tcPr>
                <w:p w14:paraId="532D9FD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Ⅳ</w:t>
                  </w:r>
                </w:p>
              </w:tc>
              <w:tc>
                <w:tcPr>
                  <w:tcW w:w="596" w:type="dxa"/>
                  <w:tcBorders>
                    <w:tl2br w:val="nil"/>
                    <w:tr2bl w:val="nil"/>
                  </w:tcBorders>
                  <w:shd w:val="clear" w:color="auto" w:fill="auto"/>
                  <w:vAlign w:val="center"/>
                </w:tcPr>
                <w:p w14:paraId="710D6533">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Ⅲ</w:t>
                  </w:r>
                </w:p>
              </w:tc>
              <w:tc>
                <w:tcPr>
                  <w:tcW w:w="647" w:type="dxa"/>
                  <w:tcBorders>
                    <w:tl2br w:val="nil"/>
                    <w:tr2bl w:val="nil"/>
                  </w:tcBorders>
                  <w:shd w:val="clear" w:color="auto" w:fill="auto"/>
                  <w:vAlign w:val="center"/>
                </w:tcPr>
                <w:p w14:paraId="38ABDD9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Ⅴ</w:t>
                  </w:r>
                </w:p>
              </w:tc>
              <w:tc>
                <w:tcPr>
                  <w:tcW w:w="654" w:type="dxa"/>
                  <w:tcBorders>
                    <w:tl2br w:val="nil"/>
                    <w:tr2bl w:val="nil"/>
                  </w:tcBorders>
                  <w:shd w:val="clear" w:color="auto" w:fill="auto"/>
                  <w:vAlign w:val="center"/>
                </w:tcPr>
                <w:p w14:paraId="41EC8BC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Ⅲ</w:t>
                  </w:r>
                </w:p>
              </w:tc>
            </w:tr>
            <w:tr w14:paraId="4D66F938">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42" w:type="dxa"/>
                  <w:tcBorders>
                    <w:tl2br w:val="nil"/>
                    <w:tr2bl w:val="nil"/>
                  </w:tcBorders>
                  <w:vAlign w:val="center"/>
                </w:tcPr>
                <w:p w14:paraId="3386DAA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达标情况</w:t>
                  </w:r>
                </w:p>
              </w:tc>
              <w:tc>
                <w:tcPr>
                  <w:tcW w:w="608" w:type="dxa"/>
                  <w:tcBorders>
                    <w:tl2br w:val="nil"/>
                    <w:tr2bl w:val="nil"/>
                  </w:tcBorders>
                  <w:shd w:val="clear" w:color="auto" w:fill="auto"/>
                  <w:vAlign w:val="center"/>
                </w:tcPr>
                <w:p w14:paraId="3E463782">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306F9B5E">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5B5E6ED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1B4C980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27AA2DA1">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18594F5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3DDFED4F">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08" w:type="dxa"/>
                  <w:tcBorders>
                    <w:tl2br w:val="nil"/>
                    <w:tr2bl w:val="nil"/>
                  </w:tcBorders>
                  <w:shd w:val="clear" w:color="auto" w:fill="auto"/>
                  <w:vAlign w:val="center"/>
                </w:tcPr>
                <w:p w14:paraId="2A5C4F6D">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15" w:type="dxa"/>
                  <w:tcBorders>
                    <w:tl2br w:val="nil"/>
                    <w:tr2bl w:val="nil"/>
                  </w:tcBorders>
                  <w:shd w:val="clear" w:color="auto" w:fill="auto"/>
                  <w:vAlign w:val="center"/>
                </w:tcPr>
                <w:p w14:paraId="517C55C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596" w:type="dxa"/>
                  <w:tcBorders>
                    <w:tl2br w:val="nil"/>
                    <w:tr2bl w:val="nil"/>
                  </w:tcBorders>
                  <w:shd w:val="clear" w:color="auto" w:fill="auto"/>
                  <w:vAlign w:val="center"/>
                </w:tcPr>
                <w:p w14:paraId="561EB2D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47" w:type="dxa"/>
                  <w:tcBorders>
                    <w:tl2br w:val="nil"/>
                    <w:tr2bl w:val="nil"/>
                  </w:tcBorders>
                  <w:shd w:val="clear" w:color="auto" w:fill="auto"/>
                  <w:vAlign w:val="center"/>
                </w:tcPr>
                <w:p w14:paraId="6898999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c>
                <w:tcPr>
                  <w:tcW w:w="654" w:type="dxa"/>
                  <w:tcBorders>
                    <w:tl2br w:val="nil"/>
                    <w:tr2bl w:val="nil"/>
                  </w:tcBorders>
                  <w:shd w:val="clear" w:color="auto" w:fill="auto"/>
                  <w:vAlign w:val="center"/>
                </w:tcPr>
                <w:p w14:paraId="64D172B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r>
          </w:tbl>
          <w:p w14:paraId="04EA8A32">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根据上述分析，近一年内</w:t>
            </w:r>
            <w:r>
              <w:rPr>
                <w:rFonts w:hint="eastAsia"/>
                <w:color w:val="000000" w:themeColor="text1"/>
                <w:lang w:eastAsia="zh-CN"/>
                <w14:textFill>
                  <w14:solidFill>
                    <w14:schemeClr w14:val="tx1"/>
                  </w14:solidFill>
                </w14:textFill>
              </w:rPr>
              <w:t>凤河</w:t>
            </w:r>
            <w:r>
              <w:rPr>
                <w:rFonts w:hint="eastAsia" w:cs="Times New Roman"/>
                <w:color w:val="000000" w:themeColor="text1"/>
                <w14:textFill>
                  <w14:solidFill>
                    <w14:schemeClr w14:val="tx1"/>
                  </w14:solidFill>
                </w14:textFill>
              </w:rPr>
              <w:t>水质均能达到《地表水环境质量标准》（GB3838-2002）中的</w:t>
            </w:r>
            <w:r>
              <w:rPr>
                <w:rFonts w:cs="Times New Roman"/>
                <w:color w:val="000000" w:themeColor="text1"/>
                <w14:textFill>
                  <w14:solidFill>
                    <w14:schemeClr w14:val="tx1"/>
                  </w14:solidFill>
                </w14:textFill>
              </w:rPr>
              <w:t>Ⅴ</w:t>
            </w:r>
            <w:r>
              <w:rPr>
                <w:rFonts w:hint="eastAsia" w:cs="Times New Roman"/>
                <w:color w:val="000000" w:themeColor="text1"/>
                <w14:textFill>
                  <w14:solidFill>
                    <w14:schemeClr w14:val="tx1"/>
                  </w14:solidFill>
                </w14:textFill>
              </w:rPr>
              <w:t>类水质标准要求。</w:t>
            </w:r>
          </w:p>
          <w:p w14:paraId="3AEF719B">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3、声环境质量现状</w:t>
            </w:r>
          </w:p>
          <w:p w14:paraId="52E37C01">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北京市大兴区鼎利路10号院14号楼1-3层</w:t>
            </w:r>
            <w:r>
              <w:rPr>
                <w:rFonts w:hint="eastAsia" w:cs="Times New Roman"/>
                <w:color w:val="000000" w:themeColor="text1"/>
                <w14:textFill>
                  <w14:solidFill>
                    <w14:schemeClr w14:val="tx1"/>
                  </w14:solidFill>
                </w14:textFill>
              </w:rPr>
              <w:t>，本项目厂界周边50m范围内无居民住宅等声环境敏感建筑物。根据《北京市大兴区人民政府关于印发&lt;北京市大兴区声环境功能区划实施细则&gt;的通知》（京兴政发[2024]16号）中的相关规定</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独立于乡村村庄、位于乡村连片住宅区和集镇之外的工业、仓储、物流企业集中区域或乡村地区的工业集聚区，执行3类声环境功能区标准。</w:t>
            </w:r>
            <w:r>
              <w:rPr>
                <w:rFonts w:hint="eastAsia" w:cs="Times New Roman"/>
                <w:color w:val="000000" w:themeColor="text1"/>
                <w:lang w:val="en-US" w:eastAsia="zh-CN"/>
                <w14:textFill>
                  <w14:solidFill>
                    <w14:schemeClr w14:val="tx1"/>
                  </w14:solidFill>
                </w14:textFill>
              </w:rPr>
              <w:t>本项目位于云狐产业园属于独立于乡村村庄、位于乡村连片住宅区和集镇之外的工业集中区域，且所在建筑物南侧的中鼎北路、西侧的金时大街均不在“附件1 4a类声环境功能区适用的道路”范围内。本项目所在地属于声环境功能3类区，区域声环境质量执行《声环境质量标准》（GB3096-2008）中3类标准。</w:t>
            </w:r>
          </w:p>
          <w:p w14:paraId="18DAAC37">
            <w:pPr>
              <w:adjustRightInd w:val="0"/>
              <w:snapToGrid w:val="0"/>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4、地下水、土壤环境</w:t>
            </w:r>
          </w:p>
          <w:p w14:paraId="0D24D4C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租用</w:t>
            </w:r>
            <w:r>
              <w:rPr>
                <w:rFonts w:hint="eastAsia" w:cs="Times New Roman"/>
                <w:color w:val="000000" w:themeColor="text1"/>
                <w:lang w:eastAsia="zh-CN"/>
                <w14:textFill>
                  <w14:solidFill>
                    <w14:schemeClr w14:val="tx1"/>
                  </w14:solidFill>
                </w14:textFill>
              </w:rPr>
              <w:t>北京市大兴区鼎利路10号院14号楼1-3层</w:t>
            </w:r>
            <w:r>
              <w:rPr>
                <w:rFonts w:hint="eastAsia" w:cs="Times New Roman"/>
                <w:color w:val="000000" w:themeColor="text1"/>
                <w14:textFill>
                  <w14:solidFill>
                    <w14:schemeClr w14:val="tx1"/>
                  </w14:solidFill>
                </w14:textFill>
              </w:rPr>
              <w:t>，根据《北京市人民政府关于大兴区区级饮用水水源保护区调整划分方案的批复》（京政字[2021]21号）的规定，项目不在地下水源保护区范围内。经现场勘查，本项目不在区县级、镇级水源保护区范围内。项目运营过程产生的生活污水排入园区化粪池，最终通过市政管网排入污水处理厂处理。本项目危险废物暂存间采取了防渗措施，如泄漏后能及时发现收集处理，因此，本项目无需开展地下水、土壤环境质量现状调查。</w:t>
            </w:r>
          </w:p>
          <w:p w14:paraId="4D668F81">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5、生态环境</w:t>
            </w:r>
          </w:p>
          <w:p w14:paraId="20EE451C">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北京市大兴区鼎利路10号院14号楼1-3层</w:t>
            </w:r>
            <w:r>
              <w:rPr>
                <w:rFonts w:hint="eastAsia" w:cs="Times New Roman"/>
                <w:color w:val="000000" w:themeColor="text1"/>
                <w14:textFill>
                  <w14:solidFill>
                    <w14:schemeClr w14:val="tx1"/>
                  </w14:solidFill>
                </w14:textFill>
              </w:rPr>
              <w:t>，不新增土地，项目范围内无生态保护目标。</w:t>
            </w:r>
          </w:p>
        </w:tc>
      </w:tr>
      <w:tr w14:paraId="0355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1C17B22">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环境保护目标</w:t>
            </w:r>
          </w:p>
        </w:tc>
        <w:tc>
          <w:tcPr>
            <w:tcW w:w="8239" w:type="dxa"/>
            <w:vAlign w:val="center"/>
          </w:tcPr>
          <w:p w14:paraId="30275F71">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1、大气环境</w:t>
            </w:r>
          </w:p>
          <w:p w14:paraId="53373C9C">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根据现场调查，本项目位于</w:t>
            </w:r>
            <w:r>
              <w:rPr>
                <w:rFonts w:hint="eastAsia" w:cs="Times New Roman"/>
                <w:color w:val="000000" w:themeColor="text1"/>
                <w:lang w:eastAsia="zh-CN"/>
                <w14:textFill>
                  <w14:solidFill>
                    <w14:schemeClr w14:val="tx1"/>
                  </w14:solidFill>
                </w14:textFill>
              </w:rPr>
              <w:t>北京市大兴区鼎利路10号院14号楼1-3层</w:t>
            </w:r>
            <w:r>
              <w:rPr>
                <w:rFonts w:hint="eastAsia" w:cs="Times New Roman"/>
                <w:color w:val="000000" w:themeColor="text1"/>
                <w14:textFill>
                  <w14:solidFill>
                    <w14:schemeClr w14:val="tx1"/>
                  </w14:solidFill>
                </w14:textFill>
              </w:rPr>
              <w:t>，项目周边无地下水源保护区、重点文物单位、珍贵动植物等敏感因素，项目不在生态红线用地保护范围内，周边相邻均为其他企业运营用房、办公用房。本项目厂界外500m范围内大气环境保护目标主要</w:t>
            </w:r>
            <w:r>
              <w:rPr>
                <w:rFonts w:hint="eastAsia" w:cs="Times New Roman"/>
                <w:color w:val="000000" w:themeColor="text1"/>
                <w:lang w:val="en-US" w:eastAsia="zh-CN"/>
                <w14:textFill>
                  <w14:solidFill>
                    <w14:schemeClr w14:val="tx1"/>
                  </w14:solidFill>
                </w14:textFill>
              </w:rPr>
              <w:t>为公寓</w:t>
            </w:r>
            <w:r>
              <w:rPr>
                <w:rFonts w:hint="eastAsia" w:cs="Times New Roman"/>
                <w:color w:val="000000" w:themeColor="text1"/>
                <w14:textFill>
                  <w14:solidFill>
                    <w14:schemeClr w14:val="tx1"/>
                  </w14:solidFill>
                </w14:textFill>
              </w:rPr>
              <w:t>。</w:t>
            </w:r>
          </w:p>
          <w:p w14:paraId="28D1C26B">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表3-3 环境保护目标一览表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024"/>
              <w:gridCol w:w="1290"/>
              <w:gridCol w:w="1095"/>
              <w:gridCol w:w="1185"/>
              <w:gridCol w:w="1741"/>
            </w:tblGrid>
            <w:tr w14:paraId="7F4357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vAlign w:val="center"/>
                </w:tcPr>
                <w:p w14:paraId="33AB7607">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环境类别</w:t>
                  </w:r>
                </w:p>
              </w:tc>
              <w:tc>
                <w:tcPr>
                  <w:tcW w:w="2024" w:type="dxa"/>
                  <w:tcBorders>
                    <w:tl2br w:val="nil"/>
                    <w:tr2bl w:val="nil"/>
                  </w:tcBorders>
                  <w:vAlign w:val="center"/>
                </w:tcPr>
                <w:p w14:paraId="11784C0A">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环境保护目标</w:t>
                  </w:r>
                </w:p>
              </w:tc>
              <w:tc>
                <w:tcPr>
                  <w:tcW w:w="1290" w:type="dxa"/>
                  <w:tcBorders>
                    <w:tl2br w:val="nil"/>
                    <w:tr2bl w:val="nil"/>
                  </w:tcBorders>
                  <w:vAlign w:val="center"/>
                </w:tcPr>
                <w:p w14:paraId="42727320">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与项目位置关系</w:t>
                  </w:r>
                </w:p>
              </w:tc>
              <w:tc>
                <w:tcPr>
                  <w:tcW w:w="1095" w:type="dxa"/>
                  <w:tcBorders>
                    <w:tl2br w:val="nil"/>
                    <w:tr2bl w:val="nil"/>
                  </w:tcBorders>
                  <w:vAlign w:val="center"/>
                </w:tcPr>
                <w:p w14:paraId="0CC7B223">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最近距离m</w:t>
                  </w:r>
                </w:p>
              </w:tc>
              <w:tc>
                <w:tcPr>
                  <w:tcW w:w="1185" w:type="dxa"/>
                  <w:tcBorders>
                    <w:tl2br w:val="nil"/>
                    <w:tr2bl w:val="nil"/>
                  </w:tcBorders>
                  <w:vAlign w:val="center"/>
                </w:tcPr>
                <w:p w14:paraId="49919B14">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环境功能</w:t>
                  </w:r>
                </w:p>
              </w:tc>
              <w:tc>
                <w:tcPr>
                  <w:tcW w:w="1741" w:type="dxa"/>
                  <w:tcBorders>
                    <w:tl2br w:val="nil"/>
                    <w:tr2bl w:val="nil"/>
                  </w:tcBorders>
                  <w:vAlign w:val="center"/>
                </w:tcPr>
                <w:p w14:paraId="6AF41632">
                  <w:pPr>
                    <w:widowControl/>
                    <w:adjustRightInd w:val="0"/>
                    <w:snapToGrid w:val="0"/>
                    <w:spacing w:line="240" w:lineRule="auto"/>
                    <w:ind w:firstLine="0" w:firstLineChars="0"/>
                    <w:jc w:val="center"/>
                    <w:rPr>
                      <w:rFonts w:cs="Times New Roman"/>
                      <w:b/>
                      <w:bCs/>
                      <w:color w:val="000000" w:themeColor="text1"/>
                      <w:kern w:val="0"/>
                      <w:sz w:val="21"/>
                      <w:szCs w:val="21"/>
                      <w:lang w:bidi="ar"/>
                      <w14:textFill>
                        <w14:solidFill>
                          <w14:schemeClr w14:val="tx1"/>
                        </w14:solidFill>
                      </w14:textFill>
                    </w:rPr>
                  </w:pPr>
                  <w:r>
                    <w:rPr>
                      <w:rFonts w:hint="eastAsia" w:cs="Times New Roman"/>
                      <w:b/>
                      <w:bCs/>
                      <w:color w:val="000000" w:themeColor="text1"/>
                      <w:kern w:val="0"/>
                      <w:sz w:val="21"/>
                      <w:szCs w:val="21"/>
                      <w:lang w:bidi="ar"/>
                      <w14:textFill>
                        <w14:solidFill>
                          <w14:schemeClr w14:val="tx1"/>
                        </w14:solidFill>
                      </w14:textFill>
                    </w:rPr>
                    <w:t>环境功能要求</w:t>
                  </w:r>
                </w:p>
              </w:tc>
            </w:tr>
            <w:tr w14:paraId="1A732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Merge w:val="restart"/>
                  <w:tcBorders>
                    <w:tl2br w:val="nil"/>
                    <w:tr2bl w:val="nil"/>
                  </w:tcBorders>
                  <w:vAlign w:val="center"/>
                </w:tcPr>
                <w:p w14:paraId="1CCB9244">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大气环境</w:t>
                  </w:r>
                </w:p>
              </w:tc>
              <w:tc>
                <w:tcPr>
                  <w:tcW w:w="2024" w:type="dxa"/>
                  <w:tcBorders>
                    <w:tl2br w:val="nil"/>
                    <w:tr2bl w:val="nil"/>
                  </w:tcBorders>
                  <w:vAlign w:val="center"/>
                </w:tcPr>
                <w:p w14:paraId="49AADDDC">
                  <w:pPr>
                    <w:widowControl/>
                    <w:adjustRightInd w:val="0"/>
                    <w:snapToGrid w:val="0"/>
                    <w:spacing w:line="240" w:lineRule="auto"/>
                    <w:ind w:firstLine="0" w:firstLineChars="0"/>
                    <w:jc w:val="center"/>
                    <w:rPr>
                      <w:rFonts w:hint="eastAsia" w:eastAsia="宋体" w:cs="Times New Roman"/>
                      <w:color w:val="000000" w:themeColor="text1"/>
                      <w:kern w:val="0"/>
                      <w:sz w:val="21"/>
                      <w:szCs w:val="21"/>
                      <w:lang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春雪四季公寓</w:t>
                  </w:r>
                </w:p>
              </w:tc>
              <w:tc>
                <w:tcPr>
                  <w:tcW w:w="1290" w:type="dxa"/>
                  <w:tcBorders>
                    <w:tl2br w:val="nil"/>
                    <w:tr2bl w:val="nil"/>
                  </w:tcBorders>
                  <w:vAlign w:val="center"/>
                </w:tcPr>
                <w:p w14:paraId="22D922CF">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SE</w:t>
                  </w:r>
                </w:p>
              </w:tc>
              <w:tc>
                <w:tcPr>
                  <w:tcW w:w="1095" w:type="dxa"/>
                  <w:tcBorders>
                    <w:tl2br w:val="nil"/>
                    <w:tr2bl w:val="nil"/>
                  </w:tcBorders>
                  <w:vAlign w:val="center"/>
                </w:tcPr>
                <w:p w14:paraId="1D54879E">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200</w:t>
                  </w:r>
                </w:p>
              </w:tc>
              <w:tc>
                <w:tcPr>
                  <w:tcW w:w="1185" w:type="dxa"/>
                  <w:tcBorders>
                    <w:tl2br w:val="nil"/>
                    <w:tr2bl w:val="nil"/>
                  </w:tcBorders>
                  <w:vAlign w:val="center"/>
                </w:tcPr>
                <w:p w14:paraId="44F1BB23">
                  <w:pPr>
                    <w:widowControl/>
                    <w:adjustRightInd w:val="0"/>
                    <w:snapToGrid w:val="0"/>
                    <w:spacing w:line="240" w:lineRule="auto"/>
                    <w:ind w:firstLine="0" w:firstLineChars="0"/>
                    <w:jc w:val="center"/>
                    <w:rPr>
                      <w:rFonts w:hint="eastAsia"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公寓</w:t>
                  </w:r>
                </w:p>
              </w:tc>
              <w:tc>
                <w:tcPr>
                  <w:tcW w:w="1741" w:type="dxa"/>
                  <w:vMerge w:val="restart"/>
                  <w:tcBorders>
                    <w:tl2br w:val="nil"/>
                    <w:tr2bl w:val="nil"/>
                  </w:tcBorders>
                  <w:vAlign w:val="center"/>
                </w:tcPr>
                <w:p w14:paraId="027F5049">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r>
                    <w:rPr>
                      <w:rFonts w:hint="eastAsia" w:cs="Times New Roman"/>
                      <w:color w:val="000000" w:themeColor="text1"/>
                      <w:kern w:val="0"/>
                      <w:sz w:val="21"/>
                      <w:szCs w:val="21"/>
                      <w:lang w:bidi="ar"/>
                      <w14:textFill>
                        <w14:solidFill>
                          <w14:schemeClr w14:val="tx1"/>
                        </w14:solidFill>
                      </w14:textFill>
                    </w:rPr>
                    <w:t>《环境空气质量标准》（GB3095-2012）及其修改单中的二级标准</w:t>
                  </w:r>
                </w:p>
              </w:tc>
            </w:tr>
            <w:tr w14:paraId="4D2DB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Merge w:val="continue"/>
                  <w:tcBorders>
                    <w:tl2br w:val="nil"/>
                    <w:tr2bl w:val="nil"/>
                  </w:tcBorders>
                  <w:vAlign w:val="center"/>
                </w:tcPr>
                <w:p w14:paraId="2A52DA4C">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c>
                <w:tcPr>
                  <w:tcW w:w="2024" w:type="dxa"/>
                  <w:tcBorders>
                    <w:tl2br w:val="nil"/>
                    <w:tr2bl w:val="nil"/>
                  </w:tcBorders>
                  <w:vAlign w:val="center"/>
                </w:tcPr>
                <w:p w14:paraId="4E6CC9DD">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维尔丽酒店式公寓</w:t>
                  </w:r>
                </w:p>
              </w:tc>
              <w:tc>
                <w:tcPr>
                  <w:tcW w:w="1290" w:type="dxa"/>
                  <w:tcBorders>
                    <w:tl2br w:val="nil"/>
                    <w:tr2bl w:val="nil"/>
                  </w:tcBorders>
                  <w:vAlign w:val="center"/>
                </w:tcPr>
                <w:p w14:paraId="019B68FE">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SW</w:t>
                  </w:r>
                </w:p>
              </w:tc>
              <w:tc>
                <w:tcPr>
                  <w:tcW w:w="1095" w:type="dxa"/>
                  <w:tcBorders>
                    <w:tl2br w:val="nil"/>
                    <w:tr2bl w:val="nil"/>
                  </w:tcBorders>
                  <w:vAlign w:val="center"/>
                </w:tcPr>
                <w:p w14:paraId="75375EF2">
                  <w:pPr>
                    <w:widowControl/>
                    <w:adjustRightInd w:val="0"/>
                    <w:snapToGrid w:val="0"/>
                    <w:spacing w:line="240" w:lineRule="auto"/>
                    <w:ind w:firstLine="0" w:firstLineChars="0"/>
                    <w:jc w:val="center"/>
                    <w:rPr>
                      <w:rFonts w:hint="default"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329</w:t>
                  </w:r>
                </w:p>
              </w:tc>
              <w:tc>
                <w:tcPr>
                  <w:tcW w:w="1185" w:type="dxa"/>
                  <w:tcBorders>
                    <w:tl2br w:val="nil"/>
                    <w:tr2bl w:val="nil"/>
                  </w:tcBorders>
                  <w:vAlign w:val="center"/>
                </w:tcPr>
                <w:p w14:paraId="10FA693A">
                  <w:pPr>
                    <w:widowControl/>
                    <w:adjustRightInd w:val="0"/>
                    <w:snapToGrid w:val="0"/>
                    <w:spacing w:line="240" w:lineRule="auto"/>
                    <w:ind w:firstLine="0" w:firstLineChars="0"/>
                    <w:jc w:val="center"/>
                    <w:rPr>
                      <w:rFonts w:hint="eastAsia"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公寓</w:t>
                  </w:r>
                </w:p>
              </w:tc>
              <w:tc>
                <w:tcPr>
                  <w:tcW w:w="1741" w:type="dxa"/>
                  <w:vMerge w:val="continue"/>
                  <w:tcBorders>
                    <w:tl2br w:val="nil"/>
                    <w:tr2bl w:val="nil"/>
                  </w:tcBorders>
                  <w:vAlign w:val="center"/>
                </w:tcPr>
                <w:p w14:paraId="2597D40B">
                  <w:pPr>
                    <w:widowControl/>
                    <w:adjustRightInd w:val="0"/>
                    <w:snapToGrid w:val="0"/>
                    <w:spacing w:line="240" w:lineRule="auto"/>
                    <w:ind w:firstLine="0" w:firstLineChars="0"/>
                    <w:jc w:val="center"/>
                    <w:rPr>
                      <w:rFonts w:cs="Times New Roman"/>
                      <w:color w:val="000000" w:themeColor="text1"/>
                      <w:kern w:val="0"/>
                      <w:sz w:val="21"/>
                      <w:szCs w:val="21"/>
                      <w:lang w:bidi="ar"/>
                      <w14:textFill>
                        <w14:solidFill>
                          <w14:schemeClr w14:val="tx1"/>
                        </w14:solidFill>
                      </w14:textFill>
                    </w:rPr>
                  </w:pPr>
                </w:p>
              </w:tc>
            </w:tr>
          </w:tbl>
          <w:p w14:paraId="13B95816">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2、声环境</w:t>
            </w:r>
          </w:p>
          <w:p w14:paraId="66B50617">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根据现场踏勘，项目厂界外50米范围内不涉及声环境保护目标。</w:t>
            </w:r>
          </w:p>
          <w:p w14:paraId="012FC7BE">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3、地下水环境</w:t>
            </w:r>
          </w:p>
          <w:p w14:paraId="3704FC00">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根据现场踏勘，项目厂界外</w:t>
            </w:r>
            <w:r>
              <w:rPr>
                <w:rFonts w:hint="eastAsia" w:cs="Times New Roman"/>
                <w:color w:val="000000" w:themeColor="text1"/>
                <w:lang w:val="en-US" w:eastAsia="zh-CN"/>
                <w14:textFill>
                  <w14:solidFill>
                    <w14:schemeClr w14:val="tx1"/>
                  </w14:solidFill>
                </w14:textFill>
              </w:rPr>
              <w:t>500m范围内，无地下水集中式饮用水水源和热水、矿泉水、温泉等特殊地下水资源，本项目无地下水环境保护目标。</w:t>
            </w:r>
          </w:p>
          <w:p w14:paraId="6B1865F2">
            <w:pPr>
              <w:adjustRightInd w:val="0"/>
              <w:snapToGrid w:val="0"/>
              <w:ind w:firstLine="482"/>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4、生态环境</w:t>
            </w:r>
          </w:p>
          <w:p w14:paraId="29D61645">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本项目利用现有房屋从事生产经营活动，不新增用地，项目周围没有珍稀动植物资源、无自然保护区和文物保护单位，不涉及生态环境保护目标。</w:t>
            </w:r>
          </w:p>
        </w:tc>
      </w:tr>
      <w:tr w14:paraId="31BF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DE4BB37">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污染物排放控制标准</w:t>
            </w:r>
          </w:p>
        </w:tc>
        <w:tc>
          <w:tcPr>
            <w:tcW w:w="8239" w:type="dxa"/>
            <w:vAlign w:val="center"/>
          </w:tcPr>
          <w:p w14:paraId="643F98BD">
            <w:pPr>
              <w:adjustRightInd w:val="0"/>
              <w:snapToGrid w:val="0"/>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1、废气</w:t>
            </w:r>
          </w:p>
          <w:p w14:paraId="767D86A6">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项目检测过程中产生的废气主要为</w:t>
            </w:r>
            <w:r>
              <w:rPr>
                <w:rFonts w:hint="eastAsia"/>
                <w:color w:val="000000" w:themeColor="text1"/>
                <w:lang w:val="en-US" w:eastAsia="zh-CN"/>
                <w14:textFill>
                  <w14:solidFill>
                    <w14:schemeClr w14:val="tx1"/>
                  </w14:solidFill>
                </w14:textFill>
              </w:rPr>
              <w:t>燃烧废气、</w:t>
            </w:r>
            <w:r>
              <w:rPr>
                <w:rFonts w:hint="eastAsia"/>
                <w:color w:val="000000" w:themeColor="text1"/>
                <w14:textFill>
                  <w14:solidFill>
                    <w14:schemeClr w14:val="tx1"/>
                  </w14:solidFill>
                </w14:textFill>
              </w:rPr>
              <w:t>实验废气，主要污染因子为“颗粒物、非甲烷总烃、一氧化碳、氯化氢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”。废气排放执行北京市《大气污染物综合排放标准》（DB11/501-2017）表3“生产工艺废气及其他废气大气污染物排放限值”中相应限值要求。</w:t>
            </w:r>
          </w:p>
          <w:p w14:paraId="456D2761">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根据《大气污染物综合排放标准》（DB11/501-2017）中相关规定：</w:t>
            </w:r>
          </w:p>
          <w:p w14:paraId="4B659577">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（1）5.1.3 排气筒高度处于表1、表2或表3所列的两个排气筒高度之间时，其执行的最高允许排放速率以内插法计算。</w:t>
            </w:r>
          </w:p>
          <w:p w14:paraId="03768289">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（2）5.1.4 排气筒高度应高出周围200m半径范围内的建筑物5m以上；不能达到该项要求的，最高允许排放速率应按表1、表2或表3所列排放速率限值的50%执行或根据5.1.3确定的排放速率限值的50%执行。</w:t>
            </w:r>
          </w:p>
          <w:p w14:paraId="4D6EA503">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本项目DA001废气排气筒高度为</w:t>
            </w:r>
            <w:r>
              <w:rPr>
                <w:rFonts w:hint="eastAsia"/>
                <w:color w:val="000000" w:themeColor="text1"/>
                <w:lang w:eastAsia="zh-CN"/>
                <w14:textFill>
                  <w14:solidFill>
                    <w14:schemeClr w14:val="tx1"/>
                  </w14:solidFill>
                </w14:textFill>
              </w:rPr>
              <w:t>20m</w:t>
            </w:r>
            <w:r>
              <w:rPr>
                <w:rFonts w:hint="eastAsia"/>
                <w:color w:val="000000" w:themeColor="text1"/>
                <w14:textFill>
                  <w14:solidFill>
                    <w14:schemeClr w14:val="tx1"/>
                  </w14:solidFill>
                </w14:textFill>
              </w:rPr>
              <w:t>，周围200m半径范围内的</w:t>
            </w:r>
            <w:r>
              <w:rPr>
                <w:rFonts w:hint="eastAsia"/>
                <w:color w:val="000000" w:themeColor="text1"/>
                <w:lang w:val="en-US" w:eastAsia="zh-CN"/>
                <w14:textFill>
                  <w14:solidFill>
                    <w14:schemeClr w14:val="tx1"/>
                  </w14:solidFill>
                </w14:textFill>
              </w:rPr>
              <w:t>最高</w:t>
            </w:r>
            <w:r>
              <w:rPr>
                <w:rFonts w:hint="eastAsia"/>
                <w:color w:val="000000" w:themeColor="text1"/>
                <w14:textFill>
                  <w14:solidFill>
                    <w14:schemeClr w14:val="tx1"/>
                  </w14:solidFill>
                </w14:textFill>
              </w:rPr>
              <w:t>建筑物</w:t>
            </w:r>
            <w:r>
              <w:rPr>
                <w:rFonts w:hint="eastAsia"/>
                <w:color w:val="000000" w:themeColor="text1"/>
                <w:lang w:val="en-US" w:eastAsia="zh-CN"/>
                <w14:textFill>
                  <w14:solidFill>
                    <w14:schemeClr w14:val="tx1"/>
                  </w14:solidFill>
                </w14:textFill>
              </w:rPr>
              <w:t>高18m，</w:t>
            </w:r>
            <w:r>
              <w:rPr>
                <w:rFonts w:hint="eastAsia"/>
                <w:color w:val="000000" w:themeColor="text1"/>
                <w14:textFill>
                  <w14:solidFill>
                    <w14:schemeClr w14:val="tx1"/>
                  </w14:solidFill>
                </w14:textFill>
              </w:rPr>
              <w:t>未高出周围200m半径范围内的建筑物5m以上，废气排放速率严格</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执行。</w:t>
            </w:r>
          </w:p>
          <w:p w14:paraId="76A157DA">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北京市《大气污染物综合排放标准》（DB11/501-2017）（摘录）</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605"/>
              <w:gridCol w:w="1785"/>
              <w:gridCol w:w="900"/>
              <w:gridCol w:w="1515"/>
              <w:gridCol w:w="1471"/>
            </w:tblGrid>
            <w:tr w14:paraId="303595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38A72002">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1605" w:type="dxa"/>
                  <w:tcBorders>
                    <w:left w:val="single" w:color="000000" w:sz="8" w:space="0"/>
                    <w:tl2br w:val="nil"/>
                    <w:tr2bl w:val="nil"/>
                  </w:tcBorders>
                  <w:vAlign w:val="center"/>
                </w:tcPr>
                <w:p w14:paraId="4CD93EC7">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污染物项目</w:t>
                  </w:r>
                </w:p>
              </w:tc>
              <w:tc>
                <w:tcPr>
                  <w:tcW w:w="1785" w:type="dxa"/>
                  <w:tcBorders>
                    <w:tl2br w:val="nil"/>
                    <w:tr2bl w:val="nil"/>
                  </w:tcBorders>
                  <w:vAlign w:val="center"/>
                </w:tcPr>
                <w:p w14:paraId="4560CAB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Ⅱ时段大气污染物最高允许排放浓度（mg/m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00" w:type="dxa"/>
                  <w:tcBorders>
                    <w:tl2br w:val="nil"/>
                    <w:tr2bl w:val="nil"/>
                  </w:tcBorders>
                  <w:vAlign w:val="center"/>
                </w:tcPr>
                <w:p w14:paraId="2C0886D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排气筒高度</w:t>
                  </w:r>
                </w:p>
              </w:tc>
              <w:tc>
                <w:tcPr>
                  <w:tcW w:w="1515" w:type="dxa"/>
                  <w:tcBorders>
                    <w:right w:val="single" w:color="000000" w:sz="8" w:space="0"/>
                    <w:tl2br w:val="nil"/>
                    <w:tr2bl w:val="nil"/>
                  </w:tcBorders>
                  <w:vAlign w:val="center"/>
                </w:tcPr>
                <w:p w14:paraId="79FCFD30">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最高允许排放速率（kg/h）</w:t>
                  </w:r>
                </w:p>
              </w:tc>
              <w:tc>
                <w:tcPr>
                  <w:tcW w:w="1471" w:type="dxa"/>
                  <w:tcBorders>
                    <w:left w:val="single" w:color="000000" w:sz="8" w:space="0"/>
                    <w:tl2br w:val="nil"/>
                    <w:tr2bl w:val="nil"/>
                  </w:tcBorders>
                  <w:vAlign w:val="center"/>
                </w:tcPr>
                <w:p w14:paraId="5657C61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严格50%后最高允许排放速率（kg/h）</w:t>
                  </w:r>
                </w:p>
              </w:tc>
            </w:tr>
            <w:tr w14:paraId="25F7A1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51E8054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605" w:type="dxa"/>
                  <w:tcBorders>
                    <w:left w:val="single" w:color="000000" w:sz="8" w:space="0"/>
                    <w:tl2br w:val="nil"/>
                    <w:tr2bl w:val="nil"/>
                  </w:tcBorders>
                  <w:vAlign w:val="center"/>
                </w:tcPr>
                <w:p w14:paraId="59118B8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1785" w:type="dxa"/>
                  <w:tcBorders>
                    <w:tl2br w:val="nil"/>
                    <w:tr2bl w:val="nil"/>
                  </w:tcBorders>
                  <w:vAlign w:val="center"/>
                </w:tcPr>
                <w:p w14:paraId="56BC7B0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900" w:type="dxa"/>
                  <w:vMerge w:val="restart"/>
                  <w:tcBorders>
                    <w:tl2br w:val="nil"/>
                    <w:tr2bl w:val="nil"/>
                  </w:tcBorders>
                  <w:vAlign w:val="center"/>
                </w:tcPr>
                <w:p w14:paraId="589C2A8D">
                  <w:pPr>
                    <w:adjustRightInd w:val="0"/>
                    <w:snapToGri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20m</w:t>
                  </w:r>
                </w:p>
              </w:tc>
              <w:tc>
                <w:tcPr>
                  <w:tcW w:w="1515" w:type="dxa"/>
                  <w:tcBorders>
                    <w:right w:val="single" w:color="000000" w:sz="8" w:space="0"/>
                    <w:tl2br w:val="nil"/>
                    <w:tr2bl w:val="nil"/>
                  </w:tcBorders>
                  <w:vAlign w:val="center"/>
                </w:tcPr>
                <w:p w14:paraId="506A8BA7">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471" w:type="dxa"/>
                  <w:tcBorders>
                    <w:left w:val="single" w:color="000000" w:sz="8" w:space="0"/>
                    <w:tl2br w:val="nil"/>
                    <w:tr2bl w:val="nil"/>
                  </w:tcBorders>
                  <w:vAlign w:val="center"/>
                </w:tcPr>
                <w:p w14:paraId="74B6C30A">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14:paraId="6A811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318654C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605" w:type="dxa"/>
                  <w:tcBorders>
                    <w:left w:val="single" w:color="000000" w:sz="8" w:space="0"/>
                    <w:tl2br w:val="nil"/>
                    <w:tr2bl w:val="nil"/>
                  </w:tcBorders>
                  <w:vAlign w:val="center"/>
                </w:tcPr>
                <w:p w14:paraId="768F7C1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其他</w:t>
                  </w:r>
                  <w:r>
                    <w:rPr>
                      <w:rFonts w:hint="eastAsia"/>
                      <w:color w:val="000000" w:themeColor="text1"/>
                      <w:sz w:val="21"/>
                      <w:szCs w:val="21"/>
                      <w14:textFill>
                        <w14:solidFill>
                          <w14:schemeClr w14:val="tx1"/>
                        </w14:solidFill>
                      </w14:textFill>
                    </w:rPr>
                    <w:t>颗粒物</w:t>
                  </w:r>
                </w:p>
              </w:tc>
              <w:tc>
                <w:tcPr>
                  <w:tcW w:w="1785" w:type="dxa"/>
                  <w:tcBorders>
                    <w:tl2br w:val="nil"/>
                    <w:tr2bl w:val="nil"/>
                  </w:tcBorders>
                  <w:vAlign w:val="center"/>
                </w:tcPr>
                <w:p w14:paraId="42F6D05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00" w:type="dxa"/>
                  <w:vMerge w:val="continue"/>
                  <w:tcBorders>
                    <w:tl2br w:val="nil"/>
                    <w:tr2bl w:val="nil"/>
                  </w:tcBorders>
                  <w:vAlign w:val="center"/>
                </w:tcPr>
                <w:p w14:paraId="45C3B7E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6560076C">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471" w:type="dxa"/>
                  <w:tcBorders>
                    <w:left w:val="single" w:color="000000" w:sz="8" w:space="0"/>
                    <w:tl2br w:val="nil"/>
                    <w:tr2bl w:val="nil"/>
                  </w:tcBorders>
                  <w:vAlign w:val="center"/>
                </w:tcPr>
                <w:p w14:paraId="7CA45971">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0.65</w:t>
                  </w:r>
                </w:p>
              </w:tc>
            </w:tr>
            <w:tr w14:paraId="3614ED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2C8F124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605" w:type="dxa"/>
                  <w:tcBorders>
                    <w:left w:val="single" w:color="000000" w:sz="8" w:space="0"/>
                    <w:tl2br w:val="nil"/>
                    <w:tr2bl w:val="nil"/>
                  </w:tcBorders>
                  <w:vAlign w:val="center"/>
                </w:tcPr>
                <w:p w14:paraId="294EA47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氯化氢</w:t>
                  </w:r>
                </w:p>
              </w:tc>
              <w:tc>
                <w:tcPr>
                  <w:tcW w:w="1785" w:type="dxa"/>
                  <w:tcBorders>
                    <w:tl2br w:val="nil"/>
                    <w:tr2bl w:val="nil"/>
                  </w:tcBorders>
                  <w:vAlign w:val="center"/>
                </w:tcPr>
                <w:p w14:paraId="41B0DE0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00" w:type="dxa"/>
                  <w:vMerge w:val="continue"/>
                  <w:tcBorders>
                    <w:tl2br w:val="nil"/>
                    <w:tr2bl w:val="nil"/>
                  </w:tcBorders>
                  <w:vAlign w:val="center"/>
                </w:tcPr>
                <w:p w14:paraId="734F1E47">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5F3BB5CC">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1471" w:type="dxa"/>
                  <w:tcBorders>
                    <w:left w:val="single" w:color="000000" w:sz="8" w:space="0"/>
                    <w:tl2br w:val="nil"/>
                    <w:tr2bl w:val="nil"/>
                  </w:tcBorders>
                  <w:vAlign w:val="center"/>
                </w:tcPr>
                <w:p w14:paraId="4C62912D">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w:t>
                  </w:r>
                </w:p>
              </w:tc>
            </w:tr>
            <w:tr w14:paraId="0201E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553178A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605" w:type="dxa"/>
                  <w:tcBorders>
                    <w:left w:val="single" w:color="000000" w:sz="8" w:space="0"/>
                    <w:tl2br w:val="nil"/>
                    <w:tr2bl w:val="nil"/>
                  </w:tcBorders>
                  <w:vAlign w:val="center"/>
                </w:tcPr>
                <w:p w14:paraId="2A1945E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一氧化碳</w:t>
                  </w:r>
                </w:p>
              </w:tc>
              <w:tc>
                <w:tcPr>
                  <w:tcW w:w="1785" w:type="dxa"/>
                  <w:tcBorders>
                    <w:tl2br w:val="nil"/>
                    <w:tr2bl w:val="nil"/>
                  </w:tcBorders>
                  <w:vAlign w:val="center"/>
                </w:tcPr>
                <w:p w14:paraId="12C48E8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900" w:type="dxa"/>
                  <w:vMerge w:val="continue"/>
                  <w:tcBorders>
                    <w:tl2br w:val="nil"/>
                    <w:tr2bl w:val="nil"/>
                  </w:tcBorders>
                  <w:vAlign w:val="center"/>
                </w:tcPr>
                <w:p w14:paraId="6CD7BBD6">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641CC8E9">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471" w:type="dxa"/>
                  <w:tcBorders>
                    <w:left w:val="single" w:color="000000" w:sz="8" w:space="0"/>
                    <w:tl2br w:val="nil"/>
                    <w:tr2bl w:val="nil"/>
                  </w:tcBorders>
                  <w:vAlign w:val="center"/>
                </w:tcPr>
                <w:p w14:paraId="629803D8">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r>
            <w:tr w14:paraId="35D9E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661DDD61">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605" w:type="dxa"/>
                  <w:tcBorders>
                    <w:left w:val="single" w:color="000000" w:sz="8" w:space="0"/>
                    <w:tl2br w:val="nil"/>
                    <w:tr2bl w:val="nil"/>
                  </w:tcBorders>
                  <w:vAlign w:val="center"/>
                </w:tcPr>
                <w:p w14:paraId="097922D4">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甲醇</w:t>
                  </w:r>
                </w:p>
              </w:tc>
              <w:tc>
                <w:tcPr>
                  <w:tcW w:w="1785" w:type="dxa"/>
                  <w:tcBorders>
                    <w:tl2br w:val="nil"/>
                    <w:tr2bl w:val="nil"/>
                  </w:tcBorders>
                  <w:vAlign w:val="center"/>
                </w:tcPr>
                <w:p w14:paraId="183D8E9D">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900" w:type="dxa"/>
                  <w:vMerge w:val="continue"/>
                  <w:tcBorders>
                    <w:tl2br w:val="nil"/>
                    <w:tr2bl w:val="nil"/>
                  </w:tcBorders>
                  <w:vAlign w:val="center"/>
                </w:tcPr>
                <w:p w14:paraId="29699D0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111D152C">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471" w:type="dxa"/>
                  <w:tcBorders>
                    <w:left w:val="single" w:color="000000" w:sz="8" w:space="0"/>
                    <w:tl2br w:val="nil"/>
                    <w:tr2bl w:val="nil"/>
                  </w:tcBorders>
                  <w:vAlign w:val="center"/>
                </w:tcPr>
                <w:p w14:paraId="7E2871F6">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14:paraId="74AA1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5C2EB716">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605" w:type="dxa"/>
                  <w:tcBorders>
                    <w:left w:val="single" w:color="000000" w:sz="8" w:space="0"/>
                    <w:tl2br w:val="nil"/>
                    <w:tr2bl w:val="nil"/>
                  </w:tcBorders>
                  <w:vAlign w:val="center"/>
                </w:tcPr>
                <w:p w14:paraId="4A4A507C">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其他A类物质（乙酸）</w:t>
                  </w:r>
                </w:p>
              </w:tc>
              <w:tc>
                <w:tcPr>
                  <w:tcW w:w="1785" w:type="dxa"/>
                  <w:tcBorders>
                    <w:tl2br w:val="nil"/>
                    <w:tr2bl w:val="nil"/>
                  </w:tcBorders>
                  <w:vAlign w:val="center"/>
                </w:tcPr>
                <w:p w14:paraId="70723295">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00" w:type="dxa"/>
                  <w:vMerge w:val="continue"/>
                  <w:tcBorders>
                    <w:tl2br w:val="nil"/>
                    <w:tr2bl w:val="nil"/>
                  </w:tcBorders>
                  <w:vAlign w:val="center"/>
                </w:tcPr>
                <w:p w14:paraId="6F7576B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351C5DCC">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71" w:type="dxa"/>
                  <w:tcBorders>
                    <w:left w:val="single" w:color="000000" w:sz="8" w:space="0"/>
                    <w:tl2br w:val="nil"/>
                    <w:tr2bl w:val="nil"/>
                  </w:tcBorders>
                  <w:vAlign w:val="center"/>
                </w:tcPr>
                <w:p w14:paraId="19769B39">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0D250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tcBorders>
                    <w:right w:val="single" w:color="000000" w:sz="8" w:space="0"/>
                    <w:tl2br w:val="nil"/>
                    <w:tr2bl w:val="nil"/>
                  </w:tcBorders>
                  <w:vAlign w:val="center"/>
                </w:tcPr>
                <w:p w14:paraId="2ADF8D02">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605" w:type="dxa"/>
                  <w:tcBorders>
                    <w:left w:val="single" w:color="000000" w:sz="8" w:space="0"/>
                    <w:tl2br w:val="nil"/>
                    <w:tr2bl w:val="nil"/>
                  </w:tcBorders>
                  <w:vAlign w:val="center"/>
                </w:tcPr>
                <w:p w14:paraId="63EDF99F">
                  <w:pPr>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其他C类物质（乙酸乙酯、异丙醇、异丁醇、正十四烷、乙酰丙酮）</w:t>
                  </w:r>
                </w:p>
              </w:tc>
              <w:tc>
                <w:tcPr>
                  <w:tcW w:w="1785" w:type="dxa"/>
                  <w:tcBorders>
                    <w:tl2br w:val="nil"/>
                    <w:tr2bl w:val="nil"/>
                  </w:tcBorders>
                  <w:vAlign w:val="center"/>
                </w:tcPr>
                <w:p w14:paraId="798EBC67">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p>
              </w:tc>
              <w:tc>
                <w:tcPr>
                  <w:tcW w:w="900" w:type="dxa"/>
                  <w:vMerge w:val="continue"/>
                  <w:tcBorders>
                    <w:tl2br w:val="nil"/>
                    <w:tr2bl w:val="nil"/>
                  </w:tcBorders>
                  <w:vAlign w:val="center"/>
                </w:tcPr>
                <w:p w14:paraId="32BCB751">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5" w:type="dxa"/>
                  <w:tcBorders>
                    <w:right w:val="single" w:color="000000" w:sz="8" w:space="0"/>
                    <w:tl2br w:val="nil"/>
                    <w:tr2bl w:val="nil"/>
                  </w:tcBorders>
                  <w:vAlign w:val="center"/>
                </w:tcPr>
                <w:p w14:paraId="70EA92C4">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71" w:type="dxa"/>
                  <w:tcBorders>
                    <w:left w:val="single" w:color="000000" w:sz="8" w:space="0"/>
                    <w:tl2br w:val="nil"/>
                    <w:tr2bl w:val="nil"/>
                  </w:tcBorders>
                  <w:vAlign w:val="center"/>
                </w:tcPr>
                <w:p w14:paraId="24270041">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14:paraId="7648C0E1">
            <w:pPr>
              <w:adjustRightInd w:val="0"/>
              <w:snapToGrid w:val="0"/>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2、废水</w:t>
            </w:r>
          </w:p>
          <w:p w14:paraId="13C6FF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本项目无生产废水产生，生活污水经项目所在园区防渗化粪池处理后排入市政污水管网，最终排入</w:t>
            </w:r>
            <w:r>
              <w:rPr>
                <w:rFonts w:hint="eastAsia"/>
                <w:color w:val="000000" w:themeColor="text1"/>
                <w:lang w:eastAsia="zh-CN"/>
                <w14:textFill>
                  <w14:solidFill>
                    <w14:schemeClr w14:val="tx1"/>
                  </w14:solidFill>
                </w14:textFill>
              </w:rPr>
              <w:t>北京轻纺服装产业基地应急污水处理站</w:t>
            </w:r>
            <w:r>
              <w:rPr>
                <w:rFonts w:hint="eastAsia"/>
                <w:color w:val="000000" w:themeColor="text1"/>
                <w14:textFill>
                  <w14:solidFill>
                    <w14:schemeClr w14:val="tx1"/>
                  </w14:solidFill>
                </w14:textFill>
              </w:rPr>
              <w:t>集中处理。废水排放执行北京市《水污染物综合排放标准》（DB11/307-2013）中表3“排入公共污水处理系统的水污染物排放限值”标准要求</w:t>
            </w:r>
          </w:p>
          <w:p w14:paraId="5EB5036B">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项目废水排放标准</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895"/>
              <w:gridCol w:w="2190"/>
              <w:gridCol w:w="1651"/>
            </w:tblGrid>
            <w:tr w14:paraId="322198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A164003">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2895" w:type="dxa"/>
                  <w:tcBorders>
                    <w:tl2br w:val="nil"/>
                    <w:tr2bl w:val="nil"/>
                  </w:tcBorders>
                  <w:vAlign w:val="center"/>
                </w:tcPr>
                <w:p w14:paraId="5EE7753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2190" w:type="dxa"/>
                  <w:tcBorders>
                    <w:tl2br w:val="nil"/>
                    <w:tr2bl w:val="nil"/>
                  </w:tcBorders>
                  <w:vAlign w:val="center"/>
                </w:tcPr>
                <w:p w14:paraId="59B0B8CB">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标准限值</w:t>
                  </w:r>
                </w:p>
              </w:tc>
              <w:tc>
                <w:tcPr>
                  <w:tcW w:w="1651" w:type="dxa"/>
                  <w:tcBorders>
                    <w:tl2br w:val="nil"/>
                    <w:tr2bl w:val="nil"/>
                  </w:tcBorders>
                  <w:vAlign w:val="center"/>
                </w:tcPr>
                <w:p w14:paraId="10113563">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单位</w:t>
                  </w:r>
                </w:p>
              </w:tc>
            </w:tr>
            <w:tr w14:paraId="6FB847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72051A8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895" w:type="dxa"/>
                  <w:tcBorders>
                    <w:tl2br w:val="nil"/>
                    <w:tr2bl w:val="nil"/>
                  </w:tcBorders>
                  <w:vAlign w:val="center"/>
                </w:tcPr>
                <w:p w14:paraId="177C292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pH值</w:t>
                  </w:r>
                </w:p>
              </w:tc>
              <w:tc>
                <w:tcPr>
                  <w:tcW w:w="2190" w:type="dxa"/>
                  <w:tcBorders>
                    <w:tl2br w:val="nil"/>
                    <w:tr2bl w:val="nil"/>
                  </w:tcBorders>
                  <w:vAlign w:val="center"/>
                </w:tcPr>
                <w:p w14:paraId="43C86B9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6.5-9</w:t>
                  </w:r>
                </w:p>
              </w:tc>
              <w:tc>
                <w:tcPr>
                  <w:tcW w:w="1651" w:type="dxa"/>
                  <w:tcBorders>
                    <w:tl2br w:val="nil"/>
                    <w:tr2bl w:val="nil"/>
                  </w:tcBorders>
                  <w:vAlign w:val="center"/>
                </w:tcPr>
                <w:p w14:paraId="5B035A9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无量纲</w:t>
                  </w:r>
                </w:p>
              </w:tc>
            </w:tr>
            <w:tr w14:paraId="44682E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976EA4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895" w:type="dxa"/>
                  <w:tcBorders>
                    <w:tl2br w:val="nil"/>
                    <w:tr2bl w:val="nil"/>
                  </w:tcBorders>
                  <w:vAlign w:val="center"/>
                </w:tcPr>
                <w:p w14:paraId="41BF3F2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悬浮物（SS）</w:t>
                  </w:r>
                </w:p>
              </w:tc>
              <w:tc>
                <w:tcPr>
                  <w:tcW w:w="2190" w:type="dxa"/>
                  <w:tcBorders>
                    <w:tl2br w:val="nil"/>
                    <w:tr2bl w:val="nil"/>
                  </w:tcBorders>
                  <w:vAlign w:val="center"/>
                </w:tcPr>
                <w:p w14:paraId="147CF42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1651" w:type="dxa"/>
                  <w:tcBorders>
                    <w:tl2br w:val="nil"/>
                    <w:tr2bl w:val="nil"/>
                  </w:tcBorders>
                  <w:vAlign w:val="center"/>
                </w:tcPr>
                <w:p w14:paraId="5B2760C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mg/L</w:t>
                  </w:r>
                </w:p>
              </w:tc>
            </w:tr>
            <w:tr w14:paraId="4370D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551B34A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895" w:type="dxa"/>
                  <w:tcBorders>
                    <w:tl2br w:val="nil"/>
                    <w:tr2bl w:val="nil"/>
                  </w:tcBorders>
                  <w:vAlign w:val="center"/>
                </w:tcPr>
                <w:p w14:paraId="10E2934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五日生化需氧量（BOD</w:t>
                  </w:r>
                  <w:r>
                    <w:rPr>
                      <w:rFonts w:hint="eastAsia"/>
                      <w:color w:val="000000" w:themeColor="text1"/>
                      <w:sz w:val="21"/>
                      <w:szCs w:val="21"/>
                      <w:vertAlign w:val="subscript"/>
                      <w14:textFill>
                        <w14:solidFill>
                          <w14:schemeClr w14:val="tx1"/>
                        </w14:solidFill>
                      </w14:textFill>
                    </w:rPr>
                    <w:t>5</w:t>
                  </w:r>
                  <w:r>
                    <w:rPr>
                      <w:rFonts w:hint="eastAsia"/>
                      <w:color w:val="000000" w:themeColor="text1"/>
                      <w:sz w:val="21"/>
                      <w:szCs w:val="21"/>
                      <w14:textFill>
                        <w14:solidFill>
                          <w14:schemeClr w14:val="tx1"/>
                        </w14:solidFill>
                      </w14:textFill>
                    </w:rPr>
                    <w:t>）</w:t>
                  </w:r>
                </w:p>
              </w:tc>
              <w:tc>
                <w:tcPr>
                  <w:tcW w:w="2190" w:type="dxa"/>
                  <w:tcBorders>
                    <w:tl2br w:val="nil"/>
                    <w:tr2bl w:val="nil"/>
                  </w:tcBorders>
                  <w:vAlign w:val="center"/>
                </w:tcPr>
                <w:p w14:paraId="2CF51E5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1651" w:type="dxa"/>
                  <w:tcBorders>
                    <w:tl2br w:val="nil"/>
                    <w:tr2bl w:val="nil"/>
                  </w:tcBorders>
                  <w:vAlign w:val="center"/>
                </w:tcPr>
                <w:p w14:paraId="28D7439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mg/L</w:t>
                  </w:r>
                </w:p>
              </w:tc>
            </w:tr>
            <w:tr w14:paraId="10CCE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3F05D33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2895" w:type="dxa"/>
                  <w:tcBorders>
                    <w:tl2br w:val="nil"/>
                    <w:tr2bl w:val="nil"/>
                  </w:tcBorders>
                  <w:vAlign w:val="center"/>
                </w:tcPr>
                <w:p w14:paraId="4A72AE7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化学需氧量（CODcr）</w:t>
                  </w:r>
                </w:p>
              </w:tc>
              <w:tc>
                <w:tcPr>
                  <w:tcW w:w="2190" w:type="dxa"/>
                  <w:tcBorders>
                    <w:tl2br w:val="nil"/>
                    <w:tr2bl w:val="nil"/>
                  </w:tcBorders>
                  <w:vAlign w:val="center"/>
                </w:tcPr>
                <w:p w14:paraId="5072E02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1651" w:type="dxa"/>
                  <w:tcBorders>
                    <w:tl2br w:val="nil"/>
                    <w:tr2bl w:val="nil"/>
                  </w:tcBorders>
                  <w:vAlign w:val="center"/>
                </w:tcPr>
                <w:p w14:paraId="30A1CEE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mg/L</w:t>
                  </w:r>
                </w:p>
              </w:tc>
            </w:tr>
            <w:tr w14:paraId="3BC77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09BC544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895" w:type="dxa"/>
                  <w:tcBorders>
                    <w:tl2br w:val="nil"/>
                    <w:tr2bl w:val="nil"/>
                  </w:tcBorders>
                  <w:vAlign w:val="center"/>
                </w:tcPr>
                <w:p w14:paraId="30CCD98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氨氮（NH</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-N）</w:t>
                  </w:r>
                </w:p>
              </w:tc>
              <w:tc>
                <w:tcPr>
                  <w:tcW w:w="2190" w:type="dxa"/>
                  <w:tcBorders>
                    <w:tl2br w:val="nil"/>
                    <w:tr2bl w:val="nil"/>
                  </w:tcBorders>
                  <w:vAlign w:val="center"/>
                </w:tcPr>
                <w:p w14:paraId="515D036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1651" w:type="dxa"/>
                  <w:tcBorders>
                    <w:tl2br w:val="nil"/>
                    <w:tr2bl w:val="nil"/>
                  </w:tcBorders>
                  <w:vAlign w:val="center"/>
                </w:tcPr>
                <w:p w14:paraId="2DD2D15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mg/L</w:t>
                  </w:r>
                </w:p>
              </w:tc>
            </w:tr>
          </w:tbl>
          <w:p w14:paraId="66F7FE97">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3、噪声</w:t>
            </w:r>
          </w:p>
          <w:p w14:paraId="2488A926">
            <w:pPr>
              <w:pStyle w:val="5"/>
              <w:spacing w:before="0" w:beforeLines="0" w:after="0" w:afterLines="0" w:line="360" w:lineRule="auto"/>
              <w:ind w:firstLine="480" w:firstLineChars="200"/>
              <w:jc w:val="both"/>
              <w:outlineLvl w:val="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施工期</w:t>
            </w:r>
          </w:p>
          <w:p w14:paraId="4966DE3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本项目施工期场界噪声执行《建筑施工场界环境噪声排放标准》（</w:t>
            </w:r>
            <w:r>
              <w:rPr>
                <w:rFonts w:cs="Times New Roman"/>
                <w:color w:val="000000" w:themeColor="text1"/>
                <w14:textFill>
                  <w14:solidFill>
                    <w14:schemeClr w14:val="tx1"/>
                  </w14:solidFill>
                </w14:textFill>
              </w:rPr>
              <w:t>GB12523-2011</w:t>
            </w:r>
            <w:r>
              <w:rPr>
                <w:rFonts w:hint="eastAsia" w:cs="Times New Roman"/>
                <w:color w:val="000000" w:themeColor="text1"/>
                <w14:textFill>
                  <w14:solidFill>
                    <w14:schemeClr w14:val="tx1"/>
                  </w14:solidFill>
                </w14:textFill>
              </w:rPr>
              <w:t>），具体见下表。</w:t>
            </w:r>
          </w:p>
          <w:p w14:paraId="33EE4454">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建筑施工场界噪声排放限值</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3029"/>
              <w:gridCol w:w="2497"/>
              <w:gridCol w:w="2497"/>
            </w:tblGrid>
            <w:tr w14:paraId="6BB227A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397" w:hRule="atLeast"/>
                <w:jc w:val="center"/>
              </w:trPr>
              <w:tc>
                <w:tcPr>
                  <w:tcW w:w="3051" w:type="dxa"/>
                  <w:tcBorders>
                    <w:tl2br w:val="nil"/>
                    <w:tr2bl w:val="nil"/>
                  </w:tcBorders>
                  <w:shd w:val="clear" w:color="auto" w:fill="FFFFFF"/>
                  <w:vAlign w:val="center"/>
                </w:tcPr>
                <w:p w14:paraId="5F2A9A25">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项目阶段</w:t>
                  </w:r>
                </w:p>
              </w:tc>
              <w:tc>
                <w:tcPr>
                  <w:tcW w:w="2514" w:type="dxa"/>
                  <w:tcBorders>
                    <w:tl2br w:val="nil"/>
                    <w:tr2bl w:val="nil"/>
                  </w:tcBorders>
                  <w:shd w:val="clear" w:color="auto" w:fill="FFFFFF"/>
                  <w:vAlign w:val="center"/>
                </w:tcPr>
                <w:p w14:paraId="0CFCC8D8">
                  <w:pPr>
                    <w:pStyle w:val="26"/>
                    <w:rPr>
                      <w:rFonts w:eastAsia="仿宋" w:cs="Times New Roman"/>
                      <w:color w:val="000000" w:themeColor="text1"/>
                      <w14:textFill>
                        <w14:solidFill>
                          <w14:schemeClr w14:val="tx1"/>
                        </w14:solidFill>
                      </w14:textFill>
                    </w:rPr>
                  </w:pPr>
                  <w:r>
                    <w:rPr>
                      <w:color w:val="000000" w:themeColor="text1"/>
                      <w14:textFill>
                        <w14:solidFill>
                          <w14:schemeClr w14:val="tx1"/>
                        </w14:solidFill>
                      </w14:textFill>
                    </w:rPr>
                    <w:t>昼间dB（A）</w:t>
                  </w:r>
                </w:p>
              </w:tc>
              <w:tc>
                <w:tcPr>
                  <w:tcW w:w="2514" w:type="dxa"/>
                  <w:tcBorders>
                    <w:tl2br w:val="nil"/>
                    <w:tr2bl w:val="nil"/>
                  </w:tcBorders>
                  <w:shd w:val="clear" w:color="auto" w:fill="FFFFFF"/>
                  <w:vAlign w:val="center"/>
                </w:tcPr>
                <w:p w14:paraId="1A5491DA">
                  <w:pPr>
                    <w:pStyle w:val="26"/>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夜</w:t>
                  </w:r>
                  <w:r>
                    <w:rPr>
                      <w:color w:val="000000" w:themeColor="text1"/>
                      <w14:textFill>
                        <w14:solidFill>
                          <w14:schemeClr w14:val="tx1"/>
                        </w14:solidFill>
                      </w14:textFill>
                    </w:rPr>
                    <w:t>间dB（A）</w:t>
                  </w:r>
                </w:p>
              </w:tc>
            </w:tr>
            <w:tr w14:paraId="66D4D82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397" w:hRule="atLeast"/>
                <w:jc w:val="center"/>
              </w:trPr>
              <w:tc>
                <w:tcPr>
                  <w:tcW w:w="3051" w:type="dxa"/>
                  <w:tcBorders>
                    <w:tl2br w:val="nil"/>
                    <w:tr2bl w:val="nil"/>
                  </w:tcBorders>
                  <w:shd w:val="clear" w:color="auto" w:fill="FFFFFF"/>
                  <w:vAlign w:val="center"/>
                </w:tcPr>
                <w:p w14:paraId="18CFD009">
                  <w:pPr>
                    <w:pStyle w:val="26"/>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tc>
              <w:tc>
                <w:tcPr>
                  <w:tcW w:w="2514" w:type="dxa"/>
                  <w:tcBorders>
                    <w:tl2br w:val="nil"/>
                    <w:tr2bl w:val="nil"/>
                  </w:tcBorders>
                  <w:shd w:val="clear" w:color="auto" w:fill="FFFFFF"/>
                  <w:vAlign w:val="center"/>
                </w:tcPr>
                <w:p w14:paraId="3456DD7C">
                  <w:pPr>
                    <w:pStyle w:val="26"/>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2514" w:type="dxa"/>
                  <w:tcBorders>
                    <w:tl2br w:val="nil"/>
                    <w:tr2bl w:val="nil"/>
                  </w:tcBorders>
                  <w:shd w:val="clear" w:color="auto" w:fill="FFFFFF"/>
                  <w:vAlign w:val="center"/>
                </w:tcPr>
                <w:p w14:paraId="63E4A380">
                  <w:pPr>
                    <w:pStyle w:val="26"/>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bl>
          <w:p w14:paraId="071E9CF7">
            <w:pPr>
              <w:pStyle w:val="5"/>
              <w:spacing w:before="0" w:beforeLines="0" w:after="0" w:afterLines="0" w:line="360" w:lineRule="auto"/>
              <w:jc w:val="both"/>
              <w:outlineLvl w:val="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运营期</w:t>
            </w:r>
          </w:p>
          <w:p w14:paraId="72288C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w:t>
            </w:r>
            <w:r>
              <w:rPr>
                <w:color w:val="000000" w:themeColor="text1"/>
                <w14:textFill>
                  <w14:solidFill>
                    <w14:schemeClr w14:val="tx1"/>
                  </w14:solidFill>
                </w14:textFill>
              </w:rPr>
              <w:t>期厂界昼夜噪声执行《工业企业厂界环境噪声排放标准》（GB 12348-2008）3类标准</w:t>
            </w:r>
            <w:r>
              <w:rPr>
                <w:rFonts w:hint="eastAsia"/>
                <w:color w:val="000000" w:themeColor="text1"/>
                <w14:textFill>
                  <w14:solidFill>
                    <w14:schemeClr w14:val="tx1"/>
                  </w14:solidFill>
                </w14:textFill>
              </w:rPr>
              <w:t>，具体标准限值见下表。</w:t>
            </w:r>
          </w:p>
          <w:p w14:paraId="139E5253">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工业企业厂界环境噪声排放标准</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575"/>
              <w:gridCol w:w="1365"/>
              <w:gridCol w:w="3466"/>
            </w:tblGrid>
            <w:tr w14:paraId="2E413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59E0BA0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声功能区类别</w:t>
                  </w:r>
                </w:p>
              </w:tc>
              <w:tc>
                <w:tcPr>
                  <w:tcW w:w="1575" w:type="dxa"/>
                  <w:tcBorders>
                    <w:tl2br w:val="nil"/>
                    <w:tr2bl w:val="nil"/>
                  </w:tcBorders>
                  <w:vAlign w:val="center"/>
                </w:tcPr>
                <w:p w14:paraId="0074E0AB">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适用范围</w:t>
                  </w:r>
                </w:p>
              </w:tc>
              <w:tc>
                <w:tcPr>
                  <w:tcW w:w="1365" w:type="dxa"/>
                  <w:tcBorders>
                    <w:tl2br w:val="nil"/>
                    <w:tr2bl w:val="nil"/>
                  </w:tcBorders>
                  <w:vAlign w:val="center"/>
                </w:tcPr>
                <w:p w14:paraId="04DECE06">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标准限值</w:t>
                  </w:r>
                </w:p>
              </w:tc>
              <w:tc>
                <w:tcPr>
                  <w:tcW w:w="3466" w:type="dxa"/>
                  <w:tcBorders>
                    <w:tl2br w:val="nil"/>
                    <w:tr2bl w:val="nil"/>
                  </w:tcBorders>
                  <w:vAlign w:val="center"/>
                </w:tcPr>
                <w:p w14:paraId="0477B4C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执行标准</w:t>
                  </w:r>
                </w:p>
              </w:tc>
            </w:tr>
            <w:tr w14:paraId="5781D1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542A289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3类</w:t>
                  </w:r>
                </w:p>
              </w:tc>
              <w:tc>
                <w:tcPr>
                  <w:tcW w:w="1575" w:type="dxa"/>
                  <w:tcBorders>
                    <w:tl2br w:val="nil"/>
                    <w:tr2bl w:val="nil"/>
                  </w:tcBorders>
                  <w:vAlign w:val="center"/>
                </w:tcPr>
                <w:p w14:paraId="7C52367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项目所在区域</w:t>
                  </w:r>
                </w:p>
              </w:tc>
              <w:tc>
                <w:tcPr>
                  <w:tcW w:w="1365" w:type="dxa"/>
                  <w:tcBorders>
                    <w:tl2br w:val="nil"/>
                    <w:tr2bl w:val="nil"/>
                  </w:tcBorders>
                  <w:vAlign w:val="center"/>
                </w:tcPr>
                <w:p w14:paraId="32B5AC1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65dB(A)</w:t>
                  </w:r>
                </w:p>
              </w:tc>
              <w:tc>
                <w:tcPr>
                  <w:tcW w:w="3466" w:type="dxa"/>
                  <w:tcBorders>
                    <w:tl2br w:val="nil"/>
                    <w:tr2bl w:val="nil"/>
                  </w:tcBorders>
                  <w:vAlign w:val="center"/>
                </w:tcPr>
                <w:p w14:paraId="4D5CAEC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《工业企业厂界环境噪声排放标准》（GB12348-2008）中3类标准</w:t>
                  </w:r>
                </w:p>
              </w:tc>
            </w:tr>
          </w:tbl>
          <w:p w14:paraId="73ED40C9">
            <w:pPr>
              <w:adjustRightInd w:val="0"/>
              <w:snapToGrid w:val="0"/>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4、固体废物</w:t>
            </w:r>
          </w:p>
          <w:p w14:paraId="3FB9A635">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生活垃圾处置执行《中华人民共和国固体废物污染环境防治法》（2020年版）、《北京市生活垃圾管理条例》（2020年5月1日起施行）中的相关规定。</w:t>
            </w:r>
          </w:p>
          <w:p w14:paraId="7CFABABD">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一般工业固体废物处置执行《中华人民共和国固体废物污染环境防治法》（2020年9月1日起施行）相关规定，其贮存过程应满足相应防渗漏、防雨淋、防扬尘等环境保护要求。</w:t>
            </w:r>
          </w:p>
          <w:p w14:paraId="3FCAAB52">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中的有关规定。</w:t>
            </w:r>
          </w:p>
        </w:tc>
      </w:tr>
      <w:tr w14:paraId="04D1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33058ADA">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总量控制指标</w:t>
            </w:r>
          </w:p>
        </w:tc>
        <w:tc>
          <w:tcPr>
            <w:tcW w:w="8239" w:type="dxa"/>
            <w:vAlign w:val="center"/>
          </w:tcPr>
          <w:p w14:paraId="0B4C38C4">
            <w:pPr>
              <w:adjustRightInd w:val="0"/>
              <w:snapToGrid w:val="0"/>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1、总量申请依据</w:t>
            </w:r>
          </w:p>
          <w:p w14:paraId="22EA5690">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保护部《建设项目主要污染物排放总量指标审核及管理办法》（环发[2014]197号）、《北京市环境保护局关于转发环境保护部＜建设项目主要污染物排放总量指标审核及管理暂行办法＞的通知》（京环发[2015]19号）及《北京市环境保护局关于建设项目主要污染物排放总量指标审核及管理的补充通知》（京环发[2016]24号），北京市实施建设项目总量指标审核及管理的污染物包括：二氧化硫、氮氧化物、烟粉尘、挥发性有机物（工业及汽车维修行业）、化学需氧量、氨氮。</w:t>
            </w:r>
          </w:p>
          <w:p w14:paraId="10A50ABE">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原北京市环境保护局关于《建设项目主要污染物排放总量指标审核及管理的补充通知》（京环发[2016]24号）附件1，“为了使污染物源强的核算更接近实际排放情况，在污染物源强核算过程中优先使用实测法，类比分析法、物料衡算法及排污系数法次之。同时在核算过程中应选择不少于两种方法对污染物源强产生量进行核算，当核算的污染物排放总量差别较大时还应继续采用其他方法进行校验，以便得到更接近实际情况的排放量核算数据”。</w:t>
            </w:r>
          </w:p>
          <w:p w14:paraId="0183FCA7">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结合项目特征，项目需申请的总量控制指标为：化学需氧量、氨氮、</w:t>
            </w:r>
            <w:r>
              <w:rPr>
                <w:rFonts w:hint="eastAsia"/>
                <w:color w:val="000000" w:themeColor="text1"/>
                <w:lang w:val="en-US" w:eastAsia="zh-CN"/>
                <w14:textFill>
                  <w14:solidFill>
                    <w14:schemeClr w14:val="tx1"/>
                  </w14:solidFill>
                </w14:textFill>
              </w:rPr>
              <w:t>烟粉尘</w:t>
            </w:r>
            <w:r>
              <w:rPr>
                <w:rFonts w:hint="eastAsia"/>
                <w:color w:val="000000" w:themeColor="text1"/>
                <w14:textFill>
                  <w14:solidFill>
                    <w14:schemeClr w14:val="tx1"/>
                  </w14:solidFill>
                </w14:textFill>
              </w:rPr>
              <w:t>。</w:t>
            </w:r>
          </w:p>
          <w:p w14:paraId="7B90D21A">
            <w:pPr>
              <w:adjustRightInd w:val="0"/>
              <w:snapToGrid w:val="0"/>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2、总量控制指标核算</w:t>
            </w:r>
          </w:p>
          <w:p w14:paraId="53B4DF29">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（1）大气污染物</w:t>
            </w:r>
          </w:p>
          <w:p w14:paraId="0D8031A1">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本项目需要进行总量控制的大气污染物为</w:t>
            </w:r>
            <w:r>
              <w:rPr>
                <w:rFonts w:hint="eastAsia"/>
                <w:color w:val="000000" w:themeColor="text1"/>
                <w:lang w:val="en-US" w:eastAsia="zh-CN"/>
                <w14:textFill>
                  <w14:solidFill>
                    <w14:schemeClr w14:val="tx1"/>
                  </w14:solidFill>
                </w14:textFill>
              </w:rPr>
              <w:t>烟粉尘</w:t>
            </w:r>
            <w:r>
              <w:rPr>
                <w:rFonts w:hint="eastAsia"/>
                <w:color w:val="000000" w:themeColor="text1"/>
                <w14:textFill>
                  <w14:solidFill>
                    <w14:schemeClr w14:val="tx1"/>
                  </w14:solidFill>
                </w14:textFill>
              </w:rPr>
              <w:t>。</w:t>
            </w:r>
          </w:p>
          <w:p w14:paraId="67556FF8">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1）类比法</w:t>
            </w:r>
          </w:p>
          <w:p w14:paraId="5554A8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根据第四章工程分析，本项目类比北京市建设工程质量第六检测所有限公司</w:t>
            </w:r>
            <w:r>
              <w:rPr>
                <w:rFonts w:hint="eastAsia"/>
                <w:color w:val="000000" w:themeColor="text1"/>
                <w:lang w:val="en-US" w:eastAsia="zh-CN"/>
                <w14:textFill>
                  <w14:solidFill>
                    <w14:schemeClr w14:val="tx1"/>
                  </w14:solidFill>
                </w14:textFill>
              </w:rPr>
              <w:t>密云区</w:t>
            </w:r>
            <w:r>
              <w:rPr>
                <w:rFonts w:hint="eastAsia"/>
                <w:color w:val="000000" w:themeColor="text1"/>
                <w14:textFill>
                  <w14:solidFill>
                    <w14:schemeClr w14:val="tx1"/>
                  </w14:solidFill>
                </w14:textFill>
              </w:rPr>
              <w:t>的《建材检测</w:t>
            </w:r>
            <w:r>
              <w:rPr>
                <w:rFonts w:hint="eastAsia"/>
                <w:color w:val="000000" w:themeColor="text1"/>
                <w:lang w:eastAsia="zh-CN"/>
                <w14:textFill>
                  <w14:solidFill>
                    <w14:schemeClr w14:val="tx1"/>
                  </w14:solidFill>
                </w14:textFill>
              </w:rPr>
              <w:t>试验室</w:t>
            </w:r>
            <w:r>
              <w:rPr>
                <w:rFonts w:hint="eastAsia"/>
                <w:color w:val="000000" w:themeColor="text1"/>
                <w14:textFill>
                  <w14:solidFill>
                    <w14:schemeClr w14:val="tx1"/>
                  </w14:solidFill>
                </w14:textFill>
              </w:rPr>
              <w:t>》的检测报告得出结果。项目总量控制指标排放量为：</w:t>
            </w:r>
            <w:r>
              <w:rPr>
                <w:rFonts w:hint="eastAsia"/>
                <w:color w:val="000000" w:themeColor="text1"/>
                <w:lang w:val="en-US" w:eastAsia="zh-CN"/>
                <w14:textFill>
                  <w14:solidFill>
                    <w14:schemeClr w14:val="tx1"/>
                  </w14:solidFill>
                </w14:textFill>
              </w:rPr>
              <w:t>烟粉尘0.0023</w:t>
            </w:r>
            <w:r>
              <w:rPr>
                <w:rFonts w:hint="eastAsia"/>
                <w:color w:val="000000" w:themeColor="text1"/>
                <w14:textFill>
                  <w14:solidFill>
                    <w14:schemeClr w14:val="tx1"/>
                  </w14:solidFill>
                </w14:textFill>
              </w:rPr>
              <w:t>t/a。</w:t>
            </w:r>
          </w:p>
          <w:p w14:paraId="638207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2）排污系数法</w:t>
            </w:r>
          </w:p>
          <w:p w14:paraId="72DF1BA4">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本项目运行过程中燃料燃烧、样品燃烧、样品成型切割过程均会产生颗粒物。</w:t>
            </w:r>
          </w:p>
          <w:p w14:paraId="1E75E5B4">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val="en-US" w:eastAsia="zh-CN"/>
                <w14:textFill>
                  <w14:solidFill>
                    <w14:schemeClr w14:val="tx1"/>
                  </w14:solidFill>
                </w14:textFill>
              </w:rPr>
              <w:t>燃料燃烧</w:t>
            </w:r>
          </w:p>
          <w:p w14:paraId="74C77CD8">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实验设备的燃料为甲烷、丙烷，试验结尾使用的凋零气体是氮气。甲烷、丙烷属于清洁能源，产生的大气污染物很少。项目使用的丙烷不含硫份。参照《环境保护实用数据手册》（胡名操著，机械工业出版社出版）“表2-69 典型的气体燃料燃烧时产生的污染物的数量”，</w:t>
            </w:r>
            <w:r>
              <w:rPr>
                <w:rFonts w:hint="eastAsia"/>
                <w:color w:val="000000" w:themeColor="text1"/>
                <w:highlight w:val="none"/>
                <w:lang w:val="en-US" w:eastAsia="zh-CN"/>
                <w14:textFill>
                  <w14:solidFill>
                    <w14:schemeClr w14:val="tx1"/>
                  </w14:solidFill>
                </w14:textFill>
              </w:rPr>
              <w:t>甲烷、丙烷燃烧颗粒物产污系数分别为80~240g/1000Nm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、0.22g/L</w:t>
            </w:r>
          </w:p>
          <w:p w14:paraId="38B74D51">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本项目甲烷用量14.66m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/a、丙烷用量</w:t>
            </w:r>
            <w:r>
              <w:rPr>
                <w:rFonts w:hint="eastAsia"/>
                <w:color w:val="000000" w:themeColor="text1"/>
                <w:lang w:val="en-US" w:eastAsia="zh-CN"/>
                <w14:textFill>
                  <w14:solidFill>
                    <w14:schemeClr w14:val="tx1"/>
                  </w14:solidFill>
                </w14:textFill>
              </w:rPr>
              <w:t>0.815</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445.29</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），则甲烷、丙烷燃烧颗粒物产生量分别为0.0004kg/a、0.309kg/a，燃料燃烧产生颗粒物合计0.3094kg/a。</w:t>
            </w:r>
          </w:p>
          <w:p w14:paraId="502E54BF">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样品燃烧</w:t>
            </w:r>
          </w:p>
          <w:p w14:paraId="7DC1B00C">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《排放源统计调查产排污核算方法和系数手册》（公告2021年第24号）中“4430 工业锅炉”，生物质燃料层燃炉颗粒物产生系数为0.5千克/吨-原料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层燃炉是燃料在炉排上燃烧的锅炉，工作时将生物质燃料置于固定或移动的炉排上，形成均匀的、有一定厚度的料层，燃料静止不动，本项目试验时将样品固定在试验支架上，样品下部开启燃气燃烧，燃烧机理相似。因此，生物质燃料层燃炉颗粒物产生系数可用于本项目污染源强计算。</w:t>
            </w:r>
            <w:r>
              <w:rPr>
                <w:rFonts w:hint="eastAsia"/>
                <w:color w:val="000000" w:themeColor="text1"/>
                <w:highlight w:val="none"/>
                <w14:textFill>
                  <w14:solidFill>
                    <w14:schemeClr w14:val="tx1"/>
                  </w14:solidFill>
                </w14:textFill>
              </w:rPr>
              <w:t>根据建设单位提供的资料，难燃性材料中可燃性组分的含量要求低于3%，本项目年检测样品中难燃性样品</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t/a，纺织装饰物、窗帘等可燃性样品0.</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1t/a，则本项目样品燃烧颗粒物产生量约为</w:t>
            </w:r>
            <w:r>
              <w:rPr>
                <w:rFonts w:hint="eastAsia"/>
                <w:color w:val="000000" w:themeColor="text1"/>
                <w:highlight w:val="none"/>
                <w:lang w:val="en-US" w:eastAsia="zh-CN"/>
                <w14:textFill>
                  <w14:solidFill>
                    <w14:schemeClr w14:val="tx1"/>
                  </w14:solidFill>
                </w14:textFill>
              </w:rPr>
              <w:t>0.035</w:t>
            </w:r>
            <w:r>
              <w:rPr>
                <w:rFonts w:hint="eastAsia"/>
                <w:color w:val="000000" w:themeColor="text1"/>
                <w:highlight w:val="none"/>
                <w14:textFill>
                  <w14:solidFill>
                    <w14:schemeClr w14:val="tx1"/>
                  </w14:solidFill>
                </w14:textFill>
              </w:rPr>
              <w:t>kg/a。</w:t>
            </w:r>
          </w:p>
          <w:p w14:paraId="1298086F">
            <w:pPr>
              <w:ind w:firstLine="48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成型切割</w:t>
            </w:r>
          </w:p>
          <w:p w14:paraId="1F2F133A">
            <w:pPr>
              <w:ind w:firstLine="480"/>
              <w:rPr>
                <w:rFonts w:hint="eastAsia"/>
                <w:color w:val="auto"/>
                <w:highlight w:val="none"/>
              </w:rPr>
            </w:pPr>
            <w:r>
              <w:rPr>
                <w:rFonts w:hint="eastAsia"/>
                <w:color w:val="auto"/>
                <w:highlight w:val="none"/>
              </w:rPr>
              <w:t>《排放源统计调查产排污核算方法和系数手册》（公告2021年第24号）中“3024 轻质建筑材料制品制造行业系数表”，纸面石膏板切割成型工段颗粒物产生系数为12.3千克/吨-产品，根据建设单位提供的资料，本项目年检测板材</w:t>
            </w:r>
            <w:r>
              <w:rPr>
                <w:rFonts w:hint="eastAsia"/>
                <w:color w:val="auto"/>
                <w:highlight w:val="none"/>
                <w:lang w:val="en-US" w:eastAsia="zh-CN"/>
              </w:rPr>
              <w:t>2</w:t>
            </w:r>
            <w:r>
              <w:rPr>
                <w:rFonts w:hint="eastAsia"/>
                <w:color w:val="auto"/>
                <w:highlight w:val="none"/>
              </w:rPr>
              <w:t>吨/a，则本项目成型过程中颗粒物产生量约为</w:t>
            </w:r>
            <w:r>
              <w:rPr>
                <w:rFonts w:hint="eastAsia"/>
                <w:color w:val="auto"/>
                <w:highlight w:val="none"/>
                <w:lang w:val="en-US" w:eastAsia="zh-CN"/>
              </w:rPr>
              <w:t>24.6</w:t>
            </w:r>
            <w:r>
              <w:rPr>
                <w:rFonts w:hint="eastAsia"/>
                <w:color w:val="auto"/>
                <w:highlight w:val="none"/>
              </w:rPr>
              <w:t>kg/a。</w:t>
            </w:r>
          </w:p>
          <w:p w14:paraId="3470067A">
            <w:pPr>
              <w:ind w:firstLine="480"/>
              <w:rPr>
                <w:rFonts w:hint="eastAsia"/>
                <w:color w:val="auto"/>
                <w:highlight w:val="none"/>
                <w:lang w:val="en-US" w:eastAsia="zh-CN"/>
              </w:rPr>
            </w:pPr>
            <w:r>
              <w:rPr>
                <w:rFonts w:hint="eastAsia"/>
                <w:color w:val="auto"/>
                <w:highlight w:val="none"/>
              </w:rPr>
              <w:t>综上，本项目燃烧实验合计颗粒物产生量</w:t>
            </w:r>
            <w:r>
              <w:rPr>
                <w:rFonts w:hint="eastAsia"/>
                <w:color w:val="auto"/>
                <w:highlight w:val="none"/>
                <w:lang w:val="en-US" w:eastAsia="zh-CN"/>
              </w:rPr>
              <w:t>24.9444</w:t>
            </w:r>
            <w:r>
              <w:rPr>
                <w:rFonts w:hint="eastAsia"/>
                <w:color w:val="auto"/>
                <w:highlight w:val="none"/>
              </w:rPr>
              <w:t>kg/a，项目废气经</w:t>
            </w:r>
            <w:r>
              <w:rPr>
                <w:rFonts w:hint="eastAsia"/>
                <w:color w:val="auto"/>
                <w:highlight w:val="none"/>
                <w:lang w:val="en-US" w:eastAsia="zh-CN"/>
              </w:rPr>
              <w:t>1</w:t>
            </w:r>
            <w:r>
              <w:rPr>
                <w:rFonts w:hint="eastAsia"/>
                <w:color w:val="auto"/>
                <w:highlight w:val="none"/>
              </w:rPr>
              <w:t>套“布袋除尘器+活性炭吸附”TA001装置净化后排放（DA001）。参照《第二次全国污染源普查工业污染源产排污系数手册（2019修订）》，布袋除尘器对颗粒物的净化效率为95%~98%，项目保守起见按最低95%计算。则燃烧废气颗粒物排放量约为0.00</w:t>
            </w:r>
            <w:r>
              <w:rPr>
                <w:rFonts w:hint="eastAsia"/>
                <w:color w:val="auto"/>
                <w:highlight w:val="none"/>
                <w:lang w:val="en-US" w:eastAsia="zh-CN"/>
              </w:rPr>
              <w:t>13</w:t>
            </w:r>
            <w:r>
              <w:rPr>
                <w:rFonts w:hint="eastAsia"/>
                <w:color w:val="auto"/>
                <w:highlight w:val="none"/>
              </w:rPr>
              <w:t>t/a。</w:t>
            </w:r>
          </w:p>
          <w:p w14:paraId="0D6438A9">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对比类比法和排污系数法污染源核算结果，污染物产生量差距不大，不需要用第三种方法进行校验。</w:t>
            </w:r>
          </w:p>
          <w:p w14:paraId="3E6929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类比分析法的数据来源是</w:t>
            </w:r>
            <w:r>
              <w:rPr>
                <w:rFonts w:hint="eastAsia"/>
                <w:color w:val="000000" w:themeColor="text1"/>
                <w:lang w:val="en-US" w:eastAsia="zh-CN"/>
                <w14:textFill>
                  <w14:solidFill>
                    <w14:schemeClr w14:val="tx1"/>
                  </w14:solidFill>
                </w14:textFill>
              </w:rPr>
              <w:t>同类型企业</w:t>
            </w:r>
            <w:r>
              <w:rPr>
                <w:rFonts w:hint="eastAsia"/>
                <w:color w:val="000000" w:themeColor="text1"/>
                <w14:textFill>
                  <w14:solidFill>
                    <w14:schemeClr w14:val="tx1"/>
                  </w14:solidFill>
                </w14:textFill>
              </w:rPr>
              <w:t>在本市密云地区的同类项目，燃料类别、检测设备、样品类别、检测规模</w:t>
            </w:r>
            <w:r>
              <w:rPr>
                <w:rFonts w:hint="eastAsia"/>
                <w:color w:val="000000" w:themeColor="text1"/>
                <w:lang w:val="en-US" w:eastAsia="zh-CN"/>
                <w14:textFill>
                  <w14:solidFill>
                    <w14:schemeClr w14:val="tx1"/>
                  </w14:solidFill>
                </w14:textFill>
              </w:rPr>
              <w:t>相近</w:t>
            </w:r>
            <w:r>
              <w:rPr>
                <w:rFonts w:hint="eastAsia"/>
                <w:color w:val="000000" w:themeColor="text1"/>
                <w14:textFill>
                  <w14:solidFill>
                    <w14:schemeClr w14:val="tx1"/>
                  </w14:solidFill>
                </w14:textFill>
              </w:rPr>
              <w:t>，本次评价采用类比法的结果作为总量控制指标的参数，即</w:t>
            </w:r>
            <w:r>
              <w:rPr>
                <w:rFonts w:hint="eastAsia"/>
                <w:color w:val="000000" w:themeColor="text1"/>
                <w:lang w:val="en-US" w:eastAsia="zh-CN"/>
                <w14:textFill>
                  <w14:solidFill>
                    <w14:schemeClr w14:val="tx1"/>
                  </w14:solidFill>
                </w14:textFill>
              </w:rPr>
              <w:t>烟粉尘</w:t>
            </w: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t/a。</w:t>
            </w:r>
          </w:p>
          <w:p w14:paraId="7B7CD0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（2）水污染物</w:t>
            </w:r>
          </w:p>
          <w:p w14:paraId="261FA4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项目排放</w:t>
            </w:r>
            <w:r>
              <w:rPr>
                <w:rFonts w:hint="eastAsia"/>
                <w:color w:val="000000" w:themeColor="text1"/>
                <w:lang w:val="en-US" w:eastAsia="zh-CN"/>
                <w14:textFill>
                  <w14:solidFill>
                    <w14:schemeClr w14:val="tx1"/>
                  </w14:solidFill>
                </w14:textFill>
              </w:rPr>
              <w:t>废水主要为</w:t>
            </w:r>
            <w:r>
              <w:rPr>
                <w:rFonts w:hint="eastAsia"/>
                <w:color w:val="000000" w:themeColor="text1"/>
                <w14:textFill>
                  <w14:solidFill>
                    <w14:schemeClr w14:val="tx1"/>
                  </w14:solidFill>
                </w14:textFill>
              </w:rPr>
              <w:t>生活污水</w:t>
            </w:r>
            <w:r>
              <w:rPr>
                <w:rFonts w:hint="eastAsia"/>
                <w:color w:val="000000" w:themeColor="text1"/>
                <w:lang w:val="en-US" w:eastAsia="zh-CN"/>
                <w14:textFill>
                  <w14:solidFill>
                    <w14:schemeClr w14:val="tx1"/>
                  </w14:solidFill>
                </w14:textFill>
              </w:rPr>
              <w:t>和检测废水</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废水排放量为686.25m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w:t>
            </w:r>
            <w:r>
              <w:rPr>
                <w:rFonts w:hint="eastAsia"/>
                <w:color w:val="000000" w:themeColor="text1"/>
                <w:lang w:val="en-US" w:eastAsia="zh-CN"/>
                <w14:textFill>
                  <w14:solidFill>
                    <w14:schemeClr w14:val="tx1"/>
                  </w14:solidFill>
                </w14:textFill>
              </w:rPr>
              <w:t>园区</w:t>
            </w:r>
            <w:r>
              <w:rPr>
                <w:rFonts w:hint="eastAsia"/>
                <w:color w:val="000000" w:themeColor="text1"/>
                <w14:textFill>
                  <w14:solidFill>
                    <w14:schemeClr w14:val="tx1"/>
                  </w14:solidFill>
                </w14:textFill>
              </w:rPr>
              <w:t>化粪池预处理达</w:t>
            </w:r>
            <w:r>
              <w:rPr>
                <w:rFonts w:hint="eastAsia"/>
                <w:color w:val="000000" w:themeColor="text1"/>
                <w:lang w:val="en-US" w:eastAsia="zh-CN"/>
                <w14:textFill>
                  <w14:solidFill>
                    <w14:schemeClr w14:val="tx1"/>
                  </w14:solidFill>
                </w14:textFill>
              </w:rPr>
              <w:t>到</w:t>
            </w:r>
            <w:r>
              <w:rPr>
                <w:rFonts w:hint="eastAsia"/>
                <w:color w:val="000000" w:themeColor="text1"/>
                <w14:textFill>
                  <w14:solidFill>
                    <w14:schemeClr w14:val="tx1"/>
                  </w14:solidFill>
                </w14:textFill>
              </w:rPr>
              <w:t>《水污染物综合排放标准》（DB11/307-2013）中“表3 排入公共污水处理系统的水污染物排放限值”后通过</w:t>
            </w:r>
            <w:r>
              <w:rPr>
                <w:rFonts w:hint="eastAsia"/>
                <w:color w:val="000000" w:themeColor="text1"/>
                <w:lang w:val="en-US" w:eastAsia="zh-CN"/>
                <w14:textFill>
                  <w14:solidFill>
                    <w14:schemeClr w14:val="tx1"/>
                  </w14:solidFill>
                </w14:textFill>
              </w:rPr>
              <w:t>园区</w:t>
            </w:r>
            <w:r>
              <w:rPr>
                <w:rFonts w:hint="eastAsia"/>
                <w:color w:val="000000" w:themeColor="text1"/>
                <w14:textFill>
                  <w14:solidFill>
                    <w14:schemeClr w14:val="tx1"/>
                  </w14:solidFill>
                </w14:textFill>
              </w:rPr>
              <w:t>总排污口纳管排放，最终经</w:t>
            </w:r>
            <w:r>
              <w:rPr>
                <w:rFonts w:hint="eastAsia"/>
                <w:color w:val="000000" w:themeColor="text1"/>
                <w:lang w:eastAsia="zh-CN"/>
                <w14:textFill>
                  <w14:solidFill>
                    <w14:schemeClr w14:val="tx1"/>
                  </w14:solidFill>
                </w14:textFill>
              </w:rPr>
              <w:t>北京轻纺服装产业基地应急污水处理站</w:t>
            </w:r>
            <w:r>
              <w:rPr>
                <w:rFonts w:hint="eastAsia"/>
                <w:color w:val="000000" w:themeColor="text1"/>
                <w14:textFill>
                  <w14:solidFill>
                    <w14:schemeClr w14:val="tx1"/>
                  </w14:solidFill>
                </w14:textFill>
              </w:rPr>
              <w:t>处理达</w:t>
            </w:r>
            <w:r>
              <w:rPr>
                <w:rFonts w:hint="eastAsia"/>
                <w:color w:val="000000" w:themeColor="text1"/>
                <w:lang w:val="en-US" w:eastAsia="zh-CN"/>
                <w14:textFill>
                  <w14:solidFill>
                    <w14:schemeClr w14:val="tx1"/>
                  </w14:solidFill>
                </w14:textFill>
              </w:rPr>
              <w:t>到</w:t>
            </w:r>
            <w:r>
              <w:rPr>
                <w:rFonts w:hint="eastAsia"/>
                <w:color w:val="000000" w:themeColor="text1"/>
                <w14:textFill>
                  <w14:solidFill>
                    <w14:schemeClr w14:val="tx1"/>
                  </w14:solidFill>
                </w14:textFill>
              </w:rPr>
              <w:t>《城镇污水处理厂水污染物排放标准》（DB11/890-2012）中“表1 新（改、扩）建城镇污水处理厂基本控制项目排放限值”的B标准后外排。</w:t>
            </w:r>
          </w:p>
          <w:p w14:paraId="3F2C29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w:t>
            </w:r>
            <w:r>
              <w:rPr>
                <w:rFonts w:hint="eastAsia"/>
                <w:color w:val="000000" w:themeColor="text1"/>
                <w:lang w:eastAsia="zh-CN"/>
                <w14:textFill>
                  <w14:solidFill>
                    <w14:schemeClr w14:val="tx1"/>
                  </w14:solidFill>
                </w14:textFill>
              </w:rPr>
              <w:t>北京轻纺服装产业基地应急污水处理站</w:t>
            </w:r>
            <w:r>
              <w:rPr>
                <w:rFonts w:hint="eastAsia"/>
                <w:color w:val="000000" w:themeColor="text1"/>
                <w14:textFill>
                  <w14:solidFill>
                    <w14:schemeClr w14:val="tx1"/>
                  </w14:solidFill>
                </w14:textFill>
              </w:rPr>
              <w:t>处理，本项目生活污水的化学需氧量排放浓度≤30mg/L，氨氮排放浓度</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1.5（2.5）mg/L，则本项目水污染物排放量如下：</w:t>
            </w:r>
          </w:p>
          <w:p w14:paraId="539363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（1）化学需氧量排放量=废水排放量（m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val="en-US" w:eastAsia="zh-CN"/>
                <w14:textFill>
                  <w14:solidFill>
                    <w14:schemeClr w14:val="tx1"/>
                  </w14:solidFill>
                </w14:textFill>
              </w:rPr>
              <w:t>核算污染物浓度限值</w:t>
            </w:r>
            <w:r>
              <w:rPr>
                <w:rFonts w:hint="eastAsia"/>
                <w:color w:val="000000" w:themeColor="text1"/>
                <w14:textFill>
                  <w14:solidFill>
                    <w14:schemeClr w14:val="tx1"/>
                  </w14:solidFill>
                </w14:textFill>
              </w:rPr>
              <w:t>（mg/L）×10</w:t>
            </w:r>
            <w:r>
              <w:rPr>
                <w:rFonts w:hint="eastAsia"/>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（t·L·mg</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686.25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/a×30mg</w:t>
            </w:r>
            <w:r>
              <w:rPr>
                <w:rFonts w:cs="Times New Roman"/>
                <w:color w:val="000000" w:themeColor="text1"/>
                <w14:textFill>
                  <w14:solidFill>
                    <w14:schemeClr w14:val="tx1"/>
                  </w14:solidFill>
                </w14:textFill>
              </w:rPr>
              <w:t>/L×10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（t·L·mg</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206</w:t>
            </w:r>
            <w:r>
              <w:rPr>
                <w:rFonts w:hint="eastAsia"/>
                <w:color w:val="000000" w:themeColor="text1"/>
                <w14:textFill>
                  <w14:solidFill>
                    <w14:schemeClr w14:val="tx1"/>
                  </w14:solidFill>
                </w14:textFill>
              </w:rPr>
              <w:t>t/a</w:t>
            </w:r>
          </w:p>
          <w:p w14:paraId="7784C43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（2）氨氮排放量=废水排放量（m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hint="eastAsia"/>
                <w:color w:val="000000" w:themeColor="text1"/>
                <w:lang w:val="en-US" w:eastAsia="zh-CN"/>
                <w14:textFill>
                  <w14:solidFill>
                    <w14:schemeClr w14:val="tx1"/>
                  </w14:solidFill>
                </w14:textFill>
              </w:rPr>
              <w:t>核算污染物浓度限值</w:t>
            </w:r>
            <w:r>
              <w:rPr>
                <w:rFonts w:cs="Times New Roman"/>
                <w:color w:val="000000" w:themeColor="text1"/>
                <w14:textFill>
                  <w14:solidFill>
                    <w14:schemeClr w14:val="tx1"/>
                  </w14:solidFill>
                </w14:textFill>
              </w:rPr>
              <w:t>（mg/L）×10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（t·L·mg</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686.25</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/a×（1.5mg/L×8/12+2.5mg/L×4/12）×10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（t·L·mg</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13</w:t>
            </w:r>
            <w:r>
              <w:rPr>
                <w:rFonts w:cs="Times New Roman"/>
                <w:color w:val="000000" w:themeColor="text1"/>
                <w14:textFill>
                  <w14:solidFill>
                    <w14:schemeClr w14:val="tx1"/>
                  </w14:solidFill>
                </w14:textFill>
              </w:rPr>
              <w:t>t/a</w:t>
            </w:r>
          </w:p>
          <w:p w14:paraId="73848C40">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综上，项目水污染物排放量</w:t>
            </w:r>
            <w:r>
              <w:rPr>
                <w:rFonts w:hint="eastAsia"/>
                <w:color w:val="000000" w:themeColor="text1"/>
                <w14:textFill>
                  <w14:solidFill>
                    <w14:schemeClr w14:val="tx1"/>
                  </w14:solidFill>
                </w14:textFill>
              </w:rPr>
              <w:t>为化学需氧量排放量0.0</w:t>
            </w:r>
            <w:r>
              <w:rPr>
                <w:rFonts w:hint="eastAsia"/>
                <w:color w:val="000000" w:themeColor="text1"/>
                <w:lang w:val="en-US" w:eastAsia="zh-CN"/>
                <w14:textFill>
                  <w14:solidFill>
                    <w14:schemeClr w14:val="tx1"/>
                  </w14:solidFill>
                </w14:textFill>
              </w:rPr>
              <w:t>206</w:t>
            </w:r>
            <w:r>
              <w:rPr>
                <w:rFonts w:hint="eastAsia"/>
                <w:color w:val="000000" w:themeColor="text1"/>
                <w14:textFill>
                  <w14:solidFill>
                    <w14:schemeClr w14:val="tx1"/>
                  </w14:solidFill>
                </w14:textFill>
              </w:rPr>
              <w:t>t/a、氨氮排放量0.00</w:t>
            </w:r>
            <w:r>
              <w:rPr>
                <w:rFonts w:hint="eastAsia"/>
                <w:color w:val="000000" w:themeColor="text1"/>
                <w:lang w:val="en-US" w:eastAsia="zh-CN"/>
                <w14:textFill>
                  <w14:solidFill>
                    <w14:schemeClr w14:val="tx1"/>
                  </w14:solidFill>
                </w14:textFill>
              </w:rPr>
              <w:t>13</w:t>
            </w:r>
            <w:r>
              <w:rPr>
                <w:rFonts w:hint="eastAsia"/>
                <w:color w:val="000000" w:themeColor="text1"/>
                <w14:textFill>
                  <w14:solidFill>
                    <w14:schemeClr w14:val="tx1"/>
                  </w14:solidFill>
                </w14:textFill>
              </w:rPr>
              <w:t>t/a。</w:t>
            </w:r>
          </w:p>
          <w:p w14:paraId="5C1C2E7D">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3、总量来源</w:t>
            </w:r>
          </w:p>
          <w:p w14:paraId="686D639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本项目需申请总量指标排放量详见下表。</w:t>
            </w:r>
          </w:p>
          <w:p w14:paraId="64C587D6">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本项目需申请总量指标排放量一览表 单位：t/a</w:t>
            </w:r>
          </w:p>
          <w:tbl>
            <w:tblPr>
              <w:tblStyle w:val="1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25"/>
              <w:gridCol w:w="2707"/>
              <w:gridCol w:w="2741"/>
            </w:tblGrid>
            <w:tr w14:paraId="093802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9" w:type="dxa"/>
                  <w:tcBorders>
                    <w:tl2br w:val="nil"/>
                    <w:tr2bl w:val="nil"/>
                  </w:tcBorders>
                  <w:vAlign w:val="center"/>
                </w:tcPr>
                <w:p w14:paraId="39BD3454">
                  <w:pPr>
                    <w:pStyle w:val="2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925" w:type="dxa"/>
                  <w:tcBorders>
                    <w:tl2br w:val="nil"/>
                    <w:tr2bl w:val="nil"/>
                  </w:tcBorders>
                  <w:vAlign w:val="center"/>
                </w:tcPr>
                <w:p w14:paraId="42F30BF3">
                  <w:pPr>
                    <w:pStyle w:val="2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2707" w:type="dxa"/>
                  <w:tcBorders>
                    <w:tl2br w:val="nil"/>
                    <w:tr2bl w:val="nil"/>
                  </w:tcBorders>
                  <w:vAlign w:val="center"/>
                </w:tcPr>
                <w:p w14:paraId="4E75EDF0">
                  <w:pPr>
                    <w:pStyle w:val="2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污染物名称</w:t>
                  </w:r>
                </w:p>
              </w:tc>
              <w:tc>
                <w:tcPr>
                  <w:tcW w:w="2741" w:type="dxa"/>
                  <w:tcBorders>
                    <w:tl2br w:val="nil"/>
                    <w:tr2bl w:val="nil"/>
                  </w:tcBorders>
                  <w:vAlign w:val="center"/>
                </w:tcPr>
                <w:p w14:paraId="18A27B4C">
                  <w:pPr>
                    <w:pStyle w:val="2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排放量（</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r>
            <w:tr w14:paraId="48115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9" w:type="dxa"/>
                  <w:tcBorders>
                    <w:tl2br w:val="nil"/>
                    <w:tr2bl w:val="nil"/>
                  </w:tcBorders>
                  <w:vAlign w:val="center"/>
                </w:tcPr>
                <w:p w14:paraId="38A2718B">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25" w:type="dxa"/>
                  <w:tcBorders>
                    <w:tl2br w:val="nil"/>
                    <w:tr2bl w:val="nil"/>
                  </w:tcBorders>
                  <w:vAlign w:val="center"/>
                </w:tcPr>
                <w:p w14:paraId="314BEC65">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w:t>
                  </w:r>
                </w:p>
              </w:tc>
              <w:tc>
                <w:tcPr>
                  <w:tcW w:w="2707" w:type="dxa"/>
                  <w:tcBorders>
                    <w:tl2br w:val="nil"/>
                    <w:tr2bl w:val="nil"/>
                  </w:tcBorders>
                  <w:shd w:val="clear" w:color="auto" w:fill="auto"/>
                  <w:vAlign w:val="center"/>
                </w:tcPr>
                <w:p w14:paraId="2E81D182">
                  <w:pPr>
                    <w:pStyle w:val="2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烟粉尘</w:t>
                  </w:r>
                </w:p>
              </w:tc>
              <w:tc>
                <w:tcPr>
                  <w:tcW w:w="2741" w:type="dxa"/>
                  <w:tcBorders>
                    <w:tl2br w:val="nil"/>
                    <w:tr2bl w:val="nil"/>
                  </w:tcBorders>
                  <w:shd w:val="clear" w:color="auto" w:fill="auto"/>
                  <w:vAlign w:val="center"/>
                </w:tcPr>
                <w:p w14:paraId="5B948078">
                  <w:pPr>
                    <w:pStyle w:val="2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0.0023</w:t>
                  </w:r>
                </w:p>
              </w:tc>
            </w:tr>
            <w:tr w14:paraId="01BC6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9" w:type="dxa"/>
                  <w:vMerge w:val="restart"/>
                  <w:tcBorders>
                    <w:tl2br w:val="nil"/>
                    <w:tr2bl w:val="nil"/>
                  </w:tcBorders>
                  <w:vAlign w:val="center"/>
                </w:tcPr>
                <w:p w14:paraId="062324CE">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25" w:type="dxa"/>
                  <w:vMerge w:val="restart"/>
                  <w:tcBorders>
                    <w:tl2br w:val="nil"/>
                    <w:tr2bl w:val="nil"/>
                  </w:tcBorders>
                  <w:vAlign w:val="center"/>
                </w:tcPr>
                <w:p w14:paraId="7A60AF6D">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水污染物</w:t>
                  </w:r>
                </w:p>
              </w:tc>
              <w:tc>
                <w:tcPr>
                  <w:tcW w:w="2707" w:type="dxa"/>
                  <w:tcBorders>
                    <w:tl2br w:val="nil"/>
                    <w:tr2bl w:val="nil"/>
                  </w:tcBorders>
                  <w:shd w:val="clear" w:color="auto" w:fill="auto"/>
                  <w:vAlign w:val="center"/>
                </w:tcPr>
                <w:p w14:paraId="1AD41FFC">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w:t>
                  </w:r>
                </w:p>
              </w:tc>
              <w:tc>
                <w:tcPr>
                  <w:tcW w:w="2741" w:type="dxa"/>
                  <w:tcBorders>
                    <w:tl2br w:val="nil"/>
                    <w:tr2bl w:val="nil"/>
                  </w:tcBorders>
                  <w:shd w:val="clear" w:color="auto" w:fill="auto"/>
                  <w:vAlign w:val="center"/>
                </w:tcPr>
                <w:p w14:paraId="02D06A75">
                  <w:pPr>
                    <w:pStyle w:val="26"/>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206</w:t>
                  </w:r>
                </w:p>
              </w:tc>
            </w:tr>
            <w:tr w14:paraId="564FD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9" w:type="dxa"/>
                  <w:vMerge w:val="continue"/>
                  <w:tcBorders>
                    <w:tl2br w:val="nil"/>
                    <w:tr2bl w:val="nil"/>
                  </w:tcBorders>
                  <w:vAlign w:val="center"/>
                </w:tcPr>
                <w:p w14:paraId="23530EB6">
                  <w:pPr>
                    <w:pStyle w:val="26"/>
                    <w:rPr>
                      <w:color w:val="000000" w:themeColor="text1"/>
                      <w14:textFill>
                        <w14:solidFill>
                          <w14:schemeClr w14:val="tx1"/>
                        </w14:solidFill>
                      </w14:textFill>
                    </w:rPr>
                  </w:pPr>
                </w:p>
              </w:tc>
              <w:tc>
                <w:tcPr>
                  <w:tcW w:w="1925" w:type="dxa"/>
                  <w:vMerge w:val="continue"/>
                  <w:tcBorders>
                    <w:tl2br w:val="nil"/>
                    <w:tr2bl w:val="nil"/>
                  </w:tcBorders>
                  <w:vAlign w:val="center"/>
                </w:tcPr>
                <w:p w14:paraId="4974A93A">
                  <w:pPr>
                    <w:pStyle w:val="26"/>
                    <w:rPr>
                      <w:color w:val="000000" w:themeColor="text1"/>
                      <w14:textFill>
                        <w14:solidFill>
                          <w14:schemeClr w14:val="tx1"/>
                        </w14:solidFill>
                      </w14:textFill>
                    </w:rPr>
                  </w:pPr>
                </w:p>
              </w:tc>
              <w:tc>
                <w:tcPr>
                  <w:tcW w:w="2707" w:type="dxa"/>
                  <w:tcBorders>
                    <w:tl2br w:val="nil"/>
                    <w:tr2bl w:val="nil"/>
                  </w:tcBorders>
                  <w:shd w:val="clear" w:color="auto" w:fill="auto"/>
                  <w:vAlign w:val="center"/>
                </w:tcPr>
                <w:p w14:paraId="47214881">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2741" w:type="dxa"/>
                  <w:tcBorders>
                    <w:tl2br w:val="nil"/>
                    <w:tr2bl w:val="nil"/>
                  </w:tcBorders>
                  <w:shd w:val="clear" w:color="auto" w:fill="auto"/>
                  <w:vAlign w:val="center"/>
                </w:tcPr>
                <w:p w14:paraId="6E0FA650">
                  <w:pPr>
                    <w:pStyle w:val="26"/>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13</w:t>
                  </w:r>
                </w:p>
              </w:tc>
            </w:tr>
          </w:tbl>
          <w:p w14:paraId="433F72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北京市环境保护局关于《转发环境保护部&lt;建设项目主要污染物排放总量指标审核及管理暂行办法&gt;的通知（京环发[2015]19号，2015年7月15日起执行）中的相关规定：“该办法适用于各级环境保护主管部门对建设项目（不含城镇生活污水处理厂、垃圾处理场、危险废物和医疗废物处置场）主要污染排放总量指标的审核与管理。”</w:t>
            </w:r>
          </w:p>
          <w:p w14:paraId="3270C98D">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本项目污染物总量指标由项目所在区域内协调解决。</w:t>
            </w:r>
          </w:p>
          <w:p w14:paraId="6FAD962D">
            <w:pPr>
              <w:ind w:firstLine="480"/>
              <w:rPr>
                <w:rFonts w:hint="eastAsia"/>
                <w:color w:val="000000" w:themeColor="text1"/>
                <w14:textFill>
                  <w14:solidFill>
                    <w14:schemeClr w14:val="tx1"/>
                  </w14:solidFill>
                </w14:textFill>
              </w:rPr>
            </w:pPr>
          </w:p>
        </w:tc>
      </w:tr>
    </w:tbl>
    <w:p w14:paraId="351E6404">
      <w:pPr>
        <w:ind w:firstLine="480"/>
        <w:rPr>
          <w:color w:val="000000" w:themeColor="text1"/>
          <w14:textFill>
            <w14:solidFill>
              <w14:schemeClr w14:val="tx1"/>
            </w14:solidFill>
          </w14:textFill>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71D6952B">
      <w:pPr>
        <w:pStyle w:val="2"/>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四、主要环境影响和保护措施</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2496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709" w:type="dxa"/>
            <w:vAlign w:val="center"/>
          </w:tcPr>
          <w:p w14:paraId="072CFC14">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施工期环境保护措施</w:t>
            </w:r>
          </w:p>
        </w:tc>
        <w:tc>
          <w:tcPr>
            <w:tcW w:w="8239" w:type="dxa"/>
            <w:vAlign w:val="center"/>
          </w:tcPr>
          <w:p w14:paraId="57D23EA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项目使用现有闲置房屋建设，不涉及土建施工，施工期内容主要是进行简单室内装修和设备安装，施工时间约</w:t>
            </w: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个月。在施工期间，主要污染因子有：扬尘、噪声、废水和固体废物等。施工期短暂，其环境影响随着施工完工而结束。</w:t>
            </w:r>
          </w:p>
          <w:p w14:paraId="1937BD9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1、废气环境保护措施</w:t>
            </w:r>
          </w:p>
          <w:p w14:paraId="7C40DA3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施工期间，利用现有</w:t>
            </w:r>
            <w:r>
              <w:rPr>
                <w:rFonts w:hint="eastAsia" w:cs="Times New Roman"/>
                <w:color w:val="000000" w:themeColor="text1"/>
                <w:lang w:val="en-US" w:eastAsia="zh-CN"/>
                <w14:textFill>
                  <w14:solidFill>
                    <w14:schemeClr w14:val="tx1"/>
                  </w14:solidFill>
                </w14:textFill>
              </w:rPr>
              <w:t>房屋</w:t>
            </w:r>
            <w:r>
              <w:rPr>
                <w:rFonts w:cs="Times New Roman"/>
                <w:color w:val="000000" w:themeColor="text1"/>
                <w14:textFill>
                  <w14:solidFill>
                    <w14:schemeClr w14:val="tx1"/>
                  </w14:solidFill>
                </w14:textFill>
              </w:rPr>
              <w:t>安装</w:t>
            </w:r>
            <w:r>
              <w:rPr>
                <w:rFonts w:hint="eastAsia" w:cs="Times New Roman"/>
                <w:color w:val="000000" w:themeColor="text1"/>
                <w:lang w:val="en-US" w:eastAsia="zh-CN"/>
                <w14:textFill>
                  <w14:solidFill>
                    <w14:schemeClr w14:val="tx1"/>
                  </w14:solidFill>
                </w14:textFill>
              </w:rPr>
              <w:t>试验设备</w:t>
            </w:r>
            <w:r>
              <w:rPr>
                <w:rFonts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试验设备主要是燃烧试验装置</w:t>
            </w:r>
            <w:r>
              <w:rPr>
                <w:rFonts w:cs="Times New Roman"/>
                <w:color w:val="000000" w:themeColor="text1"/>
                <w14:textFill>
                  <w14:solidFill>
                    <w14:schemeClr w14:val="tx1"/>
                  </w14:solidFill>
                </w14:textFill>
              </w:rPr>
              <w:t>，施工安装工艺简单，涉气环节少，施工期应随时保持地面清洁，避免扬尘产生。</w:t>
            </w:r>
          </w:p>
          <w:p w14:paraId="13DCBBF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2、废水环境保护措施</w:t>
            </w:r>
          </w:p>
          <w:p w14:paraId="3D98ED2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场地不设临时生活区和餐厅，工人就餐采用订餐外送制。工人盥洗、如厕等依托所在园区的卫生间，生活污水排入化粪池，经化粪池预处理后排入污水处理站，最终由市政污水管网进入污水处理厂，对区域水体环境影响将很小。</w:t>
            </w:r>
          </w:p>
          <w:p w14:paraId="5D95EAA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3、噪声环境保护措施</w:t>
            </w:r>
          </w:p>
          <w:p w14:paraId="43E42FE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（1）选用低噪声设备和工艺，加强检查、维护和保养机械设备，保持润滑，紧固各部件，减少运行</w:t>
            </w:r>
            <w:r>
              <w:rPr>
                <w:rFonts w:hint="eastAsia" w:cs="Times New Roman"/>
                <w:color w:val="000000" w:themeColor="text1"/>
                <w:lang w:val="en-US" w:eastAsia="zh-CN"/>
                <w14:textFill>
                  <w14:solidFill>
                    <w14:schemeClr w14:val="tx1"/>
                  </w14:solidFill>
                </w14:textFill>
              </w:rPr>
              <w:t>振动</w:t>
            </w:r>
            <w:r>
              <w:rPr>
                <w:rFonts w:cs="Times New Roman"/>
                <w:color w:val="000000" w:themeColor="text1"/>
                <w14:textFill>
                  <w14:solidFill>
                    <w14:schemeClr w14:val="tx1"/>
                  </w14:solidFill>
                </w14:textFill>
              </w:rPr>
              <w:t>噪声。整体设备应安放稳固，并与地面保持良好接触，有条件的应使用减振基座，降低噪声。</w:t>
            </w:r>
          </w:p>
          <w:p w14:paraId="5A09BC5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（2）合理布局施工现场，尽量减少高噪声设备的同时运转，尽量缩短高噪声设备的使用时间。</w:t>
            </w:r>
          </w:p>
          <w:p w14:paraId="656D7AE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（3）合理安排施工时间。本项目施工单位应严格遵守相关规定，合理安排施工时间，除工程必须，并取得生态环境部门和建设行政主管部门批准外，严禁在22:00-6:00期间进行施工作业。</w:t>
            </w:r>
          </w:p>
          <w:p w14:paraId="2F087FE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4、施工期固废环境保护措施</w:t>
            </w:r>
          </w:p>
          <w:p w14:paraId="5CB7E1A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施工期间，固体废物主要来自于施工过程产生的装修垃圾，装修垃圾清运至北京市指定的建筑垃圾场消纳，不随便丢弃，对周围环境影响较小。</w:t>
            </w:r>
          </w:p>
          <w:p w14:paraId="13445D9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综上所述，施工期影响为短期影响，施工结束后，施工期影响也随之结束。在采取有效防治措施的情况下，施工期产生的废气、噪声和固体废物对周围环境影响较小。</w:t>
            </w:r>
          </w:p>
        </w:tc>
      </w:tr>
      <w:tr w14:paraId="4021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8875E8D">
            <w:pPr>
              <w:adjustRightInd w:val="0"/>
              <w:snapToGri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运营期环境影响和保护措施</w:t>
            </w:r>
          </w:p>
        </w:tc>
        <w:tc>
          <w:tcPr>
            <w:tcW w:w="8239" w:type="dxa"/>
            <w:vAlign w:val="center"/>
          </w:tcPr>
          <w:p w14:paraId="1B003743">
            <w:pPr>
              <w:adjustRightInd w:val="0"/>
              <w:snapToGrid w:val="0"/>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1、大气环境影响分析</w:t>
            </w:r>
          </w:p>
          <w:p w14:paraId="4A9E4584">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本项目运营过程中产生的废气主要为燃烧废气及实验废气。</w:t>
            </w:r>
          </w:p>
          <w:p w14:paraId="141FEBB6">
            <w:pPr>
              <w:adjustRightInd w:val="0"/>
              <w:snapToGrid w:val="0"/>
              <w:ind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废气源强核算</w:t>
            </w:r>
          </w:p>
          <w:p w14:paraId="6BF7DD88">
            <w:pPr>
              <w:adjustRightInd w:val="0"/>
              <w:snapToGrid w:val="0"/>
              <w:ind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实验废气</w:t>
            </w:r>
          </w:p>
          <w:p w14:paraId="302A7ADE">
            <w:pPr>
              <w:adjustRightInd w:val="0"/>
              <w:snapToGrid w:val="0"/>
              <w:ind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实验废气主要为实验过程中使用的乙醇等有机溶剂产生的挥发性气体（以非甲烷总烃计）；乙酸等有机溶剂使用产生的其他A类物质（乙酸）；乙酸乙酯、异丙醇等有机溶剂产生的其他C类物质（乙酸乙酯、异丙醇、异丁醇）；甲醇使用产生的甲醇。</w:t>
            </w:r>
          </w:p>
          <w:p w14:paraId="5D5667A8">
            <w:pPr>
              <w:adjustRightInd w:val="0"/>
              <w:snapToGrid w:val="0"/>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根据业主单位提供的资料，本项目全年工作250天，每天使用挥发性有机试剂的时间1h，项目有机试剂使用时间为250h/a。实验室为密闭实验室。废气经通风橱收集后排入废气管道，通过</w:t>
            </w:r>
            <w:r>
              <w:rPr>
                <w:rFonts w:hint="eastAsia" w:cs="Times New Roman"/>
                <w:color w:val="000000" w:themeColor="text1"/>
                <w:lang w:val="en-US" w:eastAsia="zh-CN"/>
                <w14:textFill>
                  <w14:solidFill>
                    <w14:schemeClr w14:val="tx1"/>
                  </w14:solidFill>
                </w14:textFill>
              </w:rPr>
              <w:t>1套布袋除尘器+</w:t>
            </w:r>
            <w:r>
              <w:rPr>
                <w:rFonts w:hint="eastAsia" w:cs="Times New Roman"/>
                <w:color w:val="000000" w:themeColor="text1"/>
                <w:lang w:eastAsia="zh-CN"/>
                <w14:textFill>
                  <w14:solidFill>
                    <w14:schemeClr w14:val="tx1"/>
                  </w14:solidFill>
                </w14:textFill>
              </w:rPr>
              <w:t>活性炭处理装置进行处理，处理后的废气通过排气筒排放，本项目收集效率按100%计。</w:t>
            </w:r>
          </w:p>
          <w:p w14:paraId="2C1E7999">
            <w:pPr>
              <w:adjustRightInd w:val="0"/>
              <w:snapToGrid w:val="0"/>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根据美国环境保护局编写的《空气污染物排放和控制手册工业污染源调查与研究》等相关资料可知，在正常实验状态下，实验试剂的挥发比例一般为试剂使用量的1%~4%。本项目以最不利情况考虑，挥发比例以4%计。根据建设单位提供，实验状态下挥发性试剂的使用量和挥发量见下表。</w:t>
            </w:r>
          </w:p>
          <w:p w14:paraId="08E5EDBF">
            <w:pPr>
              <w:pStyle w:val="24"/>
              <w:numPr>
                <w:ilvl w:val="0"/>
                <w:numId w:val="0"/>
              </w:numPr>
              <w:tabs>
                <w:tab w:val="left" w:pos="420"/>
              </w:tabs>
              <w:bidi w:val="0"/>
              <w:ind w:left="425" w:leftChars="0" w:hanging="425"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表4-1 挥发性试剂的使用量和挥发量一览表</w:t>
            </w:r>
          </w:p>
          <w:tbl>
            <w:tblPr>
              <w:tblStyle w:val="19"/>
              <w:tblW w:w="80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53"/>
              <w:gridCol w:w="1316"/>
              <w:gridCol w:w="1387"/>
              <w:gridCol w:w="1187"/>
              <w:gridCol w:w="1138"/>
            </w:tblGrid>
            <w:tr w14:paraId="3BA7B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4E1AE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试剂</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1453" w:type="dxa"/>
                  <w:tcBorders>
                    <w:tl2br w:val="nil"/>
                    <w:tr2bl w:val="nil"/>
                  </w:tcBorders>
                  <w:vAlign w:val="center"/>
                </w:tcPr>
                <w:p w14:paraId="2B165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年</w:t>
                  </w:r>
                  <w:r>
                    <w:rPr>
                      <w:rFonts w:hint="eastAsia" w:cs="Times New Roman"/>
                      <w:b/>
                      <w:bCs/>
                      <w:color w:val="000000" w:themeColor="text1"/>
                      <w:sz w:val="21"/>
                      <w:szCs w:val="21"/>
                      <w:vertAlign w:val="baseline"/>
                      <w:lang w:val="en-US" w:eastAsia="zh-CN"/>
                      <w14:textFill>
                        <w14:solidFill>
                          <w14:schemeClr w14:val="tx1"/>
                        </w14:solidFill>
                      </w14:textFill>
                    </w:rPr>
                    <w:t>消耗量mL</w:t>
                  </w:r>
                </w:p>
              </w:tc>
              <w:tc>
                <w:tcPr>
                  <w:tcW w:w="1316" w:type="dxa"/>
                  <w:tcBorders>
                    <w:tl2br w:val="nil"/>
                    <w:tr2bl w:val="nil"/>
                  </w:tcBorders>
                  <w:vAlign w:val="center"/>
                </w:tcPr>
                <w:p w14:paraId="434E9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密度</w:t>
                  </w:r>
                </w:p>
              </w:tc>
              <w:tc>
                <w:tcPr>
                  <w:tcW w:w="1387" w:type="dxa"/>
                  <w:tcBorders>
                    <w:tl2br w:val="nil"/>
                    <w:tr2bl w:val="nil"/>
                  </w:tcBorders>
                  <w:vAlign w:val="center"/>
                </w:tcPr>
                <w:p w14:paraId="41569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使用量kg</w:t>
                  </w:r>
                </w:p>
              </w:tc>
              <w:tc>
                <w:tcPr>
                  <w:tcW w:w="1187" w:type="dxa"/>
                  <w:tcBorders>
                    <w:tl2br w:val="nil"/>
                    <w:tr2bl w:val="nil"/>
                  </w:tcBorders>
                  <w:vAlign w:val="center"/>
                </w:tcPr>
                <w:p w14:paraId="5222C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挥发比例</w:t>
                  </w:r>
                </w:p>
              </w:tc>
              <w:tc>
                <w:tcPr>
                  <w:tcW w:w="1138" w:type="dxa"/>
                  <w:tcBorders>
                    <w:tl2br w:val="nil"/>
                    <w:tr2bl w:val="nil"/>
                  </w:tcBorders>
                  <w:vAlign w:val="center"/>
                </w:tcPr>
                <w:p w14:paraId="028B1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挥发量</w:t>
                  </w:r>
                </w:p>
              </w:tc>
            </w:tr>
            <w:tr w14:paraId="0C34C0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5DB7B4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异丁醇</w:t>
                  </w:r>
                </w:p>
              </w:tc>
              <w:tc>
                <w:tcPr>
                  <w:tcW w:w="1453" w:type="dxa"/>
                  <w:tcBorders>
                    <w:tl2br w:val="nil"/>
                    <w:tr2bl w:val="nil"/>
                  </w:tcBorders>
                  <w:vAlign w:val="center"/>
                </w:tcPr>
                <w:p w14:paraId="52C6AA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500</w:t>
                  </w:r>
                </w:p>
              </w:tc>
              <w:tc>
                <w:tcPr>
                  <w:tcW w:w="1316" w:type="dxa"/>
                  <w:tcBorders>
                    <w:tl2br w:val="nil"/>
                    <w:tr2bl w:val="nil"/>
                  </w:tcBorders>
                  <w:vAlign w:val="center"/>
                </w:tcPr>
                <w:p w14:paraId="4D4FE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0.81kg/L</w:t>
                  </w:r>
                </w:p>
              </w:tc>
              <w:tc>
                <w:tcPr>
                  <w:tcW w:w="1387" w:type="dxa"/>
                  <w:tcBorders>
                    <w:tl2br w:val="nil"/>
                    <w:tr2bl w:val="nil"/>
                  </w:tcBorders>
                  <w:vAlign w:val="center"/>
                </w:tcPr>
                <w:p w14:paraId="1CC71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0.405</w:t>
                  </w:r>
                </w:p>
              </w:tc>
              <w:tc>
                <w:tcPr>
                  <w:tcW w:w="1187" w:type="dxa"/>
                  <w:vMerge w:val="restart"/>
                  <w:tcBorders>
                    <w:tl2br w:val="nil"/>
                    <w:tr2bl w:val="nil"/>
                  </w:tcBorders>
                  <w:vAlign w:val="center"/>
                </w:tcPr>
                <w:p w14:paraId="4995D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38" w:type="dxa"/>
                  <w:tcBorders>
                    <w:tl2br w:val="nil"/>
                    <w:tr2bl w:val="nil"/>
                  </w:tcBorders>
                  <w:vAlign w:val="center"/>
                </w:tcPr>
                <w:p w14:paraId="2B5AA6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0.016kg/a</w:t>
                  </w:r>
                </w:p>
              </w:tc>
            </w:tr>
            <w:tr w14:paraId="49FD42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15DB7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乙酰丙酮</w:t>
                  </w:r>
                </w:p>
              </w:tc>
              <w:tc>
                <w:tcPr>
                  <w:tcW w:w="1453" w:type="dxa"/>
                  <w:tcBorders>
                    <w:tl2br w:val="nil"/>
                    <w:tr2bl w:val="nil"/>
                  </w:tcBorders>
                  <w:vAlign w:val="center"/>
                </w:tcPr>
                <w:p w14:paraId="6AB87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2500</w:t>
                  </w:r>
                </w:p>
              </w:tc>
              <w:tc>
                <w:tcPr>
                  <w:tcW w:w="1316" w:type="dxa"/>
                  <w:tcBorders>
                    <w:tl2br w:val="nil"/>
                    <w:tr2bl w:val="nil"/>
                  </w:tcBorders>
                  <w:vAlign w:val="center"/>
                </w:tcPr>
                <w:p w14:paraId="35F6A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0.98kg/L</w:t>
                  </w:r>
                </w:p>
              </w:tc>
              <w:tc>
                <w:tcPr>
                  <w:tcW w:w="1387" w:type="dxa"/>
                  <w:tcBorders>
                    <w:tl2br w:val="nil"/>
                    <w:tr2bl w:val="nil"/>
                  </w:tcBorders>
                  <w:vAlign w:val="center"/>
                </w:tcPr>
                <w:p w14:paraId="6662B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2.450</w:t>
                  </w:r>
                </w:p>
              </w:tc>
              <w:tc>
                <w:tcPr>
                  <w:tcW w:w="1187" w:type="dxa"/>
                  <w:vMerge w:val="continue"/>
                  <w:tcBorders>
                    <w:tl2br w:val="nil"/>
                    <w:tr2bl w:val="nil"/>
                  </w:tcBorders>
                  <w:vAlign w:val="center"/>
                </w:tcPr>
                <w:p w14:paraId="535BB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38DE4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0.098kg/a</w:t>
                  </w:r>
                </w:p>
              </w:tc>
            </w:tr>
            <w:tr w14:paraId="465BF0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5BC6D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异丙醇</w:t>
                  </w:r>
                </w:p>
              </w:tc>
              <w:tc>
                <w:tcPr>
                  <w:tcW w:w="1453" w:type="dxa"/>
                  <w:tcBorders>
                    <w:tl2br w:val="nil"/>
                    <w:tr2bl w:val="nil"/>
                  </w:tcBorders>
                  <w:vAlign w:val="center"/>
                </w:tcPr>
                <w:p w14:paraId="57FF9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500</w:t>
                  </w:r>
                </w:p>
              </w:tc>
              <w:tc>
                <w:tcPr>
                  <w:tcW w:w="1316" w:type="dxa"/>
                  <w:tcBorders>
                    <w:tl2br w:val="nil"/>
                    <w:tr2bl w:val="nil"/>
                  </w:tcBorders>
                  <w:vAlign w:val="center"/>
                </w:tcPr>
                <w:p w14:paraId="4BBAE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0.79kg/L</w:t>
                  </w:r>
                </w:p>
              </w:tc>
              <w:tc>
                <w:tcPr>
                  <w:tcW w:w="1387" w:type="dxa"/>
                  <w:tcBorders>
                    <w:tl2br w:val="nil"/>
                    <w:tr2bl w:val="nil"/>
                  </w:tcBorders>
                  <w:vAlign w:val="center"/>
                </w:tcPr>
                <w:p w14:paraId="027F2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0.395</w:t>
                  </w:r>
                </w:p>
              </w:tc>
              <w:tc>
                <w:tcPr>
                  <w:tcW w:w="1187" w:type="dxa"/>
                  <w:vMerge w:val="continue"/>
                  <w:tcBorders>
                    <w:tl2br w:val="nil"/>
                    <w:tr2bl w:val="nil"/>
                  </w:tcBorders>
                  <w:vAlign w:val="center"/>
                </w:tcPr>
                <w:p w14:paraId="02564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13DF1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0.016</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0B9EA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502E2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甲醇</w:t>
                  </w:r>
                </w:p>
              </w:tc>
              <w:tc>
                <w:tcPr>
                  <w:tcW w:w="1453" w:type="dxa"/>
                  <w:tcBorders>
                    <w:tl2br w:val="nil"/>
                    <w:tr2bl w:val="nil"/>
                  </w:tcBorders>
                  <w:vAlign w:val="center"/>
                </w:tcPr>
                <w:p w14:paraId="7D9E7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2000</w:t>
                  </w:r>
                </w:p>
              </w:tc>
              <w:tc>
                <w:tcPr>
                  <w:tcW w:w="1316" w:type="dxa"/>
                  <w:tcBorders>
                    <w:tl2br w:val="nil"/>
                    <w:tr2bl w:val="nil"/>
                  </w:tcBorders>
                  <w:vAlign w:val="center"/>
                </w:tcPr>
                <w:p w14:paraId="6AD563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0.79kg/L</w:t>
                  </w:r>
                </w:p>
              </w:tc>
              <w:tc>
                <w:tcPr>
                  <w:tcW w:w="1387" w:type="dxa"/>
                  <w:tcBorders>
                    <w:tl2br w:val="nil"/>
                    <w:tr2bl w:val="nil"/>
                  </w:tcBorders>
                  <w:vAlign w:val="center"/>
                </w:tcPr>
                <w:p w14:paraId="60879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1.580</w:t>
                  </w:r>
                </w:p>
              </w:tc>
              <w:tc>
                <w:tcPr>
                  <w:tcW w:w="1187" w:type="dxa"/>
                  <w:vMerge w:val="continue"/>
                  <w:tcBorders>
                    <w:tl2br w:val="nil"/>
                    <w:tr2bl w:val="nil"/>
                  </w:tcBorders>
                  <w:vAlign w:val="center"/>
                </w:tcPr>
                <w:p w14:paraId="0BEAE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7D943B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0.063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66370A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6235A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无水乙醇</w:t>
                  </w:r>
                </w:p>
              </w:tc>
              <w:tc>
                <w:tcPr>
                  <w:tcW w:w="1453" w:type="dxa"/>
                  <w:tcBorders>
                    <w:tl2br w:val="nil"/>
                    <w:tr2bl w:val="nil"/>
                  </w:tcBorders>
                  <w:vAlign w:val="center"/>
                </w:tcPr>
                <w:p w14:paraId="2390A7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1500</w:t>
                  </w:r>
                </w:p>
              </w:tc>
              <w:tc>
                <w:tcPr>
                  <w:tcW w:w="1316" w:type="dxa"/>
                  <w:tcBorders>
                    <w:tl2br w:val="nil"/>
                    <w:tr2bl w:val="nil"/>
                  </w:tcBorders>
                  <w:vAlign w:val="center"/>
                </w:tcPr>
                <w:p w14:paraId="2E7CFE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0.79kg/L</w:t>
                  </w:r>
                </w:p>
              </w:tc>
              <w:tc>
                <w:tcPr>
                  <w:tcW w:w="1387" w:type="dxa"/>
                  <w:tcBorders>
                    <w:tl2br w:val="nil"/>
                    <w:tr2bl w:val="nil"/>
                  </w:tcBorders>
                  <w:vAlign w:val="center"/>
                </w:tcPr>
                <w:p w14:paraId="792C1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1.185</w:t>
                  </w:r>
                </w:p>
              </w:tc>
              <w:tc>
                <w:tcPr>
                  <w:tcW w:w="1187" w:type="dxa"/>
                  <w:vMerge w:val="continue"/>
                  <w:tcBorders>
                    <w:tl2br w:val="nil"/>
                    <w:tr2bl w:val="nil"/>
                  </w:tcBorders>
                  <w:vAlign w:val="center"/>
                </w:tcPr>
                <w:p w14:paraId="0EF123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4CB3FD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0.047</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63787A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70AD5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正十四烷</w:t>
                  </w:r>
                </w:p>
              </w:tc>
              <w:tc>
                <w:tcPr>
                  <w:tcW w:w="1453" w:type="dxa"/>
                  <w:tcBorders>
                    <w:tl2br w:val="nil"/>
                    <w:tr2bl w:val="nil"/>
                  </w:tcBorders>
                  <w:vAlign w:val="center"/>
                </w:tcPr>
                <w:p w14:paraId="0CB54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1316" w:type="dxa"/>
                  <w:tcBorders>
                    <w:tl2br w:val="nil"/>
                    <w:tr2bl w:val="nil"/>
                  </w:tcBorders>
                  <w:vAlign w:val="center"/>
                </w:tcPr>
                <w:p w14:paraId="6A74F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0.90kg/L</w:t>
                  </w:r>
                </w:p>
              </w:tc>
              <w:tc>
                <w:tcPr>
                  <w:tcW w:w="1387" w:type="dxa"/>
                  <w:tcBorders>
                    <w:tl2br w:val="nil"/>
                    <w:tr2bl w:val="nil"/>
                  </w:tcBorders>
                  <w:vAlign w:val="center"/>
                </w:tcPr>
                <w:p w14:paraId="409DF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0.023</w:t>
                  </w:r>
                </w:p>
              </w:tc>
              <w:tc>
                <w:tcPr>
                  <w:tcW w:w="1187" w:type="dxa"/>
                  <w:vMerge w:val="continue"/>
                  <w:tcBorders>
                    <w:tl2br w:val="nil"/>
                    <w:tr2bl w:val="nil"/>
                  </w:tcBorders>
                  <w:vAlign w:val="center"/>
                </w:tcPr>
                <w:p w14:paraId="110F5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40630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0194A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6D816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w:t>
                  </w:r>
                </w:p>
              </w:tc>
              <w:tc>
                <w:tcPr>
                  <w:tcW w:w="1453" w:type="dxa"/>
                  <w:tcBorders>
                    <w:tl2br w:val="nil"/>
                    <w:tr2bl w:val="nil"/>
                  </w:tcBorders>
                  <w:vAlign w:val="center"/>
                </w:tcPr>
                <w:p w14:paraId="28A7E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500</w:t>
                  </w:r>
                </w:p>
              </w:tc>
              <w:tc>
                <w:tcPr>
                  <w:tcW w:w="1316" w:type="dxa"/>
                  <w:tcBorders>
                    <w:tl2br w:val="nil"/>
                    <w:tr2bl w:val="nil"/>
                  </w:tcBorders>
                  <w:vAlign w:val="center"/>
                </w:tcPr>
                <w:p w14:paraId="587A1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1.05kg/L</w:t>
                  </w:r>
                </w:p>
              </w:tc>
              <w:tc>
                <w:tcPr>
                  <w:tcW w:w="1387" w:type="dxa"/>
                  <w:tcBorders>
                    <w:tl2br w:val="nil"/>
                    <w:tr2bl w:val="nil"/>
                  </w:tcBorders>
                  <w:vAlign w:val="center"/>
                </w:tcPr>
                <w:p w14:paraId="45845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0.525</w:t>
                  </w:r>
                </w:p>
              </w:tc>
              <w:tc>
                <w:tcPr>
                  <w:tcW w:w="1187" w:type="dxa"/>
                  <w:vMerge w:val="continue"/>
                  <w:tcBorders>
                    <w:tl2br w:val="nil"/>
                    <w:tr2bl w:val="nil"/>
                  </w:tcBorders>
                  <w:vAlign w:val="center"/>
                </w:tcPr>
                <w:p w14:paraId="28962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2F56C4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0.021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4D6EA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tcBorders>
                    <w:tl2br w:val="nil"/>
                    <w:tr2bl w:val="nil"/>
                  </w:tcBorders>
                  <w:vAlign w:val="center"/>
                </w:tcPr>
                <w:p w14:paraId="1DCBF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乙酸乙酯</w:t>
                  </w:r>
                </w:p>
              </w:tc>
              <w:tc>
                <w:tcPr>
                  <w:tcW w:w="1453" w:type="dxa"/>
                  <w:tcBorders>
                    <w:tl2br w:val="nil"/>
                    <w:tr2bl w:val="nil"/>
                  </w:tcBorders>
                  <w:vAlign w:val="center"/>
                </w:tcPr>
                <w:p w14:paraId="44915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500</w:t>
                  </w:r>
                </w:p>
              </w:tc>
              <w:tc>
                <w:tcPr>
                  <w:tcW w:w="1316" w:type="dxa"/>
                  <w:tcBorders>
                    <w:tl2br w:val="nil"/>
                    <w:tr2bl w:val="nil"/>
                  </w:tcBorders>
                  <w:vAlign w:val="center"/>
                </w:tcPr>
                <w:p w14:paraId="291A0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0.90kg/L</w:t>
                  </w:r>
                </w:p>
              </w:tc>
              <w:tc>
                <w:tcPr>
                  <w:tcW w:w="1387" w:type="dxa"/>
                  <w:tcBorders>
                    <w:tl2br w:val="nil"/>
                    <w:tr2bl w:val="nil"/>
                  </w:tcBorders>
                  <w:vAlign w:val="center"/>
                </w:tcPr>
                <w:p w14:paraId="3269C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0.450</w:t>
                  </w:r>
                </w:p>
              </w:tc>
              <w:tc>
                <w:tcPr>
                  <w:tcW w:w="1187" w:type="dxa"/>
                  <w:vMerge w:val="continue"/>
                  <w:tcBorders>
                    <w:tl2br w:val="nil"/>
                    <w:tr2bl w:val="nil"/>
                  </w:tcBorders>
                  <w:vAlign w:val="center"/>
                </w:tcPr>
                <w:p w14:paraId="2E84D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38" w:type="dxa"/>
                  <w:tcBorders>
                    <w:tl2br w:val="nil"/>
                    <w:tr2bl w:val="nil"/>
                  </w:tcBorders>
                  <w:vAlign w:val="center"/>
                </w:tcPr>
                <w:p w14:paraId="5620B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bl>
          <w:p w14:paraId="7A6440DE">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根据上表计算，本项目在实验过程中实验废气产生量见下表。</w:t>
            </w:r>
          </w:p>
          <w:p w14:paraId="5163C6E5">
            <w:pPr>
              <w:pStyle w:val="24"/>
              <w:numPr>
                <w:ilvl w:val="0"/>
                <w:numId w:val="0"/>
              </w:numPr>
              <w:tabs>
                <w:tab w:val="left" w:pos="420"/>
              </w:tabs>
              <w:bidi w:val="0"/>
              <w:ind w:left="425" w:leftChars="0" w:hanging="425"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表4-2 本项目有机污染物在实验过程中产生量一览表</w:t>
            </w:r>
          </w:p>
          <w:tbl>
            <w:tblPr>
              <w:tblStyle w:val="19"/>
              <w:tblW w:w="80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880"/>
              <w:gridCol w:w="1854"/>
              <w:gridCol w:w="3018"/>
            </w:tblGrid>
            <w:tr w14:paraId="1E68EF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4" w:type="dxa"/>
                  <w:gridSpan w:val="3"/>
                  <w:tcBorders>
                    <w:tl2br w:val="nil"/>
                    <w:tr2bl w:val="nil"/>
                  </w:tcBorders>
                  <w:vAlign w:val="center"/>
                </w:tcPr>
                <w:p w14:paraId="4393C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有机污染物</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3018" w:type="dxa"/>
                  <w:tcBorders>
                    <w:tl2br w:val="nil"/>
                    <w:tr2bl w:val="nil"/>
                  </w:tcBorders>
                  <w:vAlign w:val="center"/>
                </w:tcPr>
                <w:p w14:paraId="35121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产生量</w:t>
                  </w:r>
                </w:p>
              </w:tc>
            </w:tr>
            <w:tr w14:paraId="414D9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restart"/>
                  <w:tcBorders>
                    <w:tl2br w:val="nil"/>
                    <w:tr2bl w:val="nil"/>
                  </w:tcBorders>
                  <w:vAlign w:val="center"/>
                </w:tcPr>
                <w:p w14:paraId="3DC3F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有机试剂</w:t>
                  </w:r>
                </w:p>
              </w:tc>
              <w:tc>
                <w:tcPr>
                  <w:tcW w:w="3734" w:type="dxa"/>
                  <w:gridSpan w:val="2"/>
                  <w:tcBorders>
                    <w:bottom w:val="single" w:color="000000" w:sz="4" w:space="0"/>
                    <w:tl2br w:val="nil"/>
                    <w:tr2bl w:val="nil"/>
                  </w:tcBorders>
                  <w:shd w:val="clear" w:color="auto" w:fill="auto"/>
                  <w:vAlign w:val="center"/>
                </w:tcPr>
                <w:p w14:paraId="03C18B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乙醇</w:t>
                  </w:r>
                </w:p>
              </w:tc>
              <w:tc>
                <w:tcPr>
                  <w:tcW w:w="3018" w:type="dxa"/>
                  <w:tcBorders>
                    <w:tl2br w:val="nil"/>
                    <w:tr2bl w:val="nil"/>
                  </w:tcBorders>
                  <w:shd w:val="clear" w:color="auto" w:fill="auto"/>
                  <w:vAlign w:val="center"/>
                </w:tcPr>
                <w:p w14:paraId="69CCC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0.047</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7A181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2E3F2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34" w:type="dxa"/>
                  <w:gridSpan w:val="2"/>
                  <w:tcBorders>
                    <w:top w:val="single" w:color="000000" w:sz="4" w:space="0"/>
                    <w:bottom w:val="single" w:color="000000" w:sz="4" w:space="0"/>
                    <w:tl2br w:val="nil"/>
                    <w:tr2bl w:val="nil"/>
                  </w:tcBorders>
                  <w:shd w:val="clear" w:color="auto" w:fill="auto"/>
                  <w:vAlign w:val="center"/>
                </w:tcPr>
                <w:p w14:paraId="2C553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乙酰丙酮</w:t>
                  </w:r>
                </w:p>
              </w:tc>
              <w:tc>
                <w:tcPr>
                  <w:tcW w:w="3018" w:type="dxa"/>
                  <w:tcBorders>
                    <w:tl2br w:val="nil"/>
                    <w:tr2bl w:val="nil"/>
                  </w:tcBorders>
                  <w:shd w:val="clear" w:color="auto" w:fill="auto"/>
                  <w:vAlign w:val="center"/>
                </w:tcPr>
                <w:p w14:paraId="489FF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0.098kg/a</w:t>
                  </w:r>
                </w:p>
              </w:tc>
            </w:tr>
            <w:tr w14:paraId="1E769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4B90BE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34" w:type="dxa"/>
                  <w:gridSpan w:val="2"/>
                  <w:tcBorders>
                    <w:top w:val="single" w:color="000000" w:sz="4" w:space="0"/>
                    <w:bottom w:val="single" w:color="000000" w:sz="4" w:space="0"/>
                    <w:tl2br w:val="nil"/>
                    <w:tr2bl w:val="nil"/>
                  </w:tcBorders>
                  <w:shd w:val="clear" w:color="auto" w:fill="auto"/>
                  <w:vAlign w:val="center"/>
                </w:tcPr>
                <w:p w14:paraId="68E96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正十四烷</w:t>
                  </w:r>
                </w:p>
              </w:tc>
              <w:tc>
                <w:tcPr>
                  <w:tcW w:w="3018" w:type="dxa"/>
                  <w:tcBorders>
                    <w:tl2br w:val="nil"/>
                    <w:tr2bl w:val="nil"/>
                  </w:tcBorders>
                  <w:shd w:val="clear" w:color="auto" w:fill="auto"/>
                  <w:vAlign w:val="center"/>
                </w:tcPr>
                <w:p w14:paraId="346D1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7077AF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550E2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34" w:type="dxa"/>
                  <w:gridSpan w:val="2"/>
                  <w:tcBorders>
                    <w:top w:val="single" w:color="000000" w:sz="4" w:space="0"/>
                    <w:bottom w:val="single" w:color="000000" w:sz="4" w:space="0"/>
                    <w:tl2br w:val="nil"/>
                    <w:tr2bl w:val="nil"/>
                  </w:tcBorders>
                  <w:shd w:val="clear" w:color="auto" w:fill="auto"/>
                  <w:vAlign w:val="center"/>
                </w:tcPr>
                <w:p w14:paraId="162BF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甲醇</w:t>
                  </w:r>
                </w:p>
              </w:tc>
              <w:tc>
                <w:tcPr>
                  <w:tcW w:w="3018" w:type="dxa"/>
                  <w:tcBorders>
                    <w:tl2br w:val="nil"/>
                    <w:tr2bl w:val="nil"/>
                  </w:tcBorders>
                  <w:shd w:val="clear" w:color="auto" w:fill="auto"/>
                  <w:vAlign w:val="center"/>
                </w:tcPr>
                <w:p w14:paraId="6BCAF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0.063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r>
                    <w:rPr>
                      <w:rFonts w:hint="eastAsia" w:cs="Times New Roman"/>
                      <w:color w:val="000000" w:themeColor="text1"/>
                      <w:sz w:val="21"/>
                      <w:szCs w:val="21"/>
                      <w:vertAlign w:val="baseline"/>
                      <w:lang w:val="en-US" w:eastAsia="zh-CN"/>
                      <w14:textFill>
                        <w14:solidFill>
                          <w14:schemeClr w14:val="tx1"/>
                        </w14:solidFill>
                      </w14:textFill>
                    </w:rPr>
                    <w:t>（0.00006t/a）</w:t>
                  </w:r>
                </w:p>
              </w:tc>
            </w:tr>
            <w:tr w14:paraId="03A44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2D0579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80" w:type="dxa"/>
                  <w:tcBorders>
                    <w:top w:val="single" w:color="000000" w:sz="4" w:space="0"/>
                    <w:tl2br w:val="nil"/>
                    <w:tr2bl w:val="nil"/>
                  </w:tcBorders>
                  <w:shd w:val="clear" w:color="auto" w:fill="auto"/>
                  <w:vAlign w:val="center"/>
                </w:tcPr>
                <w:p w14:paraId="6E1DF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其他A类物质</w:t>
                  </w:r>
                </w:p>
              </w:tc>
              <w:tc>
                <w:tcPr>
                  <w:tcW w:w="1854" w:type="dxa"/>
                  <w:tcBorders>
                    <w:top w:val="single" w:color="000000" w:sz="4" w:space="0"/>
                    <w:bottom w:val="single" w:color="000000" w:sz="4" w:space="0"/>
                    <w:tl2br w:val="nil"/>
                    <w:tr2bl w:val="nil"/>
                  </w:tcBorders>
                  <w:vAlign w:val="center"/>
                </w:tcPr>
                <w:p w14:paraId="06073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w:t>
                  </w:r>
                </w:p>
              </w:tc>
              <w:tc>
                <w:tcPr>
                  <w:tcW w:w="3018" w:type="dxa"/>
                  <w:tcBorders>
                    <w:tl2br w:val="nil"/>
                    <w:tr2bl w:val="nil"/>
                  </w:tcBorders>
                  <w:vAlign w:val="center"/>
                </w:tcPr>
                <w:p w14:paraId="444A8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0.021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r>
                    <w:rPr>
                      <w:rFonts w:hint="eastAsia" w:cs="Times New Roman"/>
                      <w:color w:val="000000" w:themeColor="text1"/>
                      <w:sz w:val="21"/>
                      <w:szCs w:val="21"/>
                      <w:vertAlign w:val="baseline"/>
                      <w:lang w:val="en-US" w:eastAsia="zh-CN"/>
                      <w14:textFill>
                        <w14:solidFill>
                          <w14:schemeClr w14:val="tx1"/>
                        </w14:solidFill>
                      </w14:textFill>
                    </w:rPr>
                    <w:t>0.00002t/a</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19F2B0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5DFCCB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80" w:type="dxa"/>
                  <w:vMerge w:val="restart"/>
                  <w:tcBorders>
                    <w:tl2br w:val="nil"/>
                    <w:tr2bl w:val="nil"/>
                  </w:tcBorders>
                  <w:shd w:val="clear" w:color="auto" w:fill="auto"/>
                  <w:vAlign w:val="center"/>
                </w:tcPr>
                <w:p w14:paraId="4E824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其他C类物质</w:t>
                  </w:r>
                </w:p>
              </w:tc>
              <w:tc>
                <w:tcPr>
                  <w:tcW w:w="1854" w:type="dxa"/>
                  <w:tcBorders>
                    <w:top w:val="single" w:color="000000" w:sz="4" w:space="0"/>
                    <w:bottom w:val="single" w:color="000000" w:sz="4" w:space="0"/>
                    <w:tl2br w:val="nil"/>
                    <w:tr2bl w:val="nil"/>
                  </w:tcBorders>
                  <w:vAlign w:val="center"/>
                </w:tcPr>
                <w:p w14:paraId="537B0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乙酸乙酯</w:t>
                  </w:r>
                </w:p>
              </w:tc>
              <w:tc>
                <w:tcPr>
                  <w:tcW w:w="3018" w:type="dxa"/>
                  <w:tcBorders>
                    <w:tl2br w:val="nil"/>
                    <w:tr2bl w:val="nil"/>
                  </w:tcBorders>
                  <w:vAlign w:val="center"/>
                </w:tcPr>
                <w:p w14:paraId="3026F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002528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47B9C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80" w:type="dxa"/>
                  <w:vMerge w:val="continue"/>
                  <w:tcBorders>
                    <w:tl2br w:val="nil"/>
                    <w:tr2bl w:val="nil"/>
                  </w:tcBorders>
                  <w:shd w:val="clear" w:color="auto" w:fill="auto"/>
                  <w:vAlign w:val="center"/>
                </w:tcPr>
                <w:p w14:paraId="0CA30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p>
              </w:tc>
              <w:tc>
                <w:tcPr>
                  <w:tcW w:w="1854" w:type="dxa"/>
                  <w:tcBorders>
                    <w:top w:val="single" w:color="000000" w:sz="4" w:space="0"/>
                    <w:bottom w:val="single" w:color="000000" w:sz="4" w:space="0"/>
                    <w:tl2br w:val="nil"/>
                    <w:tr2bl w:val="nil"/>
                  </w:tcBorders>
                  <w:vAlign w:val="center"/>
                </w:tcPr>
                <w:p w14:paraId="5F917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异丙醇</w:t>
                  </w:r>
                </w:p>
              </w:tc>
              <w:tc>
                <w:tcPr>
                  <w:tcW w:w="3018" w:type="dxa"/>
                  <w:tcBorders>
                    <w:tl2br w:val="nil"/>
                    <w:tr2bl w:val="nil"/>
                  </w:tcBorders>
                  <w:vAlign w:val="center"/>
                </w:tcPr>
                <w:p w14:paraId="1718C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0.016</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tc>
            </w:tr>
            <w:tr w14:paraId="4F7A3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0348B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80" w:type="dxa"/>
                  <w:vMerge w:val="continue"/>
                  <w:tcBorders>
                    <w:tl2br w:val="nil"/>
                    <w:tr2bl w:val="nil"/>
                  </w:tcBorders>
                  <w:shd w:val="clear" w:color="auto" w:fill="auto"/>
                  <w:vAlign w:val="center"/>
                </w:tcPr>
                <w:p w14:paraId="42D7A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p>
              </w:tc>
              <w:tc>
                <w:tcPr>
                  <w:tcW w:w="1854" w:type="dxa"/>
                  <w:tcBorders>
                    <w:top w:val="single" w:color="000000" w:sz="4" w:space="0"/>
                    <w:bottom w:val="single" w:color="000000" w:sz="4" w:space="0"/>
                    <w:tl2br w:val="nil"/>
                    <w:tr2bl w:val="nil"/>
                  </w:tcBorders>
                  <w:vAlign w:val="center"/>
                </w:tcPr>
                <w:p w14:paraId="2DBA7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异丁醇</w:t>
                  </w:r>
                </w:p>
              </w:tc>
              <w:tc>
                <w:tcPr>
                  <w:tcW w:w="3018" w:type="dxa"/>
                  <w:tcBorders>
                    <w:tl2br w:val="nil"/>
                    <w:tr2bl w:val="nil"/>
                  </w:tcBorders>
                  <w:vAlign w:val="center"/>
                </w:tcPr>
                <w:p w14:paraId="377442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0.016kg/a</w:t>
                  </w:r>
                </w:p>
              </w:tc>
            </w:tr>
            <w:tr w14:paraId="2DC419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70B50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80" w:type="dxa"/>
                  <w:vMerge w:val="continue"/>
                  <w:tcBorders>
                    <w:bottom w:val="single" w:color="000000" w:sz="4" w:space="0"/>
                    <w:tl2br w:val="nil"/>
                    <w:tr2bl w:val="nil"/>
                  </w:tcBorders>
                  <w:shd w:val="clear" w:color="auto" w:fill="auto"/>
                  <w:vAlign w:val="center"/>
                </w:tcPr>
                <w:p w14:paraId="5C52D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54" w:type="dxa"/>
                  <w:tcBorders>
                    <w:top w:val="single" w:color="000000" w:sz="4" w:space="0"/>
                    <w:bottom w:val="single" w:color="000000" w:sz="4" w:space="0"/>
                    <w:tl2br w:val="nil"/>
                    <w:tr2bl w:val="nil"/>
                  </w:tcBorders>
                  <w:vAlign w:val="center"/>
                </w:tcPr>
                <w:p w14:paraId="5C964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合计</w:t>
                  </w:r>
                </w:p>
              </w:tc>
              <w:tc>
                <w:tcPr>
                  <w:tcW w:w="3018" w:type="dxa"/>
                  <w:tcBorders>
                    <w:tl2br w:val="nil"/>
                    <w:tr2bl w:val="nil"/>
                  </w:tcBorders>
                  <w:vAlign w:val="center"/>
                </w:tcPr>
                <w:p w14:paraId="7ED77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0.050kg/a（0.00005t/a）</w:t>
                  </w:r>
                </w:p>
              </w:tc>
            </w:tr>
            <w:tr w14:paraId="44586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0" w:type="dxa"/>
                  <w:vMerge w:val="continue"/>
                  <w:tcBorders>
                    <w:tl2br w:val="nil"/>
                    <w:tr2bl w:val="nil"/>
                  </w:tcBorders>
                  <w:vAlign w:val="center"/>
                </w:tcPr>
                <w:p w14:paraId="4039A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34" w:type="dxa"/>
                  <w:gridSpan w:val="2"/>
                  <w:tcBorders>
                    <w:top w:val="single" w:color="000000" w:sz="4" w:space="0"/>
                    <w:bottom w:val="single" w:color="000000" w:sz="4" w:space="0"/>
                    <w:tl2br w:val="nil"/>
                    <w:tr2bl w:val="nil"/>
                  </w:tcBorders>
                  <w:shd w:val="clear" w:color="auto" w:fill="auto"/>
                  <w:vAlign w:val="center"/>
                </w:tcPr>
                <w:p w14:paraId="65903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非甲烷总烃</w:t>
                  </w:r>
                </w:p>
              </w:tc>
              <w:tc>
                <w:tcPr>
                  <w:tcW w:w="3018" w:type="dxa"/>
                  <w:tcBorders>
                    <w:tl2br w:val="nil"/>
                    <w:tr2bl w:val="nil"/>
                  </w:tcBorders>
                  <w:vAlign w:val="center"/>
                </w:tcPr>
                <w:p w14:paraId="3E50E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0.280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kg/a</w:t>
                  </w:r>
                </w:p>
                <w:p w14:paraId="1AC47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（0.0003t/a）</w:t>
                  </w:r>
                </w:p>
              </w:tc>
            </w:tr>
          </w:tbl>
          <w:p w14:paraId="25E606D1">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燃烧废气</w:t>
            </w:r>
          </w:p>
          <w:p w14:paraId="6D1B686A">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燃烧实验主要为</w:t>
            </w:r>
            <w:r>
              <w:rPr>
                <w:rFonts w:cs="Times New Roman"/>
                <w:color w:val="000000" w:themeColor="text1"/>
                <w14:textFill>
                  <w14:solidFill>
                    <w14:schemeClr w14:val="tx1"/>
                  </w14:solidFill>
                </w14:textFill>
              </w:rPr>
              <w:t>建筑材料</w:t>
            </w:r>
            <w:r>
              <w:rPr>
                <w:rFonts w:hint="eastAsia" w:cs="Times New Roman"/>
                <w:color w:val="000000" w:themeColor="text1"/>
                <w14:textFill>
                  <w14:solidFill>
                    <w14:schemeClr w14:val="tx1"/>
                  </w14:solidFill>
                </w14:textFill>
              </w:rPr>
              <w:t>燃烧性能</w:t>
            </w:r>
            <w:r>
              <w:rPr>
                <w:rFonts w:cs="Times New Roman"/>
                <w:color w:val="000000" w:themeColor="text1"/>
                <w14:textFill>
                  <w14:solidFill>
                    <w14:schemeClr w14:val="tx1"/>
                  </w14:solidFill>
                </w14:textFill>
              </w:rPr>
              <w:t>检测，主要检测的样品类别包含无机矿物质类样品（岩棉、玻璃棉、纸面石膏板、水泥板、硅酸钙板、无机纤维喷涂、保温砂浆、矿棉吸音板）和有机合成树脂类样品（聚苯板、挤塑板、聚氨酯板</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防火涂料</w:t>
            </w:r>
            <w:r>
              <w:rPr>
                <w:rFonts w:cs="Times New Roman"/>
                <w:color w:val="000000" w:themeColor="text1"/>
                <w14:textFill>
                  <w14:solidFill>
                    <w14:schemeClr w14:val="tx1"/>
                  </w14:solidFill>
                </w14:textFill>
              </w:rPr>
              <w:t>）。</w:t>
            </w:r>
          </w:p>
          <w:p w14:paraId="1D187B3C">
            <w:pPr>
              <w:adjustRightInd w:val="0"/>
              <w:snapToGrid w:val="0"/>
              <w:ind w:firstLine="480"/>
              <w:rPr>
                <w:rFonts w:cs="Times New Roman"/>
                <w:color w:val="auto"/>
              </w:rPr>
            </w:pPr>
            <w:r>
              <w:rPr>
                <w:rFonts w:cs="Times New Roman"/>
                <w:color w:val="000000" w:themeColor="text1"/>
                <w14:textFill>
                  <w14:solidFill>
                    <w14:schemeClr w14:val="tx1"/>
                  </w14:solidFill>
                </w14:textFill>
              </w:rPr>
              <w:t>聚苯板和挤塑板主要成分为聚苯乙烯，聚氨酯板的主要成分为聚醚聚酯多元醇多羟基化合物，</w:t>
            </w:r>
            <w:r>
              <w:rPr>
                <w:rFonts w:hint="eastAsia" w:cs="Times New Roman"/>
                <w:color w:val="000000" w:themeColor="text1"/>
                <w:lang w:val="en-US" w:eastAsia="zh-CN"/>
                <w14:textFill>
                  <w14:solidFill>
                    <w14:schemeClr w14:val="tx1"/>
                  </w14:solidFill>
                </w14:textFill>
              </w:rPr>
              <w:t>防火涂料主要成分为</w:t>
            </w:r>
            <w:r>
              <w:rPr>
                <w:rFonts w:hint="eastAsia" w:eastAsia="宋体" w:cs="Times New Roman"/>
                <w:color w:val="000000" w:themeColor="text1"/>
                <w:szCs w:val="21"/>
                <w:lang w:val="en-US" w:eastAsia="zh-CN"/>
                <w14:textFill>
                  <w14:solidFill>
                    <w14:schemeClr w14:val="tx1"/>
                  </w14:solidFill>
                </w14:textFill>
              </w:rPr>
              <w:t>主要成分聚氨酯树脂、</w:t>
            </w:r>
            <w:r>
              <w:rPr>
                <w:rFonts w:eastAsia="宋体" w:cs="Times New Roman"/>
                <w:color w:val="000000" w:themeColor="text1"/>
                <w:szCs w:val="21"/>
                <w14:textFill>
                  <w14:solidFill>
                    <w14:schemeClr w14:val="tx1"/>
                  </w14:solidFill>
                </w14:textFill>
              </w:rPr>
              <w:t>碳酸钙、滑石粉、高岭土</w:t>
            </w:r>
            <w:r>
              <w:rPr>
                <w:rFonts w:hint="eastAsia" w:eastAsia="宋体" w:cs="Times New Roman"/>
                <w:color w:val="000000" w:themeColor="text1"/>
                <w:szCs w:val="21"/>
                <w:lang w:val="en-US" w:eastAsia="zh-CN"/>
                <w14:textFill>
                  <w14:solidFill>
                    <w14:schemeClr w14:val="tx1"/>
                  </w14:solidFill>
                </w14:textFill>
              </w:rPr>
              <w:t>等</w:t>
            </w:r>
            <w:r>
              <w:rPr>
                <w:rFonts w:hint="eastAsia" w:cs="Times New Roman"/>
                <w:color w:val="000000" w:themeColor="text1"/>
                <w:szCs w:val="21"/>
                <w:lang w:val="en-US" w:eastAsia="zh-CN"/>
                <w14:textFill>
                  <w14:solidFill>
                    <w14:schemeClr w14:val="tx1"/>
                  </w14:solidFill>
                </w14:textFill>
              </w:rPr>
              <w:t>，</w:t>
            </w:r>
            <w:r>
              <w:rPr>
                <w:rFonts w:cs="Times New Roman"/>
                <w:color w:val="000000" w:themeColor="text1"/>
                <w14:textFill>
                  <w14:solidFill>
                    <w14:schemeClr w14:val="tx1"/>
                  </w14:solidFill>
                </w14:textFill>
              </w:rPr>
              <w:t>无机矿物类样品全部为难燃成分</w:t>
            </w:r>
            <w:r>
              <w:rPr>
                <w:rFonts w:cs="Times New Roman"/>
                <w:color w:val="000000" w:themeColor="text1"/>
                <w:kern w:val="0"/>
                <w:lang w:bidi="ar"/>
                <w14:textFill>
                  <w14:solidFill>
                    <w14:schemeClr w14:val="tx1"/>
                  </w14:solidFill>
                </w14:textFill>
              </w:rPr>
              <w:t>，项目试验过程中</w:t>
            </w:r>
            <w:r>
              <w:rPr>
                <w:rFonts w:cs="Times New Roman"/>
                <w:color w:val="000000" w:themeColor="text1"/>
                <w14:textFill>
                  <w14:solidFill>
                    <w14:schemeClr w14:val="tx1"/>
                  </w14:solidFill>
                </w14:textFill>
              </w:rPr>
              <w:t>燃烧废</w:t>
            </w:r>
            <w:r>
              <w:rPr>
                <w:rFonts w:cs="Times New Roman"/>
                <w:color w:val="auto"/>
              </w:rPr>
              <w:t>气中含有的污染物</w:t>
            </w:r>
            <w:r>
              <w:rPr>
                <w:rFonts w:hint="eastAsia" w:cs="Times New Roman"/>
                <w:color w:val="auto"/>
              </w:rPr>
              <w:t>包括</w:t>
            </w:r>
            <w:r>
              <w:rPr>
                <w:rFonts w:cs="Times New Roman"/>
                <w:color w:val="auto"/>
              </w:rPr>
              <w:t>颗粒物、非甲烷总烃、一氧化碳、氯化氢。</w:t>
            </w:r>
          </w:p>
          <w:p w14:paraId="6A223AA8">
            <w:pPr>
              <w:adjustRightInd w:val="0"/>
              <w:snapToGrid w:val="0"/>
              <w:ind w:firstLine="480"/>
              <w:rPr>
                <w:rFonts w:cs="Times New Roman"/>
                <w:color w:val="auto"/>
              </w:rPr>
            </w:pPr>
            <w:r>
              <w:rPr>
                <w:rFonts w:cs="Times New Roman"/>
                <w:color w:val="auto"/>
              </w:rPr>
              <w:t>本项目助燃剂主要为丙烷和甲烷，</w:t>
            </w:r>
            <w:r>
              <w:rPr>
                <w:rFonts w:hint="eastAsia" w:cs="Times New Roman"/>
                <w:color w:val="auto"/>
                <w:lang w:val="en-US" w:eastAsia="zh-CN"/>
              </w:rPr>
              <w:t>要求纯度大于99.9%（剩余为微量水及其他烃类物质）</w:t>
            </w:r>
            <w:r>
              <w:rPr>
                <w:rFonts w:hint="eastAsia" w:eastAsia="宋体" w:cs="Times New Roman"/>
                <w:color w:val="auto"/>
                <w:lang w:val="en-US" w:eastAsia="zh-CN"/>
              </w:rPr>
              <w:t>，不含硫，</w:t>
            </w:r>
            <w:r>
              <w:rPr>
                <w:rFonts w:hint="eastAsia" w:cs="Times New Roman"/>
                <w:color w:val="auto"/>
                <w:lang w:val="en-US" w:eastAsia="zh-CN"/>
              </w:rPr>
              <w:t>属于</w:t>
            </w:r>
            <w:r>
              <w:rPr>
                <w:rFonts w:hint="eastAsia" w:eastAsia="宋体" w:cs="Times New Roman"/>
                <w:color w:val="auto"/>
                <w:lang w:val="en-US" w:eastAsia="zh-CN"/>
              </w:rPr>
              <w:t>清洁能源</w:t>
            </w:r>
            <w:r>
              <w:rPr>
                <w:rFonts w:hint="eastAsia" w:cs="Times New Roman"/>
                <w:color w:val="auto"/>
                <w:lang w:val="en-US" w:eastAsia="zh-CN"/>
              </w:rPr>
              <w:t>。</w:t>
            </w:r>
            <w:r>
              <w:rPr>
                <w:rFonts w:cs="Times New Roman"/>
                <w:color w:val="auto"/>
              </w:rPr>
              <w:t>根据建设单位提供的资料，不燃性试验炉内试验温度在750±5℃，建筑材料难燃性试验炉内试验温度110℃，铺地材料燃烧试验装置内试验温度200℃，大板法防火涂料测试仪内试验温度</w:t>
            </w:r>
            <w:r>
              <w:rPr>
                <w:rFonts w:hint="eastAsia" w:cs="Times New Roman"/>
                <w:color w:val="auto"/>
              </w:rPr>
              <w:t>900</w:t>
            </w:r>
            <w:r>
              <w:rPr>
                <w:rFonts w:cs="Times New Roman"/>
                <w:color w:val="auto"/>
              </w:rPr>
              <w:t>℃，其他试验装置内试验温度</w:t>
            </w:r>
            <w:r>
              <w:rPr>
                <w:rFonts w:hint="eastAsia" w:cs="Times New Roman"/>
                <w:color w:val="auto"/>
              </w:rPr>
              <w:t>均</w:t>
            </w:r>
            <w:r>
              <w:rPr>
                <w:rFonts w:cs="Times New Roman"/>
                <w:color w:val="auto"/>
              </w:rPr>
              <w:t>低于50℃，燃烧的温度远达不到因空气氧化而导致氮氧化物生成的温度，因此，判断燃烧试验过程无</w:t>
            </w:r>
            <w:r>
              <w:rPr>
                <w:rFonts w:hint="eastAsia" w:cs="Times New Roman"/>
                <w:color w:val="auto"/>
                <w:lang w:val="en-US" w:eastAsia="zh-CN"/>
              </w:rPr>
              <w:t>二氧化硫、</w:t>
            </w:r>
            <w:r>
              <w:rPr>
                <w:rFonts w:cs="Times New Roman"/>
                <w:color w:val="auto"/>
              </w:rPr>
              <w:t>氮氧化物产生。</w:t>
            </w:r>
          </w:p>
          <w:p w14:paraId="419A8EC2">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热值试验在密闭的氧弹内进行，氧弹内底部预先加入一定量纯化水，上部支架放置干锅，在充氧条件下使用苯甲酸燃烧实验样品，燃烧产物大部分为二氧化碳与水，生成少量甲酸，甲酸为极性很强的酸性气体，极易溶于水，实验结束后混摇氧弹，纯化水与燃烧废气充分混合吸收，无污染物排放，检测废液作危废处理。</w:t>
            </w:r>
          </w:p>
          <w:p w14:paraId="4BD9A8FF">
            <w:pPr>
              <w:keepNext w:val="0"/>
              <w:keepLines w:val="0"/>
              <w:widowControl/>
              <w:suppressLineNumbers w:val="0"/>
              <w:jc w:val="left"/>
              <w:rPr>
                <w:rFonts w:hint="eastAsia" w:cs="Times New Roman"/>
                <w:color w:val="000000" w:themeColor="text1"/>
                <w:lang w:val="en-US" w:eastAsia="zh-CN"/>
                <w14:textFill>
                  <w14:solidFill>
                    <w14:schemeClr w14:val="tx1"/>
                  </w14:solidFill>
                </w14:textFill>
              </w:rPr>
            </w:pPr>
            <w:r>
              <w:rPr>
                <w:rFonts w:hAnsi="宋体"/>
                <w:color w:val="000000" w:themeColor="text1"/>
                <w14:textFill>
                  <w14:solidFill>
                    <w14:schemeClr w14:val="tx1"/>
                  </w14:solidFill>
                </w14:textFill>
              </w:rPr>
              <w:t>项目</w:t>
            </w:r>
            <w:r>
              <w:rPr>
                <w:rFonts w:hint="eastAsia" w:hAnsi="宋体"/>
                <w:color w:val="000000" w:themeColor="text1"/>
                <w14:textFill>
                  <w14:solidFill>
                    <w14:schemeClr w14:val="tx1"/>
                  </w14:solidFill>
                </w14:textFill>
              </w:rPr>
              <w:t>样品</w:t>
            </w:r>
            <w:r>
              <w:rPr>
                <w:rFonts w:hAnsi="宋体"/>
                <w:color w:val="000000" w:themeColor="text1"/>
                <w14:textFill>
                  <w14:solidFill>
                    <w14:schemeClr w14:val="tx1"/>
                  </w14:solidFill>
                </w14:textFill>
              </w:rPr>
              <w:t>燃烧废气的主要污染物</w:t>
            </w:r>
            <w:r>
              <w:rPr>
                <w:rFonts w:hint="eastAsia" w:hAnsi="宋体"/>
                <w:color w:val="000000" w:themeColor="text1"/>
                <w14:textFill>
                  <w14:solidFill>
                    <w14:schemeClr w14:val="tx1"/>
                  </w14:solidFill>
                </w14:textFill>
              </w:rPr>
              <w:t>为</w:t>
            </w:r>
            <w:r>
              <w:rPr>
                <w:rFonts w:cs="Times New Roman"/>
                <w:color w:val="000000" w:themeColor="text1"/>
                <w14:textFill>
                  <w14:solidFill>
                    <w14:schemeClr w14:val="tx1"/>
                  </w14:solidFill>
                </w14:textFill>
              </w:rPr>
              <w:t>颗粒物、非甲烷总烃、一氧化碳、氯化氢。</w:t>
            </w:r>
            <w:r>
              <w:rPr>
                <w:rFonts w:hint="eastAsia" w:cs="Times New Roman"/>
                <w:color w:val="000000" w:themeColor="text1"/>
                <w:lang w:val="en-US" w:eastAsia="zh-CN"/>
                <w14:textFill>
                  <w14:solidFill>
                    <w14:schemeClr w14:val="tx1"/>
                  </w14:solidFill>
                </w14:textFill>
              </w:rPr>
              <w:t>参照2025年4月24日北京天衡诚信环境评价中心对密云地区燃烧专项试验室废气治理设施废气监测报告编号（报告编号：</w:t>
            </w:r>
            <w:r>
              <w:rPr>
                <w:rFonts w:hint="eastAsia" w:cs="Times New Roman"/>
                <w:color w:val="000000" w:themeColor="text1"/>
                <w:lang w:val="en-US" w:eastAsia="zh-CN"/>
                <w14:textFill>
                  <w14:solidFill>
                    <w14:schemeClr w14:val="tx1"/>
                  </w14:solidFill>
                </w14:textFill>
              </w:rPr>
              <w:t>(F检)字(2025)第(0424003)号、(F检)字(2025)第(0424004)号、(F检)字(2025)第(0424005)号</w:t>
            </w:r>
            <w:r>
              <w:rPr>
                <w:rFonts w:hint="eastAsia" w:cs="Times New Roman"/>
                <w:color w:val="000000" w:themeColor="text1"/>
                <w:lang w:val="en-US" w:eastAsia="zh-CN"/>
                <w14:textFill>
                  <w14:solidFill>
                    <w14:schemeClr w14:val="tx1"/>
                  </w14:solidFill>
                </w14:textFill>
              </w:rPr>
              <w:t>）。</w:t>
            </w:r>
          </w:p>
          <w:p w14:paraId="45A4F0EF">
            <w:pPr>
              <w:keepNext w:val="0"/>
              <w:keepLines w:val="0"/>
              <w:widowControl/>
              <w:suppressLineNumbers w:val="0"/>
              <w:jc w:val="left"/>
              <w:rPr>
                <w:rFonts w:hAnsi="宋体"/>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类比监测期间，类比项目所有试验均正常进行，</w:t>
            </w:r>
            <w:r>
              <w:rPr>
                <w:rFonts w:hint="eastAsia" w:ascii="Times New Roman" w:hAnsi="Times New Roman" w:eastAsia="宋体"/>
                <w:color w:val="000000" w:themeColor="text1"/>
                <w:sz w:val="24"/>
                <w:szCs w:val="24"/>
                <w:lang w:val="en-US" w:eastAsia="zh-CN"/>
                <w14:textFill>
                  <w14:solidFill>
                    <w14:schemeClr w14:val="tx1"/>
                  </w14:solidFill>
                </w14:textFill>
              </w:rPr>
              <w:t>监测工况</w:t>
            </w:r>
            <w:r>
              <w:rPr>
                <w:rFonts w:hint="eastAsia"/>
                <w:color w:val="000000" w:themeColor="text1"/>
                <w:sz w:val="24"/>
                <w:szCs w:val="24"/>
                <w:lang w:val="en-US" w:eastAsia="zh-CN"/>
                <w14:textFill>
                  <w14:solidFill>
                    <w14:schemeClr w14:val="tx1"/>
                  </w14:solidFill>
                </w14:textFill>
              </w:rPr>
              <w:t>100%</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试验设备、燃料类别用量均与本项目相似，</w:t>
            </w:r>
            <w:r>
              <w:rPr>
                <w:rFonts w:hAnsi="宋体"/>
                <w:color w:val="000000" w:themeColor="text1"/>
                <w14:textFill>
                  <w14:solidFill>
                    <w14:schemeClr w14:val="tx1"/>
                  </w14:solidFill>
                </w14:textFill>
              </w:rPr>
              <w:t>类比项目与</w:t>
            </w:r>
            <w:r>
              <w:rPr>
                <w:rFonts w:hint="eastAsia" w:hAnsi="宋体"/>
                <w:color w:val="000000" w:themeColor="text1"/>
                <w14:textFill>
                  <w14:solidFill>
                    <w14:schemeClr w14:val="tx1"/>
                  </w14:solidFill>
                </w14:textFill>
              </w:rPr>
              <w:t>本</w:t>
            </w:r>
            <w:r>
              <w:rPr>
                <w:rFonts w:hAnsi="宋体"/>
                <w:color w:val="000000" w:themeColor="text1"/>
                <w14:textFill>
                  <w14:solidFill>
                    <w14:schemeClr w14:val="tx1"/>
                  </w14:solidFill>
                </w14:textFill>
              </w:rPr>
              <w:t>项目对比分析见</w:t>
            </w:r>
            <w:r>
              <w:rPr>
                <w:rFonts w:hint="eastAsia" w:hAnsi="宋体"/>
                <w:color w:val="000000" w:themeColor="text1"/>
                <w14:textFill>
                  <w14:solidFill>
                    <w14:schemeClr w14:val="tx1"/>
                  </w14:solidFill>
                </w14:textFill>
              </w:rPr>
              <w:t>下表</w:t>
            </w:r>
            <w:r>
              <w:rPr>
                <w:rFonts w:hAnsi="宋体"/>
                <w:color w:val="000000" w:themeColor="text1"/>
                <w14:textFill>
                  <w14:solidFill>
                    <w14:schemeClr w14:val="tx1"/>
                  </w14:solidFill>
                </w14:textFill>
              </w:rPr>
              <w:t>。</w:t>
            </w:r>
          </w:p>
          <w:p w14:paraId="5975EC5C">
            <w:pPr>
              <w:pStyle w:val="27"/>
              <w:rPr>
                <w:rStyle w:val="23"/>
                <w:rFonts w:cs="Times New Roman"/>
                <w:b w:val="0"/>
                <w:color w:val="000000" w:themeColor="text1"/>
                <w:spacing w:val="0"/>
                <w:kern w:val="0"/>
                <w:szCs w:val="20"/>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3</w:t>
            </w:r>
            <w:r>
              <w:rPr>
                <w:rFonts w:cs="Times New Roman"/>
                <w:color w:val="000000" w:themeColor="text1"/>
                <w14:textFill>
                  <w14:solidFill>
                    <w14:schemeClr w14:val="tx1"/>
                  </w14:solidFill>
                </w14:textFill>
              </w:rPr>
              <w:t xml:space="preserve"> 类比项目与</w:t>
            </w:r>
            <w:r>
              <w:rPr>
                <w:rFonts w:hint="eastAsia" w:cs="Times New Roman"/>
                <w:color w:val="000000" w:themeColor="text1"/>
                <w14:textFill>
                  <w14:solidFill>
                    <w14:schemeClr w14:val="tx1"/>
                  </w14:solidFill>
                </w14:textFill>
              </w:rPr>
              <w:t>本</w:t>
            </w:r>
            <w:r>
              <w:rPr>
                <w:rFonts w:cs="Times New Roman"/>
                <w:color w:val="000000" w:themeColor="text1"/>
                <w14:textFill>
                  <w14:solidFill>
                    <w14:schemeClr w14:val="tx1"/>
                  </w14:solidFill>
                </w14:textFill>
              </w:rPr>
              <w:t>项目的情况对比一览表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49"/>
              <w:gridCol w:w="2488"/>
              <w:gridCol w:w="2507"/>
              <w:gridCol w:w="1171"/>
            </w:tblGrid>
            <w:tr w14:paraId="49ED1E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7" w:type="dxa"/>
                  <w:gridSpan w:val="2"/>
                  <w:tcBorders>
                    <w:tl2br w:val="nil"/>
                    <w:tr2bl w:val="nil"/>
                  </w:tcBorders>
                  <w:vAlign w:val="center"/>
                </w:tcPr>
                <w:p w14:paraId="0C674E79">
                  <w:pPr>
                    <w:pStyle w:val="26"/>
                    <w:adjustRightInd w:val="0"/>
                    <w:snapToGrid w:val="0"/>
                    <w:spacing w:line="24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2488" w:type="dxa"/>
                  <w:tcBorders>
                    <w:tl2br w:val="nil"/>
                    <w:tr2bl w:val="nil"/>
                  </w:tcBorders>
                  <w:vAlign w:val="center"/>
                </w:tcPr>
                <w:p w14:paraId="32324647">
                  <w:pPr>
                    <w:pStyle w:val="26"/>
                    <w:adjustRightInd w:val="0"/>
                    <w:snapToGrid w:val="0"/>
                    <w:spacing w:line="24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类比项目</w:t>
                  </w:r>
                </w:p>
              </w:tc>
              <w:tc>
                <w:tcPr>
                  <w:tcW w:w="2507" w:type="dxa"/>
                  <w:tcBorders>
                    <w:tl2br w:val="nil"/>
                    <w:tr2bl w:val="nil"/>
                  </w:tcBorders>
                  <w:vAlign w:val="center"/>
                </w:tcPr>
                <w:p w14:paraId="249C7700">
                  <w:pPr>
                    <w:pStyle w:val="26"/>
                    <w:adjustRightInd w:val="0"/>
                    <w:snapToGrid w:val="0"/>
                    <w:spacing w:line="24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c>
              <w:tc>
                <w:tcPr>
                  <w:tcW w:w="1171" w:type="dxa"/>
                  <w:tcBorders>
                    <w:tl2br w:val="nil"/>
                    <w:tr2bl w:val="nil"/>
                  </w:tcBorders>
                  <w:vAlign w:val="center"/>
                </w:tcPr>
                <w:p w14:paraId="66AA8C42">
                  <w:pPr>
                    <w:pStyle w:val="26"/>
                    <w:adjustRightInd w:val="0"/>
                    <w:snapToGrid w:val="0"/>
                    <w:spacing w:line="24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可类比性</w:t>
                  </w:r>
                </w:p>
              </w:tc>
            </w:tr>
            <w:tr w14:paraId="5124BE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restart"/>
                  <w:tcBorders>
                    <w:tl2br w:val="nil"/>
                    <w:tr2bl w:val="nil"/>
                  </w:tcBorders>
                  <w:vAlign w:val="center"/>
                </w:tcPr>
                <w:p w14:paraId="7C45E77D">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工程特征</w:t>
                  </w:r>
                </w:p>
              </w:tc>
              <w:tc>
                <w:tcPr>
                  <w:tcW w:w="949" w:type="dxa"/>
                  <w:tcBorders>
                    <w:tl2br w:val="nil"/>
                    <w:tr2bl w:val="nil"/>
                  </w:tcBorders>
                  <w:vAlign w:val="center"/>
                </w:tcPr>
                <w:p w14:paraId="4EB05D51">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性质</w:t>
                  </w:r>
                </w:p>
              </w:tc>
              <w:tc>
                <w:tcPr>
                  <w:tcW w:w="2488" w:type="dxa"/>
                  <w:tcBorders>
                    <w:tl2br w:val="nil"/>
                    <w:tr2bl w:val="nil"/>
                  </w:tcBorders>
                  <w:vAlign w:val="center"/>
                </w:tcPr>
                <w:p w14:paraId="025E8D65">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c>
                <w:tcPr>
                  <w:tcW w:w="2507" w:type="dxa"/>
                  <w:tcBorders>
                    <w:tl2br w:val="nil"/>
                    <w:tr2bl w:val="nil"/>
                  </w:tcBorders>
                  <w:vAlign w:val="center"/>
                </w:tcPr>
                <w:p w14:paraId="102DF1C8">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c>
                <w:tcPr>
                  <w:tcW w:w="1171" w:type="dxa"/>
                  <w:tcBorders>
                    <w:tl2br w:val="nil"/>
                    <w:tr2bl w:val="nil"/>
                  </w:tcBorders>
                  <w:vAlign w:val="center"/>
                </w:tcPr>
                <w:p w14:paraId="6B198594">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一致</w:t>
                  </w:r>
                </w:p>
              </w:tc>
            </w:tr>
            <w:tr w14:paraId="18A17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continue"/>
                  <w:tcBorders>
                    <w:tl2br w:val="nil"/>
                    <w:tr2bl w:val="nil"/>
                  </w:tcBorders>
                  <w:vAlign w:val="center"/>
                </w:tcPr>
                <w:p w14:paraId="6FDCFAF1">
                  <w:pPr>
                    <w:pStyle w:val="26"/>
                    <w:adjustRightInd w:val="0"/>
                    <w:snapToGrid w:val="0"/>
                    <w:spacing w:line="240" w:lineRule="auto"/>
                    <w:rPr>
                      <w:color w:val="000000" w:themeColor="text1"/>
                      <w14:textFill>
                        <w14:solidFill>
                          <w14:schemeClr w14:val="tx1"/>
                        </w14:solidFill>
                      </w14:textFill>
                    </w:rPr>
                  </w:pPr>
                </w:p>
              </w:tc>
              <w:tc>
                <w:tcPr>
                  <w:tcW w:w="949" w:type="dxa"/>
                  <w:tcBorders>
                    <w:tl2br w:val="nil"/>
                    <w:tr2bl w:val="nil"/>
                  </w:tcBorders>
                  <w:vAlign w:val="center"/>
                </w:tcPr>
                <w:p w14:paraId="5B43C304">
                  <w:pPr>
                    <w:pStyle w:val="26"/>
                    <w:adjustRightInd w:val="0"/>
                    <w:snapToGrid w:val="0"/>
                    <w:spacing w:line="240" w:lineRule="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检测项目</w:t>
                  </w:r>
                </w:p>
              </w:tc>
              <w:tc>
                <w:tcPr>
                  <w:tcW w:w="2488" w:type="dxa"/>
                  <w:tcBorders>
                    <w:tl2br w:val="nil"/>
                    <w:tr2bl w:val="nil"/>
                  </w:tcBorders>
                  <w:vAlign w:val="center"/>
                </w:tcPr>
                <w:p w14:paraId="6D1C31C9">
                  <w:pPr>
                    <w:pStyle w:val="26"/>
                    <w:adjustRightInd w:val="0"/>
                    <w:snapToGrid w:val="0"/>
                    <w:spacing w:line="240" w:lineRule="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建筑材料难燃性、不燃性检测、热值、可燃性等检测</w:t>
                  </w:r>
                  <w:r>
                    <w:rPr>
                      <w:rFonts w:hint="eastAsia"/>
                      <w:color w:val="000000" w:themeColor="text1"/>
                      <w:lang w:val="en-US" w:eastAsia="zh-CN"/>
                      <w14:textFill>
                        <w14:solidFill>
                          <w14:schemeClr w14:val="tx1"/>
                        </w14:solidFill>
                      </w14:textFill>
                    </w:rPr>
                    <w:t>等</w:t>
                  </w:r>
                </w:p>
              </w:tc>
              <w:tc>
                <w:tcPr>
                  <w:tcW w:w="2507" w:type="dxa"/>
                  <w:tcBorders>
                    <w:tl2br w:val="nil"/>
                    <w:tr2bl w:val="nil"/>
                  </w:tcBorders>
                  <w:vAlign w:val="center"/>
                </w:tcPr>
                <w:p w14:paraId="03692963">
                  <w:pPr>
                    <w:pStyle w:val="26"/>
                    <w:adjustRightInd w:val="0"/>
                    <w:snapToGrid w:val="0"/>
                    <w:spacing w:line="240" w:lineRule="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建筑材料难燃性、不燃性检测、热值、可燃性等检测</w:t>
                  </w:r>
                  <w:r>
                    <w:rPr>
                      <w:rFonts w:hint="eastAsia"/>
                      <w:color w:val="000000" w:themeColor="text1"/>
                      <w:lang w:val="en-US" w:eastAsia="zh-CN"/>
                      <w14:textFill>
                        <w14:solidFill>
                          <w14:schemeClr w14:val="tx1"/>
                        </w14:solidFill>
                      </w14:textFill>
                    </w:rPr>
                    <w:t>等</w:t>
                  </w:r>
                </w:p>
              </w:tc>
              <w:tc>
                <w:tcPr>
                  <w:tcW w:w="1171" w:type="dxa"/>
                  <w:tcBorders>
                    <w:tl2br w:val="nil"/>
                    <w:tr2bl w:val="nil"/>
                  </w:tcBorders>
                  <w:vAlign w:val="center"/>
                </w:tcPr>
                <w:p w14:paraId="740E13CC">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一致</w:t>
                  </w:r>
                </w:p>
              </w:tc>
            </w:tr>
            <w:tr w14:paraId="3D4FB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continue"/>
                  <w:tcBorders>
                    <w:tl2br w:val="nil"/>
                    <w:tr2bl w:val="nil"/>
                  </w:tcBorders>
                  <w:vAlign w:val="center"/>
                </w:tcPr>
                <w:p w14:paraId="001468B5">
                  <w:pPr>
                    <w:pStyle w:val="26"/>
                    <w:adjustRightInd w:val="0"/>
                    <w:snapToGrid w:val="0"/>
                    <w:spacing w:line="240" w:lineRule="auto"/>
                    <w:rPr>
                      <w:color w:val="000000" w:themeColor="text1"/>
                      <w14:textFill>
                        <w14:solidFill>
                          <w14:schemeClr w14:val="tx1"/>
                        </w14:solidFill>
                      </w14:textFill>
                    </w:rPr>
                  </w:pPr>
                </w:p>
              </w:tc>
              <w:tc>
                <w:tcPr>
                  <w:tcW w:w="949" w:type="dxa"/>
                  <w:tcBorders>
                    <w:tl2br w:val="nil"/>
                    <w:tr2bl w:val="nil"/>
                  </w:tcBorders>
                  <w:vAlign w:val="center"/>
                </w:tcPr>
                <w:p w14:paraId="6FCA97C9">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工艺路线</w:t>
                  </w:r>
                </w:p>
              </w:tc>
              <w:tc>
                <w:tcPr>
                  <w:tcW w:w="2488" w:type="dxa"/>
                  <w:tcBorders>
                    <w:tl2br w:val="nil"/>
                    <w:tr2bl w:val="nil"/>
                  </w:tcBorders>
                  <w:vAlign w:val="center"/>
                </w:tcPr>
                <w:p w14:paraId="30B8959B">
                  <w:pPr>
                    <w:pStyle w:val="26"/>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样品成型、样品养护、样品试验、出具报告。</w:t>
                  </w:r>
                </w:p>
              </w:tc>
              <w:tc>
                <w:tcPr>
                  <w:tcW w:w="2507" w:type="dxa"/>
                  <w:tcBorders>
                    <w:tl2br w:val="nil"/>
                    <w:tr2bl w:val="nil"/>
                  </w:tcBorders>
                  <w:vAlign w:val="center"/>
                </w:tcPr>
                <w:p w14:paraId="6CBC845A">
                  <w:pPr>
                    <w:pStyle w:val="26"/>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样品成型、样品养护、样品试验、出具报告。</w:t>
                  </w:r>
                </w:p>
              </w:tc>
              <w:tc>
                <w:tcPr>
                  <w:tcW w:w="1171" w:type="dxa"/>
                  <w:tcBorders>
                    <w:tl2br w:val="nil"/>
                    <w:tr2bl w:val="nil"/>
                  </w:tcBorders>
                  <w:vAlign w:val="center"/>
                </w:tcPr>
                <w:p w14:paraId="5BB165A2">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一致</w:t>
                  </w:r>
                </w:p>
              </w:tc>
            </w:tr>
            <w:tr w14:paraId="3FE4B9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continue"/>
                  <w:tcBorders>
                    <w:tl2br w:val="nil"/>
                    <w:tr2bl w:val="nil"/>
                  </w:tcBorders>
                  <w:vAlign w:val="center"/>
                </w:tcPr>
                <w:p w14:paraId="3BBD2CD8">
                  <w:pPr>
                    <w:pStyle w:val="26"/>
                    <w:adjustRightInd w:val="0"/>
                    <w:snapToGrid w:val="0"/>
                    <w:spacing w:line="240" w:lineRule="auto"/>
                    <w:rPr>
                      <w:color w:val="000000" w:themeColor="text1"/>
                      <w14:textFill>
                        <w14:solidFill>
                          <w14:schemeClr w14:val="tx1"/>
                        </w14:solidFill>
                      </w14:textFill>
                    </w:rPr>
                  </w:pPr>
                </w:p>
              </w:tc>
              <w:tc>
                <w:tcPr>
                  <w:tcW w:w="949" w:type="dxa"/>
                  <w:tcBorders>
                    <w:tl2br w:val="nil"/>
                    <w:tr2bl w:val="nil"/>
                  </w:tcBorders>
                  <w:vAlign w:val="center"/>
                </w:tcPr>
                <w:p w14:paraId="5F939512">
                  <w:pPr>
                    <w:pStyle w:val="26"/>
                    <w:adjustRightInd w:val="0"/>
                    <w:snapToGrid w:val="0"/>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燃料</w:t>
                  </w:r>
                  <w:r>
                    <w:rPr>
                      <w:rFonts w:hint="eastAsia"/>
                      <w:color w:val="000000" w:themeColor="text1"/>
                      <w:lang w:val="en-US" w:eastAsia="zh-CN"/>
                      <w14:textFill>
                        <w14:solidFill>
                          <w14:schemeClr w14:val="tx1"/>
                        </w14:solidFill>
                      </w14:textFill>
                    </w:rPr>
                    <w:t>及用量</w:t>
                  </w:r>
                </w:p>
              </w:tc>
              <w:tc>
                <w:tcPr>
                  <w:tcW w:w="2488" w:type="dxa"/>
                  <w:tcBorders>
                    <w:tl2br w:val="nil"/>
                    <w:tr2bl w:val="nil"/>
                  </w:tcBorders>
                  <w:vAlign w:val="center"/>
                </w:tcPr>
                <w:p w14:paraId="107AFB41">
                  <w:pPr>
                    <w:pStyle w:val="26"/>
                    <w:adjustRightInd w:val="0"/>
                    <w:snapToGrid w:val="0"/>
                    <w:spacing w:line="240" w:lineRule="auto"/>
                    <w:rPr>
                      <w:rFonts w:hint="eastAsia"/>
                      <w:color w:val="auto"/>
                      <w:highlight w:val="none"/>
                    </w:rPr>
                  </w:pPr>
                  <w:r>
                    <w:rPr>
                      <w:rFonts w:hint="eastAsia"/>
                      <w:color w:val="auto"/>
                      <w:highlight w:val="none"/>
                    </w:rPr>
                    <w:t>甲烷</w:t>
                  </w:r>
                  <w:r>
                    <w:rPr>
                      <w:rFonts w:hint="eastAsia"/>
                      <w:color w:val="auto"/>
                      <w:highlight w:val="none"/>
                      <w:lang w:eastAsia="zh-CN"/>
                    </w:rPr>
                    <w:t>（</w:t>
                  </w:r>
                  <w:r>
                    <w:rPr>
                      <w:rFonts w:hint="eastAsia"/>
                      <w:color w:val="auto"/>
                      <w:highlight w:val="none"/>
                      <w:lang w:val="en-US" w:eastAsia="zh-CN"/>
                    </w:rPr>
                    <w:t>30.77kg/a</w:t>
                  </w:r>
                  <w:r>
                    <w:rPr>
                      <w:rFonts w:hint="eastAsia"/>
                      <w:color w:val="auto"/>
                      <w:highlight w:val="none"/>
                      <w:lang w:eastAsia="zh-CN"/>
                    </w:rPr>
                    <w:t>）</w:t>
                  </w:r>
                </w:p>
                <w:p w14:paraId="49A1184E">
                  <w:pPr>
                    <w:pStyle w:val="26"/>
                    <w:adjustRightInd w:val="0"/>
                    <w:snapToGrid w:val="0"/>
                    <w:spacing w:line="240" w:lineRule="auto"/>
                    <w:rPr>
                      <w:color w:val="auto"/>
                      <w:highlight w:val="none"/>
                    </w:rPr>
                  </w:pPr>
                  <w:r>
                    <w:rPr>
                      <w:rFonts w:hint="eastAsia"/>
                      <w:color w:val="auto"/>
                      <w:highlight w:val="none"/>
                    </w:rPr>
                    <w:t>丙烷</w:t>
                  </w:r>
                  <w:r>
                    <w:rPr>
                      <w:rFonts w:hint="eastAsia"/>
                      <w:color w:val="auto"/>
                      <w:highlight w:val="none"/>
                      <w:lang w:eastAsia="zh-CN"/>
                    </w:rPr>
                    <w:t>（</w:t>
                  </w:r>
                  <w:r>
                    <w:rPr>
                      <w:rFonts w:hint="eastAsia"/>
                      <w:color w:val="auto"/>
                      <w:highlight w:val="none"/>
                      <w:lang w:val="en-US" w:eastAsia="zh-CN"/>
                    </w:rPr>
                    <w:t>3720kg/a</w:t>
                  </w:r>
                  <w:r>
                    <w:rPr>
                      <w:rFonts w:hint="eastAsia"/>
                      <w:color w:val="auto"/>
                      <w:highlight w:val="none"/>
                      <w:lang w:eastAsia="zh-CN"/>
                    </w:rPr>
                    <w:t>）</w:t>
                  </w:r>
                </w:p>
              </w:tc>
              <w:tc>
                <w:tcPr>
                  <w:tcW w:w="2507" w:type="dxa"/>
                  <w:tcBorders>
                    <w:tl2br w:val="nil"/>
                    <w:tr2bl w:val="nil"/>
                  </w:tcBorders>
                  <w:vAlign w:val="center"/>
                </w:tcPr>
                <w:p w14:paraId="1D550B3A">
                  <w:pPr>
                    <w:pStyle w:val="26"/>
                    <w:adjustRightInd w:val="0"/>
                    <w:snapToGrid w:val="0"/>
                    <w:spacing w:line="240" w:lineRule="auto"/>
                    <w:rPr>
                      <w:rFonts w:hint="eastAsia"/>
                      <w:color w:val="auto"/>
                      <w:highlight w:val="none"/>
                      <w:lang w:eastAsia="zh-CN"/>
                    </w:rPr>
                  </w:pPr>
                  <w:r>
                    <w:rPr>
                      <w:rFonts w:hint="eastAsia"/>
                      <w:color w:val="auto"/>
                      <w:highlight w:val="none"/>
                    </w:rPr>
                    <w:t>甲烷</w:t>
                  </w:r>
                  <w:r>
                    <w:rPr>
                      <w:rFonts w:hint="eastAsia"/>
                      <w:color w:val="auto"/>
                      <w:highlight w:val="none"/>
                      <w:lang w:eastAsia="zh-CN"/>
                    </w:rPr>
                    <w:t>（</w:t>
                  </w:r>
                  <w:r>
                    <w:rPr>
                      <w:rFonts w:hint="eastAsia"/>
                      <w:color w:val="auto"/>
                      <w:highlight w:val="none"/>
                      <w:lang w:val="en-US" w:eastAsia="zh-CN"/>
                    </w:rPr>
                    <w:t>9.67kg/a</w:t>
                  </w:r>
                  <w:r>
                    <w:rPr>
                      <w:rFonts w:hint="eastAsia"/>
                      <w:color w:val="auto"/>
                      <w:highlight w:val="none"/>
                      <w:lang w:eastAsia="zh-CN"/>
                    </w:rPr>
                    <w:t>）</w:t>
                  </w:r>
                </w:p>
                <w:p w14:paraId="088F22A6">
                  <w:pPr>
                    <w:pStyle w:val="26"/>
                    <w:adjustRightInd w:val="0"/>
                    <w:snapToGrid w:val="0"/>
                    <w:spacing w:line="240" w:lineRule="auto"/>
                    <w:rPr>
                      <w:rFonts w:hint="eastAsia" w:eastAsia="宋体"/>
                      <w:color w:val="auto"/>
                      <w:highlight w:val="none"/>
                      <w:lang w:eastAsia="zh-CN"/>
                    </w:rPr>
                  </w:pPr>
                  <w:r>
                    <w:rPr>
                      <w:rFonts w:hint="eastAsia"/>
                      <w:color w:val="auto"/>
                      <w:highlight w:val="none"/>
                    </w:rPr>
                    <w:t>丙烷</w:t>
                  </w:r>
                  <w:r>
                    <w:rPr>
                      <w:rFonts w:hint="eastAsia"/>
                      <w:color w:val="auto"/>
                      <w:highlight w:val="none"/>
                      <w:lang w:eastAsia="zh-CN"/>
                    </w:rPr>
                    <w:t>（</w:t>
                  </w:r>
                  <w:r>
                    <w:rPr>
                      <w:rFonts w:hint="eastAsia"/>
                      <w:color w:val="auto"/>
                      <w:highlight w:val="none"/>
                      <w:lang w:val="en-US" w:eastAsia="zh-CN"/>
                    </w:rPr>
                    <w:t>814.78kg/a</w:t>
                  </w:r>
                  <w:r>
                    <w:rPr>
                      <w:rFonts w:hint="eastAsia"/>
                      <w:color w:val="auto"/>
                      <w:highlight w:val="none"/>
                      <w:lang w:eastAsia="zh-CN"/>
                    </w:rPr>
                    <w:t>）</w:t>
                  </w:r>
                </w:p>
              </w:tc>
              <w:tc>
                <w:tcPr>
                  <w:tcW w:w="1171" w:type="dxa"/>
                  <w:tcBorders>
                    <w:tl2br w:val="nil"/>
                    <w:tr2bl w:val="nil"/>
                  </w:tcBorders>
                  <w:vAlign w:val="center"/>
                </w:tcPr>
                <w:p w14:paraId="04FAD277">
                  <w:pPr>
                    <w:pStyle w:val="26"/>
                    <w:adjustRightInd w:val="0"/>
                    <w:snapToGrid w:val="0"/>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低于类比项目</w:t>
                  </w:r>
                </w:p>
              </w:tc>
            </w:tr>
            <w:tr w14:paraId="161981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restart"/>
                  <w:tcBorders>
                    <w:tl2br w:val="nil"/>
                    <w:tr2bl w:val="nil"/>
                  </w:tcBorders>
                  <w:vAlign w:val="center"/>
                </w:tcPr>
                <w:p w14:paraId="68A06872">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大气污染物排放特征</w:t>
                  </w:r>
                </w:p>
              </w:tc>
              <w:tc>
                <w:tcPr>
                  <w:tcW w:w="949" w:type="dxa"/>
                  <w:tcBorders>
                    <w:tl2br w:val="nil"/>
                    <w:tr2bl w:val="nil"/>
                  </w:tcBorders>
                  <w:vAlign w:val="center"/>
                </w:tcPr>
                <w:p w14:paraId="2BFF1373">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排放类型</w:t>
                  </w:r>
                </w:p>
              </w:tc>
              <w:tc>
                <w:tcPr>
                  <w:tcW w:w="2488" w:type="dxa"/>
                  <w:tcBorders>
                    <w:tl2br w:val="nil"/>
                    <w:tr2bl w:val="nil"/>
                  </w:tcBorders>
                  <w:vAlign w:val="center"/>
                </w:tcPr>
                <w:p w14:paraId="51BD6F1B">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w:t>
                  </w:r>
                </w:p>
              </w:tc>
              <w:tc>
                <w:tcPr>
                  <w:tcW w:w="2507" w:type="dxa"/>
                  <w:tcBorders>
                    <w:tl2br w:val="nil"/>
                    <w:tr2bl w:val="nil"/>
                  </w:tcBorders>
                  <w:vAlign w:val="center"/>
                </w:tcPr>
                <w:p w14:paraId="20B7AB4D">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w:t>
                  </w:r>
                </w:p>
              </w:tc>
              <w:tc>
                <w:tcPr>
                  <w:tcW w:w="1171" w:type="dxa"/>
                  <w:tcBorders>
                    <w:tl2br w:val="nil"/>
                    <w:tr2bl w:val="nil"/>
                  </w:tcBorders>
                  <w:vAlign w:val="center"/>
                </w:tcPr>
                <w:p w14:paraId="19897EC1">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一致</w:t>
                  </w:r>
                </w:p>
              </w:tc>
            </w:tr>
            <w:tr w14:paraId="3C6AAE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vMerge w:val="continue"/>
                  <w:tcBorders>
                    <w:tl2br w:val="nil"/>
                    <w:tr2bl w:val="nil"/>
                  </w:tcBorders>
                  <w:vAlign w:val="center"/>
                </w:tcPr>
                <w:p w14:paraId="5DC423F7">
                  <w:pPr>
                    <w:pStyle w:val="26"/>
                    <w:adjustRightInd w:val="0"/>
                    <w:snapToGrid w:val="0"/>
                    <w:spacing w:line="240" w:lineRule="auto"/>
                    <w:rPr>
                      <w:color w:val="000000" w:themeColor="text1"/>
                      <w14:textFill>
                        <w14:solidFill>
                          <w14:schemeClr w14:val="tx1"/>
                        </w14:solidFill>
                      </w14:textFill>
                    </w:rPr>
                  </w:pPr>
                </w:p>
              </w:tc>
              <w:tc>
                <w:tcPr>
                  <w:tcW w:w="949" w:type="dxa"/>
                  <w:tcBorders>
                    <w:tl2br w:val="nil"/>
                    <w:tr2bl w:val="nil"/>
                  </w:tcBorders>
                  <w:vAlign w:val="center"/>
                </w:tcPr>
                <w:p w14:paraId="2D5601C2">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2488" w:type="dxa"/>
                  <w:tcBorders>
                    <w:tl2br w:val="nil"/>
                    <w:tr2bl w:val="nil"/>
                  </w:tcBorders>
                  <w:shd w:val="clear" w:color="auto" w:fill="auto"/>
                  <w:vAlign w:val="center"/>
                </w:tcPr>
                <w:p w14:paraId="0239C633">
                  <w:pPr>
                    <w:pStyle w:val="26"/>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颗粒物、非甲烷总烃、一氧化碳、氯化氢。</w:t>
                  </w:r>
                </w:p>
              </w:tc>
              <w:tc>
                <w:tcPr>
                  <w:tcW w:w="2507" w:type="dxa"/>
                  <w:tcBorders>
                    <w:tl2br w:val="nil"/>
                    <w:tr2bl w:val="nil"/>
                  </w:tcBorders>
                  <w:shd w:val="clear" w:color="auto" w:fill="auto"/>
                  <w:vAlign w:val="center"/>
                </w:tcPr>
                <w:p w14:paraId="449BDF68">
                  <w:pPr>
                    <w:pStyle w:val="26"/>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颗粒物、非甲烷总烃、一氧化碳、氯化氢。</w:t>
                  </w:r>
                </w:p>
              </w:tc>
              <w:tc>
                <w:tcPr>
                  <w:tcW w:w="1171" w:type="dxa"/>
                  <w:tcBorders>
                    <w:tl2br w:val="nil"/>
                    <w:tr2bl w:val="nil"/>
                  </w:tcBorders>
                  <w:vAlign w:val="center"/>
                </w:tcPr>
                <w:p w14:paraId="532820B4">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一致</w:t>
                  </w:r>
                </w:p>
              </w:tc>
            </w:tr>
            <w:tr w14:paraId="288FB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7" w:type="dxa"/>
                  <w:gridSpan w:val="2"/>
                  <w:tcBorders>
                    <w:tl2br w:val="nil"/>
                    <w:tr2bl w:val="nil"/>
                  </w:tcBorders>
                  <w:vAlign w:val="center"/>
                </w:tcPr>
                <w:p w14:paraId="142987E7">
                  <w:pPr>
                    <w:pStyle w:val="26"/>
                    <w:adjustRightInd w:val="0"/>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类比可行性</w:t>
                  </w:r>
                </w:p>
              </w:tc>
              <w:tc>
                <w:tcPr>
                  <w:tcW w:w="6166" w:type="dxa"/>
                  <w:gridSpan w:val="3"/>
                  <w:tcBorders>
                    <w:tl2br w:val="nil"/>
                    <w:tr2bl w:val="nil"/>
                  </w:tcBorders>
                  <w:vAlign w:val="center"/>
                </w:tcPr>
                <w:p w14:paraId="205775FA">
                  <w:pPr>
                    <w:pStyle w:val="26"/>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类比项目与</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具有可类比性</w:t>
                  </w:r>
                </w:p>
              </w:tc>
            </w:tr>
          </w:tbl>
          <w:p w14:paraId="2D52959F">
            <w:pPr>
              <w:pStyle w:val="27"/>
              <w:ind w:firstLine="434" w:firstLineChars="200"/>
              <w:jc w:val="both"/>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类比项目治理设施前废气检测结果见下表。</w:t>
            </w:r>
          </w:p>
          <w:p w14:paraId="1FE03F7F">
            <w:pPr>
              <w:pStyle w:val="2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类比项目治理设施前废气</w:t>
            </w:r>
            <w:r>
              <w:rPr>
                <w:rFonts w:cs="Times New Roman"/>
                <w:color w:val="000000" w:themeColor="text1"/>
                <w14:textFill>
                  <w14:solidFill>
                    <w14:schemeClr w14:val="tx1"/>
                  </w14:solidFill>
                </w14:textFill>
              </w:rPr>
              <w:t>结果一览表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160"/>
              <w:gridCol w:w="2376"/>
              <w:gridCol w:w="2202"/>
            </w:tblGrid>
            <w:tr w14:paraId="49CD9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restart"/>
                  <w:tcBorders>
                    <w:tl2br w:val="nil"/>
                    <w:tr2bl w:val="nil"/>
                  </w:tcBorders>
                  <w:vAlign w:val="center"/>
                </w:tcPr>
                <w:p w14:paraId="1BABF776">
                  <w:pPr>
                    <w:pStyle w:val="26"/>
                    <w:snapToGrid w:val="0"/>
                    <w:spacing w:line="240" w:lineRule="auto"/>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产品名称</w:t>
                  </w:r>
                </w:p>
              </w:tc>
              <w:tc>
                <w:tcPr>
                  <w:tcW w:w="2160" w:type="dxa"/>
                  <w:vMerge w:val="restart"/>
                  <w:tcBorders>
                    <w:tl2br w:val="nil"/>
                    <w:tr2bl w:val="nil"/>
                  </w:tcBorders>
                  <w:vAlign w:val="center"/>
                </w:tcPr>
                <w:p w14:paraId="600ADA06">
                  <w:pPr>
                    <w:pStyle w:val="26"/>
                    <w:snapToGrid w:val="0"/>
                    <w:spacing w:line="240" w:lineRule="auto"/>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4578" w:type="dxa"/>
                  <w:gridSpan w:val="2"/>
                  <w:tcBorders>
                    <w:tl2br w:val="nil"/>
                    <w:tr2bl w:val="nil"/>
                  </w:tcBorders>
                  <w:vAlign w:val="center"/>
                </w:tcPr>
                <w:p w14:paraId="79E915F1">
                  <w:pPr>
                    <w:pStyle w:val="26"/>
                    <w:snapToGrid w:val="0"/>
                    <w:spacing w:line="240" w:lineRule="auto"/>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检测结果</w:t>
                  </w:r>
                </w:p>
              </w:tc>
            </w:tr>
            <w:tr w14:paraId="75B224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4187C2E5">
                  <w:pPr>
                    <w:pStyle w:val="26"/>
                    <w:snapToGrid w:val="0"/>
                    <w:spacing w:line="240" w:lineRule="auto"/>
                    <w:rPr>
                      <w:rFonts w:cs="Times New Roman"/>
                      <w:b/>
                      <w:bCs/>
                      <w:color w:val="000000" w:themeColor="text1"/>
                      <w:szCs w:val="21"/>
                      <w14:textFill>
                        <w14:solidFill>
                          <w14:schemeClr w14:val="tx1"/>
                        </w14:solidFill>
                      </w14:textFill>
                    </w:rPr>
                  </w:pPr>
                </w:p>
              </w:tc>
              <w:tc>
                <w:tcPr>
                  <w:tcW w:w="2160" w:type="dxa"/>
                  <w:vMerge w:val="continue"/>
                  <w:tcBorders>
                    <w:tl2br w:val="nil"/>
                    <w:tr2bl w:val="nil"/>
                  </w:tcBorders>
                  <w:vAlign w:val="center"/>
                </w:tcPr>
                <w:p w14:paraId="28C01186">
                  <w:pPr>
                    <w:pStyle w:val="26"/>
                    <w:snapToGrid w:val="0"/>
                    <w:spacing w:line="240" w:lineRule="auto"/>
                    <w:rPr>
                      <w:rFonts w:cs="Times New Roman"/>
                      <w:b/>
                      <w:bCs/>
                      <w:color w:val="000000" w:themeColor="text1"/>
                      <w:szCs w:val="21"/>
                      <w14:textFill>
                        <w14:solidFill>
                          <w14:schemeClr w14:val="tx1"/>
                        </w14:solidFill>
                      </w14:textFill>
                    </w:rPr>
                  </w:pPr>
                </w:p>
              </w:tc>
              <w:tc>
                <w:tcPr>
                  <w:tcW w:w="2376" w:type="dxa"/>
                  <w:tcBorders>
                    <w:tl2br w:val="nil"/>
                    <w:tr2bl w:val="nil"/>
                  </w:tcBorders>
                  <w:vAlign w:val="center"/>
                </w:tcPr>
                <w:p w14:paraId="08588CE9">
                  <w:pPr>
                    <w:pStyle w:val="26"/>
                    <w:snapToGrid w:val="0"/>
                    <w:spacing w:line="240" w:lineRule="auto"/>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排放浓度（mg/m</w:t>
                  </w:r>
                  <w:r>
                    <w:rPr>
                      <w:rFonts w:cs="Times New Roman"/>
                      <w:b/>
                      <w:bCs/>
                      <w:color w:val="000000" w:themeColor="text1"/>
                      <w:szCs w:val="21"/>
                      <w:vertAlign w:val="superscript"/>
                      <w14:textFill>
                        <w14:solidFill>
                          <w14:schemeClr w14:val="tx1"/>
                        </w14:solidFill>
                      </w14:textFill>
                    </w:rPr>
                    <w:t>3</w:t>
                  </w:r>
                  <w:r>
                    <w:rPr>
                      <w:rFonts w:cs="Times New Roman"/>
                      <w:b/>
                      <w:bCs/>
                      <w:color w:val="000000" w:themeColor="text1"/>
                      <w:szCs w:val="21"/>
                      <w14:textFill>
                        <w14:solidFill>
                          <w14:schemeClr w14:val="tx1"/>
                        </w14:solidFill>
                      </w14:textFill>
                    </w:rPr>
                    <w:t>）</w:t>
                  </w:r>
                </w:p>
              </w:tc>
              <w:tc>
                <w:tcPr>
                  <w:tcW w:w="2202" w:type="dxa"/>
                  <w:tcBorders>
                    <w:tl2br w:val="nil"/>
                    <w:tr2bl w:val="nil"/>
                  </w:tcBorders>
                  <w:vAlign w:val="center"/>
                </w:tcPr>
                <w:p w14:paraId="056E33D3">
                  <w:pPr>
                    <w:pStyle w:val="26"/>
                    <w:snapToGrid w:val="0"/>
                    <w:spacing w:line="240" w:lineRule="auto"/>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排放速率（kg/h）</w:t>
                  </w:r>
                </w:p>
              </w:tc>
            </w:tr>
            <w:tr w14:paraId="46EB5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restart"/>
                  <w:tcBorders>
                    <w:tl2br w:val="nil"/>
                    <w:tr2bl w:val="nil"/>
                  </w:tcBorders>
                  <w:vAlign w:val="center"/>
                </w:tcPr>
                <w:p w14:paraId="3D95A7AA">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聚苯板</w:t>
                  </w:r>
                </w:p>
              </w:tc>
              <w:tc>
                <w:tcPr>
                  <w:tcW w:w="2160" w:type="dxa"/>
                  <w:tcBorders>
                    <w:tl2br w:val="nil"/>
                    <w:tr2bl w:val="nil"/>
                  </w:tcBorders>
                  <w:vAlign w:val="center"/>
                </w:tcPr>
                <w:p w14:paraId="4AC3D5BA">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2376" w:type="dxa"/>
                  <w:tcBorders>
                    <w:tl2br w:val="nil"/>
                    <w:tr2bl w:val="nil"/>
                  </w:tcBorders>
                  <w:vAlign w:val="center"/>
                </w:tcPr>
                <w:p w14:paraId="1C2763E3">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w:t>
                  </w:r>
                </w:p>
              </w:tc>
              <w:tc>
                <w:tcPr>
                  <w:tcW w:w="2202" w:type="dxa"/>
                  <w:tcBorders>
                    <w:tl2br w:val="nil"/>
                    <w:tr2bl w:val="nil"/>
                  </w:tcBorders>
                  <w:vAlign w:val="center"/>
                </w:tcPr>
                <w:p w14:paraId="40CAE9E8">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0.011</w:t>
                  </w:r>
                </w:p>
              </w:tc>
            </w:tr>
            <w:tr w14:paraId="0D3667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7916998E">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40D768D9">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非甲烷总烃</w:t>
                  </w:r>
                </w:p>
              </w:tc>
              <w:tc>
                <w:tcPr>
                  <w:tcW w:w="2376" w:type="dxa"/>
                  <w:tcBorders>
                    <w:tl2br w:val="nil"/>
                    <w:tr2bl w:val="nil"/>
                  </w:tcBorders>
                  <w:vAlign w:val="center"/>
                </w:tcPr>
                <w:p w14:paraId="761EC4EC">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6.46</w:t>
                  </w:r>
                </w:p>
              </w:tc>
              <w:tc>
                <w:tcPr>
                  <w:tcW w:w="2202" w:type="dxa"/>
                  <w:tcBorders>
                    <w:tl2br w:val="nil"/>
                    <w:tr2bl w:val="nil"/>
                  </w:tcBorders>
                  <w:vAlign w:val="center"/>
                </w:tcPr>
                <w:p w14:paraId="39060687">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0.0295</w:t>
                  </w:r>
                </w:p>
              </w:tc>
            </w:tr>
            <w:tr w14:paraId="08B7B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06B6ABAE">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33EEDB19">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氯化氢</w:t>
                  </w:r>
                </w:p>
              </w:tc>
              <w:tc>
                <w:tcPr>
                  <w:tcW w:w="2376" w:type="dxa"/>
                  <w:tcBorders>
                    <w:tl2br w:val="nil"/>
                    <w:tr2bl w:val="nil"/>
                  </w:tcBorders>
                  <w:vAlign w:val="center"/>
                </w:tcPr>
                <w:p w14:paraId="7CB5EFF8">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0.2</w:t>
                  </w:r>
                </w:p>
              </w:tc>
              <w:tc>
                <w:tcPr>
                  <w:tcW w:w="2202" w:type="dxa"/>
                  <w:tcBorders>
                    <w:tl2br w:val="nil"/>
                    <w:tr2bl w:val="nil"/>
                  </w:tcBorders>
                  <w:vAlign w:val="center"/>
                </w:tcPr>
                <w:p w14:paraId="6ED0618F">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4.6</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-4</w:t>
                  </w:r>
                </w:p>
              </w:tc>
            </w:tr>
            <w:tr w14:paraId="2C215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6D8DD376">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4AEA78FC">
                  <w:pPr>
                    <w:pStyle w:val="26"/>
                    <w:snapToGrid w:val="0"/>
                    <w:spacing w:line="240" w:lineRule="auto"/>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一氧化碳</w:t>
                  </w:r>
                </w:p>
              </w:tc>
              <w:tc>
                <w:tcPr>
                  <w:tcW w:w="2376" w:type="dxa"/>
                  <w:tcBorders>
                    <w:tl2br w:val="nil"/>
                    <w:tr2bl w:val="nil"/>
                  </w:tcBorders>
                  <w:shd w:val="clear" w:color="auto" w:fill="auto"/>
                  <w:vAlign w:val="center"/>
                </w:tcPr>
                <w:p w14:paraId="795FD6B5">
                  <w:pPr>
                    <w:pStyle w:val="26"/>
                    <w:snapToGrid w:val="0"/>
                    <w:spacing w:line="240" w:lineRule="auto"/>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3</w:t>
                  </w:r>
                </w:p>
              </w:tc>
              <w:tc>
                <w:tcPr>
                  <w:tcW w:w="2202" w:type="dxa"/>
                  <w:tcBorders>
                    <w:tl2br w:val="nil"/>
                    <w:tr2bl w:val="nil"/>
                  </w:tcBorders>
                  <w:shd w:val="clear" w:color="auto" w:fill="auto"/>
                  <w:vAlign w:val="center"/>
                </w:tcPr>
                <w:p w14:paraId="2C0819D9">
                  <w:pPr>
                    <w:pStyle w:val="26"/>
                    <w:snapToGrid w:val="0"/>
                    <w:spacing w:line="240" w:lineRule="auto"/>
                    <w:rPr>
                      <w:rFonts w:hint="default" w:cs="Times New Roman"/>
                      <w:color w:val="000000" w:themeColor="text1"/>
                      <w:szCs w:val="21"/>
                      <w:lang w:val="en-US"/>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6.9</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-3</w:t>
                  </w:r>
                </w:p>
              </w:tc>
            </w:tr>
            <w:tr w14:paraId="6C8B6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restart"/>
                  <w:tcBorders>
                    <w:tl2br w:val="nil"/>
                    <w:tr2bl w:val="nil"/>
                  </w:tcBorders>
                  <w:vAlign w:val="center"/>
                </w:tcPr>
                <w:p w14:paraId="71E89F32">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聚氨酯板</w:t>
                  </w:r>
                </w:p>
              </w:tc>
              <w:tc>
                <w:tcPr>
                  <w:tcW w:w="2160" w:type="dxa"/>
                  <w:tcBorders>
                    <w:tl2br w:val="nil"/>
                    <w:tr2bl w:val="nil"/>
                  </w:tcBorders>
                  <w:vAlign w:val="center"/>
                </w:tcPr>
                <w:p w14:paraId="009DD523">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2376" w:type="dxa"/>
                  <w:tcBorders>
                    <w:tl2br w:val="nil"/>
                    <w:tr2bl w:val="nil"/>
                  </w:tcBorders>
                  <w:vAlign w:val="center"/>
                </w:tcPr>
                <w:p w14:paraId="793C906C">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2.3</w:t>
                  </w:r>
                </w:p>
              </w:tc>
              <w:tc>
                <w:tcPr>
                  <w:tcW w:w="2202" w:type="dxa"/>
                  <w:tcBorders>
                    <w:tl2br w:val="nil"/>
                    <w:tr2bl w:val="nil"/>
                  </w:tcBorders>
                  <w:vAlign w:val="center"/>
                </w:tcPr>
                <w:p w14:paraId="5A5F503C">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0.012</w:t>
                  </w:r>
                </w:p>
              </w:tc>
            </w:tr>
            <w:tr w14:paraId="0D12E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7A92D9F5">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1D8485C1">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非甲烷总烃</w:t>
                  </w:r>
                </w:p>
              </w:tc>
              <w:tc>
                <w:tcPr>
                  <w:tcW w:w="2376" w:type="dxa"/>
                  <w:tcBorders>
                    <w:tl2br w:val="nil"/>
                    <w:tr2bl w:val="nil"/>
                  </w:tcBorders>
                  <w:vAlign w:val="center"/>
                </w:tcPr>
                <w:p w14:paraId="4FCD6E60">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5.8</w:t>
                  </w:r>
                </w:p>
              </w:tc>
              <w:tc>
                <w:tcPr>
                  <w:tcW w:w="2202" w:type="dxa"/>
                  <w:tcBorders>
                    <w:tl2br w:val="nil"/>
                    <w:tr2bl w:val="nil"/>
                  </w:tcBorders>
                  <w:vAlign w:val="center"/>
                </w:tcPr>
                <w:p w14:paraId="0E14F8FB">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298</w:t>
                  </w:r>
                </w:p>
              </w:tc>
            </w:tr>
            <w:tr w14:paraId="49769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3EBF3BAA">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1F8F9205">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氯化氢</w:t>
                  </w:r>
                </w:p>
              </w:tc>
              <w:tc>
                <w:tcPr>
                  <w:tcW w:w="2376" w:type="dxa"/>
                  <w:tcBorders>
                    <w:tl2br w:val="nil"/>
                    <w:tr2bl w:val="nil"/>
                  </w:tcBorders>
                  <w:vAlign w:val="center"/>
                </w:tcPr>
                <w:p w14:paraId="5A579E23">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0.2</w:t>
                  </w:r>
                </w:p>
              </w:tc>
              <w:tc>
                <w:tcPr>
                  <w:tcW w:w="2202" w:type="dxa"/>
                  <w:tcBorders>
                    <w:tl2br w:val="nil"/>
                    <w:tr2bl w:val="nil"/>
                  </w:tcBorders>
                  <w:vAlign w:val="center"/>
                </w:tcPr>
                <w:p w14:paraId="47ADF99C">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5.1</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-4</w:t>
                  </w:r>
                </w:p>
              </w:tc>
            </w:tr>
            <w:tr w14:paraId="4FFD8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6231E51B">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679E6C8E">
                  <w:pPr>
                    <w:pStyle w:val="26"/>
                    <w:snapToGrid w:val="0"/>
                    <w:spacing w:line="240" w:lineRule="auto"/>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一氧化碳</w:t>
                  </w:r>
                </w:p>
              </w:tc>
              <w:tc>
                <w:tcPr>
                  <w:tcW w:w="2376" w:type="dxa"/>
                  <w:tcBorders>
                    <w:tl2br w:val="nil"/>
                    <w:tr2bl w:val="nil"/>
                  </w:tcBorders>
                  <w:shd w:val="clear" w:color="auto" w:fill="auto"/>
                  <w:vAlign w:val="center"/>
                </w:tcPr>
                <w:p w14:paraId="4BEE41EA">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3</w:t>
                  </w:r>
                </w:p>
              </w:tc>
              <w:tc>
                <w:tcPr>
                  <w:tcW w:w="2202" w:type="dxa"/>
                  <w:tcBorders>
                    <w:tl2br w:val="nil"/>
                    <w:tr2bl w:val="nil"/>
                  </w:tcBorders>
                  <w:shd w:val="clear" w:color="auto" w:fill="auto"/>
                  <w:vAlign w:val="center"/>
                </w:tcPr>
                <w:p w14:paraId="124FBD72">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7.7</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-3</w:t>
                  </w:r>
                </w:p>
              </w:tc>
            </w:tr>
            <w:tr w14:paraId="21378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restart"/>
                  <w:tcBorders>
                    <w:tl2br w:val="nil"/>
                    <w:tr2bl w:val="nil"/>
                  </w:tcBorders>
                  <w:vAlign w:val="center"/>
                </w:tcPr>
                <w:p w14:paraId="2783F083">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挤塑板</w:t>
                  </w:r>
                </w:p>
              </w:tc>
              <w:tc>
                <w:tcPr>
                  <w:tcW w:w="2160" w:type="dxa"/>
                  <w:tcBorders>
                    <w:tl2br w:val="nil"/>
                    <w:tr2bl w:val="nil"/>
                  </w:tcBorders>
                  <w:vAlign w:val="center"/>
                </w:tcPr>
                <w:p w14:paraId="27CD2016">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2376" w:type="dxa"/>
                  <w:tcBorders>
                    <w:tl2br w:val="nil"/>
                    <w:tr2bl w:val="nil"/>
                  </w:tcBorders>
                  <w:vAlign w:val="center"/>
                </w:tcPr>
                <w:p w14:paraId="5A395754">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4.9</w:t>
                  </w:r>
                </w:p>
              </w:tc>
              <w:tc>
                <w:tcPr>
                  <w:tcW w:w="2202" w:type="dxa"/>
                  <w:tcBorders>
                    <w:tl2br w:val="nil"/>
                    <w:tr2bl w:val="nil"/>
                  </w:tcBorders>
                  <w:vAlign w:val="center"/>
                </w:tcPr>
                <w:p w14:paraId="6D2FE8FB">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0.025</w:t>
                  </w:r>
                </w:p>
              </w:tc>
            </w:tr>
            <w:tr w14:paraId="3EF66F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6CF61C71">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500FCD40">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非甲烷总烃</w:t>
                  </w:r>
                </w:p>
              </w:tc>
              <w:tc>
                <w:tcPr>
                  <w:tcW w:w="2376" w:type="dxa"/>
                  <w:tcBorders>
                    <w:tl2br w:val="nil"/>
                    <w:tr2bl w:val="nil"/>
                  </w:tcBorders>
                  <w:vAlign w:val="center"/>
                </w:tcPr>
                <w:p w14:paraId="1BDA47BC">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24.7</w:t>
                  </w:r>
                </w:p>
              </w:tc>
              <w:tc>
                <w:tcPr>
                  <w:tcW w:w="2202" w:type="dxa"/>
                  <w:tcBorders>
                    <w:tl2br w:val="nil"/>
                    <w:tr2bl w:val="nil"/>
                  </w:tcBorders>
                  <w:vAlign w:val="center"/>
                </w:tcPr>
                <w:p w14:paraId="5D91DAE1">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0.125</w:t>
                  </w:r>
                </w:p>
              </w:tc>
            </w:tr>
            <w:tr w14:paraId="2F022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2B21CABE">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13B1F5F8">
                  <w:pPr>
                    <w:pStyle w:val="26"/>
                    <w:snapToGrid w:val="0"/>
                    <w:spacing w:line="240"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氯化氢</w:t>
                  </w:r>
                </w:p>
              </w:tc>
              <w:tc>
                <w:tcPr>
                  <w:tcW w:w="2376" w:type="dxa"/>
                  <w:tcBorders>
                    <w:tl2br w:val="nil"/>
                    <w:tr2bl w:val="nil"/>
                  </w:tcBorders>
                  <w:vAlign w:val="center"/>
                </w:tcPr>
                <w:p w14:paraId="72B93385">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0.2</w:t>
                  </w:r>
                </w:p>
              </w:tc>
              <w:tc>
                <w:tcPr>
                  <w:tcW w:w="2202" w:type="dxa"/>
                  <w:tcBorders>
                    <w:tl2br w:val="nil"/>
                    <w:tr2bl w:val="nil"/>
                  </w:tcBorders>
                  <w:vAlign w:val="center"/>
                </w:tcPr>
                <w:p w14:paraId="13338AC7">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5.1</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-4</w:t>
                  </w:r>
                </w:p>
              </w:tc>
            </w:tr>
            <w:tr w14:paraId="3E788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43A2ABC0">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vAlign w:val="center"/>
                </w:tcPr>
                <w:p w14:paraId="004466B3">
                  <w:pPr>
                    <w:pStyle w:val="26"/>
                    <w:snapToGrid w:val="0"/>
                    <w:spacing w:line="240" w:lineRule="auto"/>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一氧化碳</w:t>
                  </w:r>
                </w:p>
              </w:tc>
              <w:tc>
                <w:tcPr>
                  <w:tcW w:w="2376" w:type="dxa"/>
                  <w:tcBorders>
                    <w:tl2br w:val="nil"/>
                    <w:tr2bl w:val="nil"/>
                  </w:tcBorders>
                  <w:shd w:val="clear" w:color="auto" w:fill="auto"/>
                  <w:vAlign w:val="center"/>
                </w:tcPr>
                <w:p w14:paraId="3AA98541">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3</w:t>
                  </w:r>
                </w:p>
              </w:tc>
              <w:tc>
                <w:tcPr>
                  <w:tcW w:w="2202" w:type="dxa"/>
                  <w:tcBorders>
                    <w:tl2br w:val="nil"/>
                    <w:tr2bl w:val="nil"/>
                  </w:tcBorders>
                  <w:shd w:val="clear" w:color="auto" w:fill="auto"/>
                  <w:vAlign w:val="center"/>
                </w:tcPr>
                <w:p w14:paraId="199AB59D">
                  <w:pPr>
                    <w:pStyle w:val="26"/>
                    <w:snapToGrid w:val="0"/>
                    <w:spacing w:line="240" w:lineRule="auto"/>
                    <w:ind w:firstLine="0" w:firstLineChars="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7.6</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-3</w:t>
                  </w:r>
                </w:p>
              </w:tc>
            </w:tr>
            <w:tr w14:paraId="790BA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restart"/>
                  <w:tcBorders>
                    <w:tl2br w:val="nil"/>
                    <w:tr2bl w:val="nil"/>
                  </w:tcBorders>
                  <w:vAlign w:val="center"/>
                </w:tcPr>
                <w:p w14:paraId="4844C037">
                  <w:pPr>
                    <w:pStyle w:val="26"/>
                    <w:snapToGrid w:val="0"/>
                    <w:spacing w:line="240" w:lineRule="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以上</w:t>
                  </w:r>
                </w:p>
                <w:p w14:paraId="13210CF3">
                  <w:pPr>
                    <w:pStyle w:val="26"/>
                    <w:snapToGrid w:val="0"/>
                    <w:spacing w:line="240" w:lineRule="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结果最大值</w:t>
                  </w:r>
                </w:p>
              </w:tc>
              <w:tc>
                <w:tcPr>
                  <w:tcW w:w="2160" w:type="dxa"/>
                  <w:tcBorders>
                    <w:tl2br w:val="nil"/>
                    <w:tr2bl w:val="nil"/>
                  </w:tcBorders>
                  <w:shd w:val="clear" w:color="auto" w:fill="auto"/>
                  <w:vAlign w:val="center"/>
                </w:tcPr>
                <w:p w14:paraId="4376D21A">
                  <w:pPr>
                    <w:pStyle w:val="26"/>
                    <w:snapToGrid w:val="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2376" w:type="dxa"/>
                  <w:tcBorders>
                    <w:tl2br w:val="nil"/>
                    <w:tr2bl w:val="nil"/>
                  </w:tcBorders>
                  <w:shd w:val="clear" w:color="auto" w:fill="auto"/>
                  <w:vAlign w:val="center"/>
                </w:tcPr>
                <w:p w14:paraId="63D583BB">
                  <w:pPr>
                    <w:pStyle w:val="26"/>
                    <w:snapToGrid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4.9</w:t>
                  </w:r>
                </w:p>
              </w:tc>
              <w:tc>
                <w:tcPr>
                  <w:tcW w:w="2202" w:type="dxa"/>
                  <w:tcBorders>
                    <w:tl2br w:val="nil"/>
                    <w:tr2bl w:val="nil"/>
                  </w:tcBorders>
                  <w:shd w:val="clear" w:color="auto" w:fill="auto"/>
                  <w:vAlign w:val="center"/>
                </w:tcPr>
                <w:p w14:paraId="6CBBF53C">
                  <w:pPr>
                    <w:pStyle w:val="26"/>
                    <w:snapToGrid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0.025</w:t>
                  </w:r>
                </w:p>
              </w:tc>
            </w:tr>
            <w:tr w14:paraId="57847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7E86FD8B">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shd w:val="clear" w:color="auto" w:fill="auto"/>
                  <w:vAlign w:val="center"/>
                </w:tcPr>
                <w:p w14:paraId="492E6D88">
                  <w:pPr>
                    <w:pStyle w:val="26"/>
                    <w:snapToGrid w:val="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非甲烷总烃</w:t>
                  </w:r>
                </w:p>
              </w:tc>
              <w:tc>
                <w:tcPr>
                  <w:tcW w:w="2376" w:type="dxa"/>
                  <w:tcBorders>
                    <w:tl2br w:val="nil"/>
                    <w:tr2bl w:val="nil"/>
                  </w:tcBorders>
                  <w:shd w:val="clear" w:color="auto" w:fill="auto"/>
                  <w:vAlign w:val="center"/>
                </w:tcPr>
                <w:p w14:paraId="35912160">
                  <w:pPr>
                    <w:pStyle w:val="26"/>
                    <w:snapToGrid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24.7</w:t>
                  </w:r>
                </w:p>
              </w:tc>
              <w:tc>
                <w:tcPr>
                  <w:tcW w:w="2202" w:type="dxa"/>
                  <w:tcBorders>
                    <w:tl2br w:val="nil"/>
                    <w:tr2bl w:val="nil"/>
                  </w:tcBorders>
                  <w:shd w:val="clear" w:color="auto" w:fill="auto"/>
                  <w:vAlign w:val="center"/>
                </w:tcPr>
                <w:p w14:paraId="78C92654">
                  <w:pPr>
                    <w:pStyle w:val="26"/>
                    <w:snapToGrid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0.125</w:t>
                  </w:r>
                </w:p>
              </w:tc>
            </w:tr>
            <w:tr w14:paraId="2E24E4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3C7E9AE7">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shd w:val="clear" w:color="auto" w:fill="auto"/>
                  <w:vAlign w:val="center"/>
                </w:tcPr>
                <w:p w14:paraId="3CD302B3">
                  <w:pPr>
                    <w:pStyle w:val="26"/>
                    <w:snapToGrid w:val="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氯化氢</w:t>
                  </w:r>
                </w:p>
              </w:tc>
              <w:tc>
                <w:tcPr>
                  <w:tcW w:w="2376" w:type="dxa"/>
                  <w:tcBorders>
                    <w:tl2br w:val="nil"/>
                    <w:tr2bl w:val="nil"/>
                  </w:tcBorders>
                  <w:shd w:val="clear" w:color="auto" w:fill="auto"/>
                  <w:vAlign w:val="center"/>
                </w:tcPr>
                <w:p w14:paraId="7CA206E3">
                  <w:pPr>
                    <w:pStyle w:val="26"/>
                    <w:snapToGrid w:val="0"/>
                    <w:spacing w:line="240" w:lineRule="auto"/>
                    <w:ind w:firstLine="0" w:firstLine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0.2</w:t>
                  </w:r>
                </w:p>
              </w:tc>
              <w:tc>
                <w:tcPr>
                  <w:tcW w:w="2202" w:type="dxa"/>
                  <w:tcBorders>
                    <w:tl2br w:val="nil"/>
                    <w:tr2bl w:val="nil"/>
                  </w:tcBorders>
                  <w:shd w:val="clear" w:color="auto" w:fill="auto"/>
                  <w:vAlign w:val="center"/>
                </w:tcPr>
                <w:p w14:paraId="040E0D2D">
                  <w:pPr>
                    <w:pStyle w:val="26"/>
                    <w:snapToGrid w:val="0"/>
                    <w:spacing w:line="240" w:lineRule="auto"/>
                    <w:ind w:firstLine="0" w:firstLine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5.1</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-4</w:t>
                  </w:r>
                </w:p>
              </w:tc>
            </w:tr>
            <w:tr w14:paraId="213DC4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5" w:type="dxa"/>
                  <w:vMerge w:val="continue"/>
                  <w:tcBorders>
                    <w:tl2br w:val="nil"/>
                    <w:tr2bl w:val="nil"/>
                  </w:tcBorders>
                  <w:vAlign w:val="center"/>
                </w:tcPr>
                <w:p w14:paraId="3411D977">
                  <w:pPr>
                    <w:pStyle w:val="26"/>
                    <w:snapToGrid w:val="0"/>
                    <w:spacing w:line="240" w:lineRule="auto"/>
                    <w:rPr>
                      <w:rFonts w:cs="Times New Roman"/>
                      <w:color w:val="000000" w:themeColor="text1"/>
                      <w:szCs w:val="21"/>
                      <w14:textFill>
                        <w14:solidFill>
                          <w14:schemeClr w14:val="tx1"/>
                        </w14:solidFill>
                      </w14:textFill>
                    </w:rPr>
                  </w:pPr>
                </w:p>
              </w:tc>
              <w:tc>
                <w:tcPr>
                  <w:tcW w:w="2160" w:type="dxa"/>
                  <w:tcBorders>
                    <w:tl2br w:val="nil"/>
                    <w:tr2bl w:val="nil"/>
                  </w:tcBorders>
                  <w:shd w:val="clear" w:color="auto" w:fill="auto"/>
                  <w:vAlign w:val="center"/>
                </w:tcPr>
                <w:p w14:paraId="5B202D24">
                  <w:pPr>
                    <w:pStyle w:val="26"/>
                    <w:snapToGrid w:val="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14:textFill>
                        <w14:solidFill>
                          <w14:schemeClr w14:val="tx1"/>
                        </w14:solidFill>
                      </w14:textFill>
                    </w:rPr>
                    <w:t>一氧化碳</w:t>
                  </w:r>
                </w:p>
              </w:tc>
              <w:tc>
                <w:tcPr>
                  <w:tcW w:w="2376" w:type="dxa"/>
                  <w:tcBorders>
                    <w:tl2br w:val="nil"/>
                    <w:tr2bl w:val="nil"/>
                  </w:tcBorders>
                  <w:shd w:val="clear" w:color="auto" w:fill="auto"/>
                  <w:vAlign w:val="center"/>
                </w:tcPr>
                <w:p w14:paraId="6B9E7A98">
                  <w:pPr>
                    <w:pStyle w:val="26"/>
                    <w:snapToGrid w:val="0"/>
                    <w:spacing w:line="240" w:lineRule="auto"/>
                    <w:ind w:firstLine="0" w:firstLine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3</w:t>
                  </w:r>
                </w:p>
              </w:tc>
              <w:tc>
                <w:tcPr>
                  <w:tcW w:w="2202" w:type="dxa"/>
                  <w:tcBorders>
                    <w:tl2br w:val="nil"/>
                    <w:tr2bl w:val="nil"/>
                  </w:tcBorders>
                  <w:shd w:val="clear" w:color="auto" w:fill="auto"/>
                  <w:vAlign w:val="center"/>
                </w:tcPr>
                <w:p w14:paraId="40950DA5">
                  <w:pPr>
                    <w:pStyle w:val="26"/>
                    <w:snapToGrid w:val="0"/>
                    <w:spacing w:line="240" w:lineRule="auto"/>
                    <w:ind w:firstLine="0" w:firstLine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&lt;</w:t>
                  </w:r>
                  <w:r>
                    <w:rPr>
                      <w:rFonts w:hint="eastAsia" w:cs="Times New Roman"/>
                      <w:color w:val="000000" w:themeColor="text1"/>
                      <w:szCs w:val="21"/>
                      <w:lang w:val="en-US" w:eastAsia="zh-CN"/>
                      <w14:textFill>
                        <w14:solidFill>
                          <w14:schemeClr w14:val="tx1"/>
                        </w14:solidFill>
                      </w14:textFill>
                    </w:rPr>
                    <w:t>7.7</w:t>
                  </w:r>
                  <w:r>
                    <w:rPr>
                      <w:rFonts w:cs="Times New Roman"/>
                      <w:color w:val="000000" w:themeColor="text1"/>
                      <w:szCs w:val="21"/>
                      <w14:textFill>
                        <w14:solidFill>
                          <w14:schemeClr w14:val="tx1"/>
                        </w14:solidFill>
                      </w14:textFill>
                    </w:rPr>
                    <w:t>×10</w:t>
                  </w:r>
                  <w:r>
                    <w:rPr>
                      <w:rFonts w:hint="eastAsia" w:cs="Times New Roman"/>
                      <w:color w:val="000000" w:themeColor="text1"/>
                      <w:szCs w:val="21"/>
                      <w:vertAlign w:val="superscript"/>
                      <w:lang w:val="en-US" w:eastAsia="zh-CN"/>
                      <w14:textFill>
                        <w14:solidFill>
                          <w14:schemeClr w14:val="tx1"/>
                        </w14:solidFill>
                      </w14:textFill>
                    </w:rPr>
                    <w:t>-3</w:t>
                  </w:r>
                </w:p>
              </w:tc>
            </w:tr>
          </w:tbl>
          <w:p w14:paraId="03E9519F">
            <w:pPr>
              <w:widowControl/>
              <w:ind w:firstLine="480"/>
              <w:jc w:val="left"/>
              <w:rPr>
                <w:rFonts w:hint="default" w:hAnsi="宋体" w:eastAsia="宋体"/>
                <w:bCs/>
                <w:color w:val="000000" w:themeColor="text1"/>
                <w:lang w:val="en-US" w:eastAsia="zh-CN"/>
                <w14:textFill>
                  <w14:solidFill>
                    <w14:schemeClr w14:val="tx1"/>
                  </w14:solidFill>
                </w14:textFill>
              </w:rPr>
            </w:pPr>
            <w:r>
              <w:rPr>
                <w:rFonts w:hint="eastAsia" w:hAnsi="宋体"/>
                <w:bCs/>
                <w:color w:val="000000" w:themeColor="text1"/>
                <w14:textFill>
                  <w14:solidFill>
                    <w14:schemeClr w14:val="tx1"/>
                  </w14:solidFill>
                </w14:textFill>
              </w:rPr>
              <w:t>本次环评保守起见，按最不利情况考虑：不论燃烧何种产品，不论产品的燃烧量</w:t>
            </w:r>
            <w:r>
              <w:rPr>
                <w:rFonts w:hint="eastAsia" w:hAnsi="宋体"/>
                <w:bCs/>
                <w:color w:val="000000" w:themeColor="text1"/>
                <w:lang w:val="en-US" w:eastAsia="zh-CN"/>
                <w14:textFill>
                  <w14:solidFill>
                    <w14:schemeClr w14:val="tx1"/>
                  </w14:solidFill>
                </w14:textFill>
              </w:rPr>
              <w:t>大小</w:t>
            </w:r>
            <w:r>
              <w:rPr>
                <w:rFonts w:hint="eastAsia" w:hAnsi="宋体"/>
                <w:bCs/>
                <w:color w:val="000000" w:themeColor="text1"/>
                <w14:textFill>
                  <w14:solidFill>
                    <w14:schemeClr w14:val="tx1"/>
                  </w14:solidFill>
                </w14:textFill>
              </w:rPr>
              <w:t>，所有试验废气污染物颗粒物、非甲烷总烃、氯化氢的</w:t>
            </w:r>
            <w:r>
              <w:rPr>
                <w:rFonts w:hint="eastAsia" w:hAnsi="宋体"/>
                <w:bCs/>
                <w:color w:val="000000" w:themeColor="text1"/>
                <w:lang w:val="en-US" w:eastAsia="zh-CN"/>
                <w14:textFill>
                  <w14:solidFill>
                    <w14:schemeClr w14:val="tx1"/>
                  </w14:solidFill>
                </w14:textFill>
              </w:rPr>
              <w:t>排放速率</w:t>
            </w:r>
            <w:r>
              <w:rPr>
                <w:rFonts w:hint="eastAsia" w:hAnsi="宋体"/>
                <w:bCs/>
                <w:color w:val="000000" w:themeColor="text1"/>
                <w14:textFill>
                  <w14:solidFill>
                    <w14:schemeClr w14:val="tx1"/>
                  </w14:solidFill>
                </w14:textFill>
              </w:rPr>
              <w:t>类比上述检测报告结果中的最大值。</w:t>
            </w:r>
            <w:r>
              <w:rPr>
                <w:rFonts w:hint="eastAsia" w:hAnsi="宋体"/>
                <w:bCs/>
                <w:color w:val="000000" w:themeColor="text1"/>
                <w:lang w:val="en-US" w:eastAsia="zh-CN"/>
                <w14:textFill>
                  <w14:solidFill>
                    <w14:schemeClr w14:val="tx1"/>
                  </w14:solidFill>
                </w14:textFill>
              </w:rPr>
              <w:t>燃烧废气最长排放时间为1860h，燃烧废气产生量见下表。</w:t>
            </w:r>
          </w:p>
          <w:p w14:paraId="6B7ECB3A">
            <w:pPr>
              <w:pStyle w:val="24"/>
              <w:bidi w:val="0"/>
              <w:rPr>
                <w:rFonts w:hint="default"/>
                <w:lang w:val="en-US" w:eastAsia="zh-CN"/>
              </w:rPr>
            </w:pPr>
            <w:r>
              <w:rPr>
                <w:rFonts w:hint="eastAsia"/>
                <w:lang w:val="en-US" w:eastAsia="zh-CN"/>
              </w:rPr>
              <w:t>表4-5 本项目燃烧废气产生量一览表</w:t>
            </w:r>
          </w:p>
          <w:tbl>
            <w:tblPr>
              <w:tblStyle w:val="19"/>
              <w:tblW w:w="80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182"/>
              <w:gridCol w:w="2200"/>
              <w:gridCol w:w="2321"/>
              <w:gridCol w:w="2321"/>
            </w:tblGrid>
            <w:tr w14:paraId="0CDF3F4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restart"/>
                  <w:tcBorders>
                    <w:tl2br w:val="nil"/>
                    <w:tr2bl w:val="nil"/>
                  </w:tcBorders>
                  <w:shd w:val="clear" w:color="auto" w:fill="auto"/>
                  <w:vAlign w:val="center"/>
                </w:tcPr>
                <w:p w14:paraId="2D5D9470">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14:textFill>
                        <w14:solidFill>
                          <w14:schemeClr w14:val="tx1"/>
                        </w14:solidFill>
                      </w14:textFill>
                    </w:rPr>
                    <w:t>治理设施</w:t>
                  </w:r>
                </w:p>
              </w:tc>
              <w:tc>
                <w:tcPr>
                  <w:tcW w:w="2200" w:type="dxa"/>
                  <w:vMerge w:val="restart"/>
                  <w:tcBorders>
                    <w:tl2br w:val="nil"/>
                    <w:tr2bl w:val="nil"/>
                  </w:tcBorders>
                  <w:shd w:val="clear" w:color="auto" w:fill="auto"/>
                  <w:vAlign w:val="center"/>
                </w:tcPr>
                <w:p w14:paraId="302FE84C">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污染物</w:t>
                  </w:r>
                </w:p>
              </w:tc>
              <w:tc>
                <w:tcPr>
                  <w:tcW w:w="4642" w:type="dxa"/>
                  <w:gridSpan w:val="2"/>
                  <w:tcBorders>
                    <w:tl2br w:val="nil"/>
                    <w:tr2bl w:val="nil"/>
                  </w:tcBorders>
                  <w:shd w:val="clear" w:color="auto" w:fill="auto"/>
                  <w:vAlign w:val="center"/>
                </w:tcPr>
                <w:p w14:paraId="18F6018A">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产生情况</w:t>
                  </w:r>
                </w:p>
              </w:tc>
            </w:tr>
            <w:tr w14:paraId="2F996B0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continue"/>
                  <w:tcBorders>
                    <w:tl2br w:val="nil"/>
                    <w:tr2bl w:val="nil"/>
                  </w:tcBorders>
                  <w:shd w:val="clear" w:color="auto" w:fill="auto"/>
                  <w:vAlign w:val="center"/>
                </w:tcPr>
                <w:p w14:paraId="359E4365">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p>
              </w:tc>
              <w:tc>
                <w:tcPr>
                  <w:tcW w:w="2200" w:type="dxa"/>
                  <w:vMerge w:val="continue"/>
                  <w:tcBorders>
                    <w:tl2br w:val="nil"/>
                    <w:tr2bl w:val="nil"/>
                  </w:tcBorders>
                  <w:shd w:val="clear" w:color="auto" w:fill="auto"/>
                  <w:vAlign w:val="center"/>
                </w:tcPr>
                <w:p w14:paraId="4D0EAC3D">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p>
              </w:tc>
              <w:tc>
                <w:tcPr>
                  <w:tcW w:w="2321" w:type="dxa"/>
                  <w:tcBorders>
                    <w:tl2br w:val="nil"/>
                    <w:tr2bl w:val="nil"/>
                  </w:tcBorders>
                  <w:shd w:val="clear" w:color="auto" w:fill="auto"/>
                  <w:vAlign w:val="center"/>
                </w:tcPr>
                <w:p w14:paraId="55ED4023">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产生量t/a</w:t>
                  </w:r>
                </w:p>
              </w:tc>
              <w:tc>
                <w:tcPr>
                  <w:tcW w:w="2321" w:type="dxa"/>
                  <w:tcBorders>
                    <w:tl2br w:val="nil"/>
                    <w:tr2bl w:val="nil"/>
                  </w:tcBorders>
                  <w:shd w:val="clear" w:color="auto" w:fill="auto"/>
                  <w:vAlign w:val="center"/>
                </w:tcPr>
                <w:p w14:paraId="67556ADE">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速率kg/h</w:t>
                  </w:r>
                </w:p>
              </w:tc>
            </w:tr>
            <w:tr w14:paraId="591A972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restart"/>
                  <w:tcBorders>
                    <w:tl2br w:val="nil"/>
                    <w:tr2bl w:val="nil"/>
                  </w:tcBorders>
                  <w:shd w:val="clear" w:color="auto" w:fill="auto"/>
                  <w:vAlign w:val="center"/>
                </w:tcPr>
                <w:p w14:paraId="3FCE178F">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b/>
                      <w:bCs/>
                      <w:color w:val="000000" w:themeColor="text1"/>
                      <w:szCs w:val="21"/>
                      <w:highlight w:val="none"/>
                      <w:lang w:val="en-US" w:eastAsia="zh-CN"/>
                      <w14:textFill>
                        <w14:solidFill>
                          <w14:schemeClr w14:val="tx1"/>
                        </w14:solidFill>
                      </w14:textFill>
                    </w:rPr>
                  </w:pPr>
                  <w:r>
                    <w:rPr>
                      <w:rFonts w:hint="default" w:eastAsia="宋体" w:cs="Times New Roman"/>
                      <w:b w:val="0"/>
                      <w:bCs w:val="0"/>
                      <w:color w:val="000000" w:themeColor="text1"/>
                      <w:szCs w:val="21"/>
                      <w:highlight w:val="none"/>
                      <w:lang w:val="en-US" w:eastAsia="zh-CN"/>
                      <w14:textFill>
                        <w14:solidFill>
                          <w14:schemeClr w14:val="tx1"/>
                        </w14:solidFill>
                      </w14:textFill>
                    </w:rPr>
                    <w:t>布袋除尘器+活性炭处理装置</w:t>
                  </w:r>
                </w:p>
              </w:tc>
              <w:tc>
                <w:tcPr>
                  <w:tcW w:w="2200" w:type="dxa"/>
                  <w:tcBorders>
                    <w:tl2br w:val="nil"/>
                    <w:tr2bl w:val="nil"/>
                  </w:tcBorders>
                  <w:shd w:val="clear" w:color="auto" w:fill="auto"/>
                  <w:vAlign w:val="center"/>
                </w:tcPr>
                <w:p w14:paraId="042EF68B">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颗粒物</w:t>
                  </w:r>
                </w:p>
              </w:tc>
              <w:tc>
                <w:tcPr>
                  <w:tcW w:w="2321" w:type="dxa"/>
                  <w:tcBorders>
                    <w:tl2br w:val="nil"/>
                    <w:tr2bl w:val="nil"/>
                  </w:tcBorders>
                  <w:shd w:val="clear" w:color="auto" w:fill="auto"/>
                  <w:vAlign w:val="center"/>
                </w:tcPr>
                <w:p w14:paraId="49095690">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0.0465</w:t>
                  </w:r>
                </w:p>
              </w:tc>
              <w:tc>
                <w:tcPr>
                  <w:tcW w:w="2321" w:type="dxa"/>
                  <w:tcBorders>
                    <w:tl2br w:val="nil"/>
                    <w:tr2bl w:val="nil"/>
                  </w:tcBorders>
                  <w:shd w:val="clear" w:color="auto" w:fill="auto"/>
                  <w:vAlign w:val="center"/>
                </w:tcPr>
                <w:p w14:paraId="6BB1620B">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0.0250</w:t>
                  </w:r>
                </w:p>
              </w:tc>
            </w:tr>
            <w:tr w14:paraId="44477BB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continue"/>
                  <w:tcBorders>
                    <w:tl2br w:val="nil"/>
                    <w:tr2bl w:val="nil"/>
                  </w:tcBorders>
                  <w:shd w:val="clear" w:color="auto" w:fill="auto"/>
                  <w:vAlign w:val="center"/>
                </w:tcPr>
                <w:p w14:paraId="1EE4F8EE">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p>
              </w:tc>
              <w:tc>
                <w:tcPr>
                  <w:tcW w:w="2200" w:type="dxa"/>
                  <w:tcBorders>
                    <w:tl2br w:val="nil"/>
                    <w:tr2bl w:val="nil"/>
                  </w:tcBorders>
                  <w:shd w:val="clear" w:color="auto" w:fill="auto"/>
                  <w:vAlign w:val="center"/>
                </w:tcPr>
                <w:p w14:paraId="0B8270FF">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非甲烷总烃</w:t>
                  </w:r>
                </w:p>
              </w:tc>
              <w:tc>
                <w:tcPr>
                  <w:tcW w:w="2321" w:type="dxa"/>
                  <w:tcBorders>
                    <w:tl2br w:val="nil"/>
                    <w:tr2bl w:val="nil"/>
                  </w:tcBorders>
                  <w:shd w:val="clear" w:color="auto" w:fill="auto"/>
                  <w:vAlign w:val="center"/>
                </w:tcPr>
                <w:p w14:paraId="52A5D9A3">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0.2325</w:t>
                  </w:r>
                </w:p>
              </w:tc>
              <w:tc>
                <w:tcPr>
                  <w:tcW w:w="2321" w:type="dxa"/>
                  <w:tcBorders>
                    <w:tl2br w:val="nil"/>
                    <w:tr2bl w:val="nil"/>
                  </w:tcBorders>
                  <w:shd w:val="clear" w:color="auto" w:fill="auto"/>
                  <w:vAlign w:val="center"/>
                </w:tcPr>
                <w:p w14:paraId="3779F7FC">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0.1250</w:t>
                  </w:r>
                </w:p>
              </w:tc>
            </w:tr>
            <w:tr w14:paraId="5720063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continue"/>
                  <w:tcBorders>
                    <w:tl2br w:val="nil"/>
                    <w:tr2bl w:val="nil"/>
                  </w:tcBorders>
                  <w:shd w:val="clear" w:color="auto" w:fill="auto"/>
                  <w:vAlign w:val="center"/>
                </w:tcPr>
                <w:p w14:paraId="0624F37B">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p>
              </w:tc>
              <w:tc>
                <w:tcPr>
                  <w:tcW w:w="2200" w:type="dxa"/>
                  <w:tcBorders>
                    <w:tl2br w:val="nil"/>
                    <w:tr2bl w:val="nil"/>
                  </w:tcBorders>
                  <w:shd w:val="clear" w:color="auto" w:fill="auto"/>
                  <w:vAlign w:val="center"/>
                </w:tcPr>
                <w:p w14:paraId="44BBF1E0">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14:textFill>
                        <w14:solidFill>
                          <w14:schemeClr w14:val="tx1"/>
                        </w14:solidFill>
                      </w14:textFill>
                    </w:rPr>
                    <w:t>一氧化碳</w:t>
                  </w:r>
                </w:p>
              </w:tc>
              <w:tc>
                <w:tcPr>
                  <w:tcW w:w="2321" w:type="dxa"/>
                  <w:tcBorders>
                    <w:tl2br w:val="nil"/>
                    <w:tr2bl w:val="nil"/>
                  </w:tcBorders>
                  <w:shd w:val="clear" w:color="auto" w:fill="auto"/>
                  <w:vAlign w:val="center"/>
                </w:tcPr>
                <w:p w14:paraId="66DADE55">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0.0143</w:t>
                  </w:r>
                </w:p>
              </w:tc>
              <w:tc>
                <w:tcPr>
                  <w:tcW w:w="2321" w:type="dxa"/>
                  <w:tcBorders>
                    <w:tl2br w:val="nil"/>
                    <w:tr2bl w:val="nil"/>
                  </w:tcBorders>
                  <w:shd w:val="clear" w:color="auto" w:fill="auto"/>
                  <w:vAlign w:val="center"/>
                </w:tcPr>
                <w:p w14:paraId="46526C3D">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0.0077</w:t>
                  </w:r>
                </w:p>
              </w:tc>
            </w:tr>
            <w:tr w14:paraId="397984F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182" w:type="dxa"/>
                  <w:vMerge w:val="continue"/>
                  <w:tcBorders>
                    <w:tl2br w:val="nil"/>
                    <w:tr2bl w:val="nil"/>
                  </w:tcBorders>
                  <w:shd w:val="clear" w:color="auto" w:fill="auto"/>
                  <w:vAlign w:val="center"/>
                </w:tcPr>
                <w:p w14:paraId="3A4D82A7">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b/>
                      <w:bCs/>
                      <w:color w:val="000000" w:themeColor="text1"/>
                      <w:szCs w:val="21"/>
                      <w:highlight w:val="none"/>
                      <w14:textFill>
                        <w14:solidFill>
                          <w14:schemeClr w14:val="tx1"/>
                        </w14:solidFill>
                      </w14:textFill>
                    </w:rPr>
                  </w:pPr>
                </w:p>
              </w:tc>
              <w:tc>
                <w:tcPr>
                  <w:tcW w:w="2200" w:type="dxa"/>
                  <w:tcBorders>
                    <w:tl2br w:val="nil"/>
                    <w:tr2bl w:val="nil"/>
                  </w:tcBorders>
                  <w:shd w:val="clear" w:color="auto" w:fill="auto"/>
                  <w:vAlign w:val="center"/>
                </w:tcPr>
                <w:p w14:paraId="63DA7683">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14:textFill>
                        <w14:solidFill>
                          <w14:schemeClr w14:val="tx1"/>
                        </w14:solidFill>
                      </w14:textFill>
                    </w:rPr>
                    <w:t>氯化氢</w:t>
                  </w:r>
                </w:p>
              </w:tc>
              <w:tc>
                <w:tcPr>
                  <w:tcW w:w="2321" w:type="dxa"/>
                  <w:tcBorders>
                    <w:tl2br w:val="nil"/>
                    <w:tr2bl w:val="nil"/>
                  </w:tcBorders>
                  <w:shd w:val="clear" w:color="auto" w:fill="auto"/>
                  <w:vAlign w:val="center"/>
                </w:tcPr>
                <w:p w14:paraId="2BA61D05">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0.0009</w:t>
                  </w:r>
                </w:p>
              </w:tc>
              <w:tc>
                <w:tcPr>
                  <w:tcW w:w="2321" w:type="dxa"/>
                  <w:tcBorders>
                    <w:tl2br w:val="nil"/>
                    <w:tr2bl w:val="nil"/>
                  </w:tcBorders>
                  <w:shd w:val="clear" w:color="auto" w:fill="auto"/>
                  <w:vAlign w:val="center"/>
                </w:tcPr>
                <w:p w14:paraId="1E4DA882">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0.0005</w:t>
                  </w:r>
                </w:p>
              </w:tc>
            </w:tr>
          </w:tbl>
          <w:p w14:paraId="7C328608">
            <w:pPr>
              <w:widowControl/>
              <w:ind w:firstLine="480"/>
              <w:jc w:val="left"/>
              <w:rPr>
                <w:rFonts w:ascii="宋体" w:hAnsi="宋体" w:cs="宋体"/>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w:t>
            </w:r>
            <w:r>
              <w:rPr>
                <w:rFonts w:hint="eastAsia" w:cs="Times New Roman"/>
                <w:color w:val="000000" w:themeColor="text1"/>
                <w:kern w:val="0"/>
                <w:lang w:val="en-US" w:eastAsia="zh-CN" w:bidi="ar"/>
                <w14:textFill>
                  <w14:solidFill>
                    <w14:schemeClr w14:val="tx1"/>
                  </w14:solidFill>
                </w14:textFill>
              </w:rPr>
              <w:t>2</w:t>
            </w:r>
            <w:r>
              <w:rPr>
                <w:rFonts w:hint="default" w:ascii="Times New Roman" w:hAnsi="Times New Roman" w:cs="Times New Roman"/>
                <w:color w:val="000000" w:themeColor="text1"/>
                <w:kern w:val="0"/>
                <w:lang w:bidi="ar"/>
                <w14:textFill>
                  <w14:solidFill>
                    <w14:schemeClr w14:val="tx1"/>
                  </w14:solidFill>
                </w14:textFill>
              </w:rPr>
              <w:t>）达</w:t>
            </w:r>
            <w:r>
              <w:rPr>
                <w:rFonts w:hint="eastAsia" w:ascii="宋体" w:hAnsi="宋体" w:cs="宋体"/>
                <w:color w:val="000000" w:themeColor="text1"/>
                <w:kern w:val="0"/>
                <w:lang w:bidi="ar"/>
                <w14:textFill>
                  <w14:solidFill>
                    <w14:schemeClr w14:val="tx1"/>
                  </w14:solidFill>
                </w14:textFill>
              </w:rPr>
              <w:t>标排放分析</w:t>
            </w:r>
          </w:p>
          <w:p w14:paraId="2C9B296C">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eastAsia="宋体" w:cs="Times New Roman"/>
                <w:color w:val="auto"/>
                <w:kern w:val="0"/>
                <w:lang w:val="en-US" w:eastAsia="zh-CN" w:bidi="ar"/>
              </w:rPr>
            </w:pPr>
            <w:r>
              <w:rPr>
                <w:rFonts w:hint="eastAsia" w:cs="Times New Roman"/>
                <w:color w:val="auto"/>
                <w:kern w:val="0"/>
                <w:lang w:val="en-US" w:eastAsia="zh-CN" w:bidi="ar"/>
              </w:rPr>
              <w:t>本项目</w:t>
            </w:r>
            <w:r>
              <w:rPr>
                <w:rFonts w:hint="eastAsia" w:eastAsia="宋体" w:cs="Times New Roman"/>
                <w:color w:val="auto"/>
                <w:kern w:val="0"/>
                <w:lang w:val="en-US" w:eastAsia="zh-CN" w:bidi="ar"/>
              </w:rPr>
              <w:t>单体燃烧试验装置、</w:t>
            </w:r>
            <w:r>
              <w:rPr>
                <w:rFonts w:eastAsia="宋体" w:cs="Times New Roman"/>
                <w:color w:val="auto"/>
                <w:kern w:val="0"/>
                <w:lang w:bidi="ar"/>
              </w:rPr>
              <w:t>建筑材料难燃性试验炉</w:t>
            </w:r>
            <w:r>
              <w:rPr>
                <w:rFonts w:hint="eastAsia" w:eastAsia="宋体" w:cs="Times New Roman"/>
                <w:color w:val="auto"/>
                <w:kern w:val="0"/>
                <w:lang w:val="en-US" w:eastAsia="zh-CN" w:bidi="ar"/>
              </w:rPr>
              <w:t>试验期间设备全密闭，废气通过仪器设备顶部</w:t>
            </w:r>
            <w:r>
              <w:rPr>
                <w:rFonts w:hint="eastAsia" w:cs="Times New Roman"/>
                <w:color w:val="auto"/>
                <w:kern w:val="0"/>
                <w:lang w:val="en-US" w:eastAsia="zh-CN" w:bidi="ar"/>
              </w:rPr>
              <w:t>排气管收集</w:t>
            </w:r>
            <w:r>
              <w:rPr>
                <w:rFonts w:hint="eastAsia" w:eastAsia="宋体" w:cs="Times New Roman"/>
                <w:color w:val="auto"/>
                <w:kern w:val="0"/>
                <w:lang w:val="en-US" w:eastAsia="zh-CN" w:bidi="ar"/>
              </w:rPr>
              <w:t>至废气治理设施，其他试验装置均在通风橱内，</w:t>
            </w:r>
            <w:r>
              <w:rPr>
                <w:rFonts w:hint="eastAsia" w:cs="Times New Roman"/>
                <w:color w:val="auto"/>
                <w:kern w:val="0"/>
                <w:lang w:val="en-US" w:eastAsia="zh-CN" w:bidi="ar"/>
              </w:rPr>
              <w:t>每个通风橱尺寸为1.2*1*0.6米（高、宽、深），试验期间关闭通风橱，保留2cm高开度，每个通风橱自带风机，保持排风风量60m</w:t>
            </w:r>
            <w:r>
              <w:rPr>
                <w:rFonts w:hint="eastAsia" w:cs="Times New Roman"/>
                <w:color w:val="auto"/>
                <w:kern w:val="0"/>
                <w:vertAlign w:val="superscript"/>
                <w:lang w:val="en-US" w:eastAsia="zh-CN" w:bidi="ar"/>
              </w:rPr>
              <w:t>3</w:t>
            </w:r>
            <w:r>
              <w:rPr>
                <w:rFonts w:hint="eastAsia" w:cs="Times New Roman"/>
                <w:color w:val="auto"/>
                <w:kern w:val="0"/>
                <w:lang w:val="en-US" w:eastAsia="zh-CN" w:bidi="ar"/>
              </w:rPr>
              <w:t>/h，通风橱开口处风速0.83m/s</w:t>
            </w:r>
            <w:r>
              <w:rPr>
                <w:rFonts w:hint="eastAsia" w:eastAsia="宋体" w:cs="Times New Roman"/>
                <w:color w:val="auto"/>
                <w:kern w:val="0"/>
                <w:lang w:val="en-US" w:eastAsia="zh-CN" w:bidi="ar"/>
              </w:rPr>
              <w:t>，确保废气收集效率100%</w:t>
            </w:r>
            <w:r>
              <w:rPr>
                <w:rFonts w:hint="eastAsia" w:cs="Times New Roman"/>
                <w:color w:val="auto"/>
                <w:kern w:val="0"/>
                <w:lang w:val="en-US" w:eastAsia="zh-CN" w:bidi="ar"/>
              </w:rPr>
              <w:t>，</w:t>
            </w:r>
            <w:r>
              <w:rPr>
                <w:rFonts w:hint="eastAsia" w:ascii="Times New Roman" w:hAnsi="Times New Roman" w:cs="Times New Roman"/>
                <w:color w:val="auto"/>
                <w:sz w:val="24"/>
                <w:szCs w:val="24"/>
                <w:lang w:val="en-US" w:eastAsia="zh-CN"/>
              </w:rPr>
              <w:t>成型切割台上方建设集气罩，集气罩罩口面积大于切割台面积，集气罩四周垂直皮帘，将切割台全部密闭，同时成型室密闭，确保成型废气100%收集</w:t>
            </w:r>
            <w:r>
              <w:rPr>
                <w:rFonts w:hint="eastAsia" w:eastAsia="宋体" w:cs="Times New Roman"/>
                <w:color w:val="auto"/>
                <w:kern w:val="0"/>
                <w:lang w:val="en-US" w:eastAsia="zh-CN" w:bidi="ar"/>
              </w:rPr>
              <w:t>。</w:t>
            </w:r>
          </w:p>
          <w:p w14:paraId="38E12ACB">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本项目共设</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14:textFill>
                  <w14:solidFill>
                    <w14:schemeClr w14:val="tx1"/>
                  </w14:solidFill>
                </w14:textFill>
              </w:rPr>
              <w:t>套废气处理设施，风机风量</w:t>
            </w:r>
            <w:r>
              <w:rPr>
                <w:rFonts w:hint="eastAsia" w:cs="Times New Roman"/>
                <w:color w:val="000000" w:themeColor="text1"/>
                <w:lang w:val="en-US" w:eastAsia="zh-CN"/>
                <w14:textFill>
                  <w14:solidFill>
                    <w14:schemeClr w14:val="tx1"/>
                  </w14:solidFill>
                </w14:textFill>
              </w:rPr>
              <w:t>为10</w:t>
            </w:r>
            <w:r>
              <w:rPr>
                <w:rFonts w:hint="eastAsia" w:cs="Times New Roman"/>
                <w:color w:val="000000" w:themeColor="text1"/>
                <w14:textFill>
                  <w14:solidFill>
                    <w14:schemeClr w14:val="tx1"/>
                  </w14:solidFill>
                </w14:textFill>
              </w:rPr>
              <w:t>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，采用布袋除尘器+活性炭吸附处理，</w:t>
            </w:r>
            <w:r>
              <w:rPr>
                <w:rFonts w:hint="eastAsia" w:cs="Times New Roman"/>
                <w:color w:val="000000" w:themeColor="text1"/>
                <w:lang w:val="en-US" w:eastAsia="zh-CN"/>
                <w14:textFill>
                  <w14:solidFill>
                    <w14:schemeClr w14:val="tx1"/>
                  </w14:solidFill>
                </w14:textFill>
              </w:rPr>
              <w:t>处理后</w:t>
            </w:r>
            <w:r>
              <w:rPr>
                <w:rFonts w:hint="eastAsia" w:cs="Times New Roman"/>
                <w:color w:val="000000" w:themeColor="text1"/>
                <w14:textFill>
                  <w14:solidFill>
                    <w14:schemeClr w14:val="tx1"/>
                  </w14:solidFill>
                </w14:textFill>
              </w:rPr>
              <w:t>至一根排气筒DA001排放，排气筒高度</w:t>
            </w: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米。</w:t>
            </w:r>
          </w:p>
          <w:p w14:paraId="61985A5E">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cs="Times New Roman"/>
                <w:color w:val="000000" w:themeColor="text1"/>
                <w:kern w:val="0"/>
                <w:lang w:bidi="ar"/>
                <w14:textFill>
                  <w14:solidFill>
                    <w14:schemeClr w14:val="tx1"/>
                  </w14:solidFill>
                </w14:textFill>
              </w:rPr>
            </w:pPr>
            <w:r>
              <w:rPr>
                <w:rFonts w:cs="Times New Roman"/>
                <w:color w:val="000000" w:themeColor="text1"/>
                <w:kern w:val="0"/>
                <w:lang w:bidi="ar"/>
                <w14:textFill>
                  <w14:solidFill>
                    <w14:schemeClr w14:val="tx1"/>
                  </w14:solidFill>
                </w14:textFill>
              </w:rPr>
              <w:t>参照《第二次全国污染源普查工业污染源产排污系数手册（2019修订）》，布袋除尘器对颗粒物的净化效率为95%-98%，项目保守起见按最低95%计算。</w:t>
            </w:r>
            <w:r>
              <w:rPr>
                <w:rFonts w:hint="eastAsia" w:cs="Times New Roman"/>
                <w:color w:val="000000" w:themeColor="text1"/>
                <w:kern w:val="0"/>
                <w:lang w:bidi="ar"/>
                <w14:textFill>
                  <w14:solidFill>
                    <w14:schemeClr w14:val="tx1"/>
                  </w14:solidFill>
                </w14:textFill>
              </w:rPr>
              <w:t>根据《排放源统计调查产排污核算方法和系数手册》，单级活性炭吸附法对VOCs去除效率为21%。</w:t>
            </w:r>
          </w:p>
          <w:p w14:paraId="7EFC1125">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eastAsia="宋体" w:cs="Times New Roman"/>
                <w:color w:val="000000" w:themeColor="text1"/>
                <w:kern w:val="0"/>
                <w:lang w:bidi="ar"/>
                <w14:textFill>
                  <w14:solidFill>
                    <w14:schemeClr w14:val="tx1"/>
                  </w14:solidFill>
                </w14:textFill>
              </w:rPr>
            </w:pPr>
            <w:r>
              <w:rPr>
                <w:rFonts w:hint="eastAsia" w:eastAsia="宋体" w:cs="Times New Roman"/>
                <w:color w:val="000000" w:themeColor="text1"/>
                <w:kern w:val="0"/>
                <w:lang w:bidi="ar"/>
                <w14:textFill>
                  <w14:solidFill>
                    <w14:schemeClr w14:val="tx1"/>
                  </w14:solidFill>
                </w14:textFill>
              </w:rPr>
              <w:t>本项目废气产生及排放情况见下表。</w:t>
            </w:r>
          </w:p>
          <w:p w14:paraId="4A6E8E90">
            <w:pPr>
              <w:pStyle w:val="24"/>
              <w:bidi w:val="0"/>
              <w:rPr>
                <w:rFonts w:hint="default"/>
                <w:lang w:val="en-US" w:eastAsia="zh-CN"/>
              </w:rPr>
            </w:pPr>
            <w:r>
              <w:rPr>
                <w:rFonts w:hint="eastAsia"/>
                <w:lang w:val="en-US" w:eastAsia="zh-CN"/>
              </w:rPr>
              <w:t>表4-6 废气污染物排放源一览表</w:t>
            </w:r>
          </w:p>
          <w:tbl>
            <w:tblPr>
              <w:tblStyle w:val="19"/>
              <w:tblW w:w="802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9"/>
              <w:gridCol w:w="615"/>
              <w:gridCol w:w="570"/>
              <w:gridCol w:w="630"/>
              <w:gridCol w:w="675"/>
              <w:gridCol w:w="630"/>
              <w:gridCol w:w="480"/>
              <w:gridCol w:w="465"/>
              <w:gridCol w:w="435"/>
              <w:gridCol w:w="660"/>
              <w:gridCol w:w="660"/>
              <w:gridCol w:w="660"/>
              <w:gridCol w:w="574"/>
              <w:gridCol w:w="404"/>
            </w:tblGrid>
            <w:tr w14:paraId="4B6CD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restart"/>
                  <w:tcBorders>
                    <w:tl2br w:val="nil"/>
                    <w:tr2bl w:val="nil"/>
                  </w:tcBorders>
                  <w:vAlign w:val="center"/>
                </w:tcPr>
                <w:p w14:paraId="0BF06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产排污环节</w:t>
                  </w:r>
                </w:p>
              </w:tc>
              <w:tc>
                <w:tcPr>
                  <w:tcW w:w="615" w:type="dxa"/>
                  <w:vMerge w:val="restart"/>
                  <w:tcBorders>
                    <w:tl2br w:val="nil"/>
                    <w:tr2bl w:val="nil"/>
                  </w:tcBorders>
                  <w:vAlign w:val="center"/>
                </w:tcPr>
                <w:p w14:paraId="2DC1BC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污染物名称</w:t>
                  </w:r>
                </w:p>
              </w:tc>
              <w:tc>
                <w:tcPr>
                  <w:tcW w:w="2505" w:type="dxa"/>
                  <w:gridSpan w:val="4"/>
                  <w:tcBorders>
                    <w:tl2br w:val="nil"/>
                    <w:tr2bl w:val="nil"/>
                  </w:tcBorders>
                  <w:vAlign w:val="center"/>
                </w:tcPr>
                <w:p w14:paraId="58781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污染物产生</w:t>
                  </w:r>
                </w:p>
              </w:tc>
              <w:tc>
                <w:tcPr>
                  <w:tcW w:w="1380" w:type="dxa"/>
                  <w:gridSpan w:val="3"/>
                  <w:tcBorders>
                    <w:tl2br w:val="nil"/>
                    <w:tr2bl w:val="nil"/>
                  </w:tcBorders>
                  <w:vAlign w:val="center"/>
                </w:tcPr>
                <w:p w14:paraId="10EBB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治理措施</w:t>
                  </w:r>
                </w:p>
              </w:tc>
              <w:tc>
                <w:tcPr>
                  <w:tcW w:w="1980" w:type="dxa"/>
                  <w:gridSpan w:val="3"/>
                  <w:tcBorders>
                    <w:tl2br w:val="nil"/>
                    <w:tr2bl w:val="nil"/>
                  </w:tcBorders>
                  <w:vAlign w:val="center"/>
                </w:tcPr>
                <w:p w14:paraId="6FC4C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污染物排放</w:t>
                  </w:r>
                </w:p>
              </w:tc>
              <w:tc>
                <w:tcPr>
                  <w:tcW w:w="574" w:type="dxa"/>
                  <w:vMerge w:val="restart"/>
                  <w:tcBorders>
                    <w:tl2br w:val="nil"/>
                    <w:tr2bl w:val="nil"/>
                  </w:tcBorders>
                  <w:vAlign w:val="center"/>
                </w:tcPr>
                <w:p w14:paraId="3C82B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年排放时间h</w:t>
                  </w:r>
                </w:p>
              </w:tc>
              <w:tc>
                <w:tcPr>
                  <w:tcW w:w="404" w:type="dxa"/>
                  <w:vMerge w:val="restart"/>
                  <w:tcBorders>
                    <w:tl2br w:val="nil"/>
                    <w:tr2bl w:val="nil"/>
                  </w:tcBorders>
                  <w:vAlign w:val="center"/>
                </w:tcPr>
                <w:p w14:paraId="0A031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标准浓度限值mg/m</w:t>
                  </w:r>
                  <w:r>
                    <w:rPr>
                      <w:rFonts w:hint="eastAsia"/>
                      <w:sz w:val="15"/>
                      <w:szCs w:val="15"/>
                      <w:vertAlign w:val="superscript"/>
                      <w:lang w:val="en-US" w:eastAsia="zh-CN"/>
                    </w:rPr>
                    <w:t>3</w:t>
                  </w:r>
                </w:p>
              </w:tc>
            </w:tr>
            <w:tr w14:paraId="3D03F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1A959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p>
              </w:tc>
              <w:tc>
                <w:tcPr>
                  <w:tcW w:w="615" w:type="dxa"/>
                  <w:vMerge w:val="continue"/>
                  <w:tcBorders>
                    <w:tl2br w:val="nil"/>
                    <w:tr2bl w:val="nil"/>
                  </w:tcBorders>
                  <w:vAlign w:val="center"/>
                </w:tcPr>
                <w:p w14:paraId="418ADB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p>
              </w:tc>
              <w:tc>
                <w:tcPr>
                  <w:tcW w:w="570" w:type="dxa"/>
                  <w:tcBorders>
                    <w:tl2br w:val="nil"/>
                    <w:tr2bl w:val="nil"/>
                  </w:tcBorders>
                  <w:vAlign w:val="center"/>
                </w:tcPr>
                <w:p w14:paraId="4AC6A8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废气量m</w:t>
                  </w:r>
                  <w:r>
                    <w:rPr>
                      <w:rFonts w:hint="eastAsia"/>
                      <w:sz w:val="15"/>
                      <w:szCs w:val="15"/>
                      <w:vertAlign w:val="superscript"/>
                      <w:lang w:val="en-US" w:eastAsia="zh-CN"/>
                    </w:rPr>
                    <w:t>3</w:t>
                  </w:r>
                  <w:r>
                    <w:rPr>
                      <w:rFonts w:hint="eastAsia"/>
                      <w:sz w:val="15"/>
                      <w:szCs w:val="15"/>
                      <w:vertAlign w:val="baseline"/>
                      <w:lang w:val="en-US" w:eastAsia="zh-CN"/>
                    </w:rPr>
                    <w:t>/h</w:t>
                  </w:r>
                </w:p>
              </w:tc>
              <w:tc>
                <w:tcPr>
                  <w:tcW w:w="630" w:type="dxa"/>
                  <w:tcBorders>
                    <w:tl2br w:val="nil"/>
                    <w:tr2bl w:val="nil"/>
                  </w:tcBorders>
                  <w:vAlign w:val="center"/>
                </w:tcPr>
                <w:p w14:paraId="309A4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产生量t/a</w:t>
                  </w:r>
                </w:p>
              </w:tc>
              <w:tc>
                <w:tcPr>
                  <w:tcW w:w="675" w:type="dxa"/>
                  <w:tcBorders>
                    <w:tl2br w:val="nil"/>
                    <w:tr2bl w:val="nil"/>
                  </w:tcBorders>
                  <w:vAlign w:val="center"/>
                </w:tcPr>
                <w:p w14:paraId="3C82E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产生速率kg/h</w:t>
                  </w:r>
                </w:p>
              </w:tc>
              <w:tc>
                <w:tcPr>
                  <w:tcW w:w="630" w:type="dxa"/>
                  <w:tcBorders>
                    <w:tl2br w:val="nil"/>
                    <w:tr2bl w:val="nil"/>
                  </w:tcBorders>
                  <w:vAlign w:val="center"/>
                </w:tcPr>
                <w:p w14:paraId="7BD88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产生浓度mg/m</w:t>
                  </w:r>
                  <w:r>
                    <w:rPr>
                      <w:rFonts w:hint="eastAsia"/>
                      <w:sz w:val="15"/>
                      <w:szCs w:val="15"/>
                      <w:vertAlign w:val="superscript"/>
                      <w:lang w:val="en-US" w:eastAsia="zh-CN"/>
                    </w:rPr>
                    <w:t>3</w:t>
                  </w:r>
                </w:p>
              </w:tc>
              <w:tc>
                <w:tcPr>
                  <w:tcW w:w="480" w:type="dxa"/>
                  <w:tcBorders>
                    <w:tl2br w:val="nil"/>
                    <w:tr2bl w:val="nil"/>
                  </w:tcBorders>
                  <w:vAlign w:val="center"/>
                </w:tcPr>
                <w:p w14:paraId="59E431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治理措施</w:t>
                  </w:r>
                </w:p>
              </w:tc>
              <w:tc>
                <w:tcPr>
                  <w:tcW w:w="465" w:type="dxa"/>
                  <w:tcBorders>
                    <w:tl2br w:val="nil"/>
                    <w:tr2bl w:val="nil"/>
                  </w:tcBorders>
                  <w:vAlign w:val="center"/>
                </w:tcPr>
                <w:p w14:paraId="6EAD0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收集效率%</w:t>
                  </w:r>
                </w:p>
              </w:tc>
              <w:tc>
                <w:tcPr>
                  <w:tcW w:w="435" w:type="dxa"/>
                  <w:tcBorders>
                    <w:tl2br w:val="nil"/>
                    <w:tr2bl w:val="nil"/>
                  </w:tcBorders>
                  <w:vAlign w:val="center"/>
                </w:tcPr>
                <w:p w14:paraId="44029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净化效率%</w:t>
                  </w:r>
                </w:p>
              </w:tc>
              <w:tc>
                <w:tcPr>
                  <w:tcW w:w="660" w:type="dxa"/>
                  <w:tcBorders>
                    <w:tl2br w:val="nil"/>
                    <w:tr2bl w:val="nil"/>
                  </w:tcBorders>
                  <w:vAlign w:val="center"/>
                </w:tcPr>
                <w:p w14:paraId="64CD0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排放量t/a</w:t>
                  </w:r>
                </w:p>
              </w:tc>
              <w:tc>
                <w:tcPr>
                  <w:tcW w:w="660" w:type="dxa"/>
                  <w:tcBorders>
                    <w:tl2br w:val="nil"/>
                    <w:tr2bl w:val="nil"/>
                  </w:tcBorders>
                  <w:vAlign w:val="center"/>
                </w:tcPr>
                <w:p w14:paraId="217C3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排放速率kg/h</w:t>
                  </w:r>
                </w:p>
              </w:tc>
              <w:tc>
                <w:tcPr>
                  <w:tcW w:w="660" w:type="dxa"/>
                  <w:tcBorders>
                    <w:tl2br w:val="nil"/>
                    <w:tr2bl w:val="nil"/>
                  </w:tcBorders>
                  <w:vAlign w:val="center"/>
                </w:tcPr>
                <w:p w14:paraId="33D00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排放浓度mg/m</w:t>
                  </w:r>
                  <w:r>
                    <w:rPr>
                      <w:rFonts w:hint="eastAsia"/>
                      <w:sz w:val="15"/>
                      <w:szCs w:val="15"/>
                      <w:vertAlign w:val="superscript"/>
                      <w:lang w:val="en-US" w:eastAsia="zh-CN"/>
                    </w:rPr>
                    <w:t>3</w:t>
                  </w:r>
                </w:p>
              </w:tc>
              <w:tc>
                <w:tcPr>
                  <w:tcW w:w="574" w:type="dxa"/>
                  <w:vMerge w:val="continue"/>
                  <w:tcBorders>
                    <w:tl2br w:val="nil"/>
                    <w:tr2bl w:val="nil"/>
                  </w:tcBorders>
                  <w:vAlign w:val="center"/>
                </w:tcPr>
                <w:p w14:paraId="6C4CB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p>
              </w:tc>
              <w:tc>
                <w:tcPr>
                  <w:tcW w:w="404" w:type="dxa"/>
                  <w:vMerge w:val="continue"/>
                  <w:tcBorders>
                    <w:tl2br w:val="nil"/>
                    <w:tr2bl w:val="nil"/>
                  </w:tcBorders>
                  <w:vAlign w:val="center"/>
                </w:tcPr>
                <w:p w14:paraId="5CCA2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p>
              </w:tc>
            </w:tr>
            <w:tr w14:paraId="7B9BC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restart"/>
                  <w:tcBorders>
                    <w:tl2br w:val="nil"/>
                    <w:tr2bl w:val="nil"/>
                  </w:tcBorders>
                  <w:vAlign w:val="center"/>
                </w:tcPr>
                <w:p w14:paraId="7DF2D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DA001</w:t>
                  </w:r>
                </w:p>
              </w:tc>
              <w:tc>
                <w:tcPr>
                  <w:tcW w:w="615" w:type="dxa"/>
                  <w:tcBorders>
                    <w:tl2br w:val="nil"/>
                    <w:tr2bl w:val="nil"/>
                  </w:tcBorders>
                  <w:shd w:val="clear" w:color="auto" w:fill="auto"/>
                  <w:vAlign w:val="center"/>
                </w:tcPr>
                <w:p w14:paraId="0253F24F">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cs="Times New Roman"/>
                      <w:color w:val="000000" w:themeColor="text1"/>
                      <w:sz w:val="15"/>
                      <w:szCs w:val="15"/>
                      <w:highlight w:val="none"/>
                      <w14:textFill>
                        <w14:solidFill>
                          <w14:schemeClr w14:val="tx1"/>
                        </w14:solidFill>
                      </w14:textFill>
                    </w:rPr>
                    <w:t>颗粒物</w:t>
                  </w:r>
                </w:p>
              </w:tc>
              <w:tc>
                <w:tcPr>
                  <w:tcW w:w="570" w:type="dxa"/>
                  <w:vMerge w:val="restart"/>
                  <w:tcBorders>
                    <w:tl2br w:val="nil"/>
                    <w:tr2bl w:val="nil"/>
                  </w:tcBorders>
                  <w:vAlign w:val="center"/>
                </w:tcPr>
                <w:p w14:paraId="3FC98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5000</w:t>
                  </w:r>
                </w:p>
              </w:tc>
              <w:tc>
                <w:tcPr>
                  <w:tcW w:w="630" w:type="dxa"/>
                  <w:tcBorders>
                    <w:tl2br w:val="nil"/>
                    <w:tr2bl w:val="nil"/>
                  </w:tcBorders>
                  <w:shd w:val="clear" w:color="auto" w:fill="auto"/>
                  <w:vAlign w:val="center"/>
                </w:tcPr>
                <w:p w14:paraId="50CE98AC">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lang w:val="en-US" w:eastAsia="zh-CN"/>
                      <w14:textFill>
                        <w14:solidFill>
                          <w14:schemeClr w14:val="tx1"/>
                        </w14:solidFill>
                      </w14:textFill>
                    </w:rPr>
                    <w:t>0.0465</w:t>
                  </w:r>
                </w:p>
              </w:tc>
              <w:tc>
                <w:tcPr>
                  <w:tcW w:w="675" w:type="dxa"/>
                  <w:tcBorders>
                    <w:tl2br w:val="nil"/>
                    <w:tr2bl w:val="nil"/>
                  </w:tcBorders>
                  <w:vAlign w:val="center"/>
                </w:tcPr>
                <w:p w14:paraId="56067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0.023</w:t>
                  </w:r>
                </w:p>
              </w:tc>
              <w:tc>
                <w:tcPr>
                  <w:tcW w:w="630" w:type="dxa"/>
                  <w:tcBorders>
                    <w:tl2br w:val="nil"/>
                    <w:tr2bl w:val="nil"/>
                  </w:tcBorders>
                  <w:vAlign w:val="center"/>
                </w:tcPr>
                <w:p w14:paraId="4482BF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4.6</w:t>
                  </w:r>
                </w:p>
              </w:tc>
              <w:tc>
                <w:tcPr>
                  <w:tcW w:w="480" w:type="dxa"/>
                  <w:vMerge w:val="restart"/>
                  <w:tcBorders>
                    <w:tl2br w:val="nil"/>
                    <w:tr2bl w:val="nil"/>
                  </w:tcBorders>
                  <w:vAlign w:val="center"/>
                </w:tcPr>
                <w:p w14:paraId="185C5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布袋除尘器+活性炭吸附</w:t>
                  </w:r>
                </w:p>
              </w:tc>
              <w:tc>
                <w:tcPr>
                  <w:tcW w:w="465" w:type="dxa"/>
                  <w:tcBorders>
                    <w:tl2br w:val="nil"/>
                    <w:tr2bl w:val="nil"/>
                  </w:tcBorders>
                  <w:vAlign w:val="center"/>
                </w:tcPr>
                <w:p w14:paraId="42F56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78290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95</w:t>
                  </w:r>
                </w:p>
              </w:tc>
              <w:tc>
                <w:tcPr>
                  <w:tcW w:w="660" w:type="dxa"/>
                  <w:tcBorders>
                    <w:tl2br w:val="nil"/>
                    <w:tr2bl w:val="nil"/>
                  </w:tcBorders>
                  <w:vAlign w:val="center"/>
                </w:tcPr>
                <w:p w14:paraId="6BD43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0.0023</w:t>
                  </w:r>
                </w:p>
              </w:tc>
              <w:tc>
                <w:tcPr>
                  <w:tcW w:w="660" w:type="dxa"/>
                  <w:tcBorders>
                    <w:tl2br w:val="nil"/>
                    <w:tr2bl w:val="nil"/>
                  </w:tcBorders>
                  <w:vAlign w:val="center"/>
                </w:tcPr>
                <w:p w14:paraId="603F9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0.0012</w:t>
                  </w:r>
                </w:p>
              </w:tc>
              <w:tc>
                <w:tcPr>
                  <w:tcW w:w="660" w:type="dxa"/>
                  <w:tcBorders>
                    <w:tl2br w:val="nil"/>
                    <w:tr2bl w:val="nil"/>
                  </w:tcBorders>
                  <w:vAlign w:val="center"/>
                </w:tcPr>
                <w:p w14:paraId="0323A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0.23</w:t>
                  </w:r>
                </w:p>
              </w:tc>
              <w:tc>
                <w:tcPr>
                  <w:tcW w:w="574" w:type="dxa"/>
                  <w:tcBorders>
                    <w:tl2br w:val="nil"/>
                    <w:tr2bl w:val="nil"/>
                  </w:tcBorders>
                  <w:vAlign w:val="center"/>
                </w:tcPr>
                <w:p w14:paraId="5C6FA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2000</w:t>
                  </w:r>
                </w:p>
              </w:tc>
              <w:tc>
                <w:tcPr>
                  <w:tcW w:w="404" w:type="dxa"/>
                  <w:tcBorders>
                    <w:tl2br w:val="nil"/>
                    <w:tr2bl w:val="nil"/>
                  </w:tcBorders>
                  <w:vAlign w:val="center"/>
                </w:tcPr>
                <w:p w14:paraId="6E9FDE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10</w:t>
                  </w:r>
                </w:p>
              </w:tc>
            </w:tr>
            <w:tr w14:paraId="129EFE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4F2689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shd w:val="clear" w:color="auto" w:fill="auto"/>
                  <w:vAlign w:val="center"/>
                </w:tcPr>
                <w:p w14:paraId="0CA83E40">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cs="Times New Roman"/>
                      <w:color w:val="000000" w:themeColor="text1"/>
                      <w:sz w:val="15"/>
                      <w:szCs w:val="15"/>
                      <w:highlight w:val="none"/>
                      <w14:textFill>
                        <w14:solidFill>
                          <w14:schemeClr w14:val="tx1"/>
                        </w14:solidFill>
                      </w14:textFill>
                    </w:rPr>
                    <w:t>非甲烷总烃</w:t>
                  </w:r>
                </w:p>
              </w:tc>
              <w:tc>
                <w:tcPr>
                  <w:tcW w:w="570" w:type="dxa"/>
                  <w:vMerge w:val="continue"/>
                  <w:tcBorders>
                    <w:tl2br w:val="nil"/>
                    <w:tr2bl w:val="nil"/>
                  </w:tcBorders>
                  <w:vAlign w:val="center"/>
                </w:tcPr>
                <w:p w14:paraId="69901D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shd w:val="clear" w:color="auto" w:fill="auto"/>
                  <w:vAlign w:val="center"/>
                </w:tcPr>
                <w:p w14:paraId="6410AF06">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lang w:val="en-US" w:eastAsia="zh-CN"/>
                      <w14:textFill>
                        <w14:solidFill>
                          <w14:schemeClr w14:val="tx1"/>
                        </w14:solidFill>
                      </w14:textFill>
                    </w:rPr>
                    <w:t>0.2328</w:t>
                  </w:r>
                </w:p>
              </w:tc>
              <w:tc>
                <w:tcPr>
                  <w:tcW w:w="675" w:type="dxa"/>
                  <w:tcBorders>
                    <w:tl2br w:val="nil"/>
                    <w:tr2bl w:val="nil"/>
                  </w:tcBorders>
                  <w:vAlign w:val="center"/>
                </w:tcPr>
                <w:p w14:paraId="36A36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0.116</w:t>
                  </w:r>
                </w:p>
              </w:tc>
              <w:tc>
                <w:tcPr>
                  <w:tcW w:w="630" w:type="dxa"/>
                  <w:tcBorders>
                    <w:tl2br w:val="nil"/>
                    <w:tr2bl w:val="nil"/>
                  </w:tcBorders>
                  <w:vAlign w:val="center"/>
                </w:tcPr>
                <w:p w14:paraId="5244F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23.28</w:t>
                  </w:r>
                </w:p>
              </w:tc>
              <w:tc>
                <w:tcPr>
                  <w:tcW w:w="480" w:type="dxa"/>
                  <w:vMerge w:val="continue"/>
                  <w:tcBorders>
                    <w:tl2br w:val="nil"/>
                    <w:tr2bl w:val="nil"/>
                  </w:tcBorders>
                  <w:vAlign w:val="center"/>
                </w:tcPr>
                <w:p w14:paraId="47EBB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24045A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0BCD19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21</w:t>
                  </w:r>
                </w:p>
              </w:tc>
              <w:tc>
                <w:tcPr>
                  <w:tcW w:w="660" w:type="dxa"/>
                  <w:tcBorders>
                    <w:tl2br w:val="nil"/>
                    <w:tr2bl w:val="nil"/>
                  </w:tcBorders>
                  <w:vAlign w:val="center"/>
                </w:tcPr>
                <w:p w14:paraId="220CAD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0.1839</w:t>
                  </w:r>
                </w:p>
              </w:tc>
              <w:tc>
                <w:tcPr>
                  <w:tcW w:w="660" w:type="dxa"/>
                  <w:tcBorders>
                    <w:tl2br w:val="nil"/>
                    <w:tr2bl w:val="nil"/>
                  </w:tcBorders>
                  <w:vAlign w:val="center"/>
                </w:tcPr>
                <w:p w14:paraId="4EAFF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0.092</w:t>
                  </w:r>
                </w:p>
              </w:tc>
              <w:tc>
                <w:tcPr>
                  <w:tcW w:w="660" w:type="dxa"/>
                  <w:tcBorders>
                    <w:tl2br w:val="nil"/>
                    <w:tr2bl w:val="nil"/>
                  </w:tcBorders>
                  <w:vAlign w:val="center"/>
                </w:tcPr>
                <w:p w14:paraId="29167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18.39</w:t>
                  </w:r>
                </w:p>
              </w:tc>
              <w:tc>
                <w:tcPr>
                  <w:tcW w:w="574" w:type="dxa"/>
                  <w:tcBorders>
                    <w:tl2br w:val="nil"/>
                    <w:tr2bl w:val="nil"/>
                  </w:tcBorders>
                  <w:vAlign w:val="center"/>
                </w:tcPr>
                <w:p w14:paraId="371AC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2000</w:t>
                  </w:r>
                </w:p>
              </w:tc>
              <w:tc>
                <w:tcPr>
                  <w:tcW w:w="404" w:type="dxa"/>
                  <w:tcBorders>
                    <w:tl2br w:val="nil"/>
                    <w:tr2bl w:val="nil"/>
                  </w:tcBorders>
                  <w:vAlign w:val="center"/>
                </w:tcPr>
                <w:p w14:paraId="714323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50</w:t>
                  </w:r>
                </w:p>
              </w:tc>
            </w:tr>
            <w:tr w14:paraId="049A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1535C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shd w:val="clear" w:color="auto" w:fill="auto"/>
                  <w:vAlign w:val="center"/>
                </w:tcPr>
                <w:p w14:paraId="2EC257F2">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14:textFill>
                        <w14:solidFill>
                          <w14:schemeClr w14:val="tx1"/>
                        </w14:solidFill>
                      </w14:textFill>
                    </w:rPr>
                    <w:t>一氧化碳</w:t>
                  </w:r>
                </w:p>
              </w:tc>
              <w:tc>
                <w:tcPr>
                  <w:tcW w:w="570" w:type="dxa"/>
                  <w:vMerge w:val="continue"/>
                  <w:tcBorders>
                    <w:tl2br w:val="nil"/>
                    <w:tr2bl w:val="nil"/>
                  </w:tcBorders>
                  <w:vAlign w:val="center"/>
                </w:tcPr>
                <w:p w14:paraId="02F36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shd w:val="clear" w:color="auto" w:fill="auto"/>
                  <w:vAlign w:val="center"/>
                </w:tcPr>
                <w:p w14:paraId="15573FDA">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lang w:val="en-US" w:eastAsia="zh-CN"/>
                      <w14:textFill>
                        <w14:solidFill>
                          <w14:schemeClr w14:val="tx1"/>
                        </w14:solidFill>
                      </w14:textFill>
                    </w:rPr>
                    <w:t>0.0143</w:t>
                  </w:r>
                </w:p>
              </w:tc>
              <w:tc>
                <w:tcPr>
                  <w:tcW w:w="675" w:type="dxa"/>
                  <w:tcBorders>
                    <w:tl2br w:val="nil"/>
                    <w:tr2bl w:val="nil"/>
                  </w:tcBorders>
                  <w:vAlign w:val="center"/>
                </w:tcPr>
                <w:p w14:paraId="7CF80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0.007</w:t>
                  </w:r>
                </w:p>
              </w:tc>
              <w:tc>
                <w:tcPr>
                  <w:tcW w:w="630" w:type="dxa"/>
                  <w:tcBorders>
                    <w:tl2br w:val="nil"/>
                    <w:tr2bl w:val="nil"/>
                  </w:tcBorders>
                  <w:vAlign w:val="center"/>
                </w:tcPr>
                <w:p w14:paraId="533703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1.43</w:t>
                  </w:r>
                </w:p>
              </w:tc>
              <w:tc>
                <w:tcPr>
                  <w:tcW w:w="480" w:type="dxa"/>
                  <w:vMerge w:val="continue"/>
                  <w:tcBorders>
                    <w:tl2br w:val="nil"/>
                    <w:tr2bl w:val="nil"/>
                  </w:tcBorders>
                  <w:vAlign w:val="center"/>
                </w:tcPr>
                <w:p w14:paraId="4A513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1E32C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1886D1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w:t>
                  </w:r>
                </w:p>
              </w:tc>
              <w:tc>
                <w:tcPr>
                  <w:tcW w:w="660" w:type="dxa"/>
                  <w:tcBorders>
                    <w:tl2br w:val="nil"/>
                    <w:tr2bl w:val="nil"/>
                  </w:tcBorders>
                  <w:vAlign w:val="center"/>
                </w:tcPr>
                <w:p w14:paraId="282D6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0143</w:t>
                  </w:r>
                </w:p>
              </w:tc>
              <w:tc>
                <w:tcPr>
                  <w:tcW w:w="660" w:type="dxa"/>
                  <w:tcBorders>
                    <w:tl2br w:val="nil"/>
                    <w:tr2bl w:val="nil"/>
                  </w:tcBorders>
                  <w:vAlign w:val="center"/>
                </w:tcPr>
                <w:p w14:paraId="2195D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0.007</w:t>
                  </w:r>
                </w:p>
              </w:tc>
              <w:tc>
                <w:tcPr>
                  <w:tcW w:w="660" w:type="dxa"/>
                  <w:tcBorders>
                    <w:tl2br w:val="nil"/>
                    <w:tr2bl w:val="nil"/>
                  </w:tcBorders>
                  <w:vAlign w:val="center"/>
                </w:tcPr>
                <w:p w14:paraId="719E6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1.43</w:t>
                  </w:r>
                </w:p>
              </w:tc>
              <w:tc>
                <w:tcPr>
                  <w:tcW w:w="574" w:type="dxa"/>
                  <w:tcBorders>
                    <w:tl2br w:val="nil"/>
                    <w:tr2bl w:val="nil"/>
                  </w:tcBorders>
                  <w:shd w:val="clear"/>
                  <w:vAlign w:val="center"/>
                </w:tcPr>
                <w:p w14:paraId="13734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15"/>
                      <w:szCs w:val="15"/>
                      <w:vertAlign w:val="baseline"/>
                      <w:lang w:val="en-US" w:eastAsia="zh-CN" w:bidi="ar-SA"/>
                    </w:rPr>
                  </w:pPr>
                  <w:r>
                    <w:rPr>
                      <w:rFonts w:hint="eastAsia"/>
                      <w:sz w:val="15"/>
                      <w:szCs w:val="15"/>
                      <w:vertAlign w:val="baseline"/>
                      <w:lang w:val="en-US" w:eastAsia="zh-CN"/>
                    </w:rPr>
                    <w:t>2000</w:t>
                  </w:r>
                </w:p>
              </w:tc>
              <w:tc>
                <w:tcPr>
                  <w:tcW w:w="404" w:type="dxa"/>
                  <w:tcBorders>
                    <w:tl2br w:val="nil"/>
                    <w:tr2bl w:val="nil"/>
                  </w:tcBorders>
                  <w:vAlign w:val="center"/>
                </w:tcPr>
                <w:p w14:paraId="3313F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200</w:t>
                  </w:r>
                </w:p>
              </w:tc>
            </w:tr>
            <w:tr w14:paraId="64FA28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0B27F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shd w:val="clear" w:color="auto" w:fill="auto"/>
                  <w:vAlign w:val="center"/>
                </w:tcPr>
                <w:p w14:paraId="0B98A26D">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14:textFill>
                        <w14:solidFill>
                          <w14:schemeClr w14:val="tx1"/>
                        </w14:solidFill>
                      </w14:textFill>
                    </w:rPr>
                    <w:t>氯化氢</w:t>
                  </w:r>
                </w:p>
              </w:tc>
              <w:tc>
                <w:tcPr>
                  <w:tcW w:w="570" w:type="dxa"/>
                  <w:vMerge w:val="continue"/>
                  <w:tcBorders>
                    <w:tl2br w:val="nil"/>
                    <w:tr2bl w:val="nil"/>
                  </w:tcBorders>
                  <w:vAlign w:val="center"/>
                </w:tcPr>
                <w:p w14:paraId="4B30F9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shd w:val="clear" w:color="auto" w:fill="auto"/>
                  <w:vAlign w:val="center"/>
                </w:tcPr>
                <w:p w14:paraId="4B3AD9B0">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r>
                    <w:rPr>
                      <w:rFonts w:hint="eastAsia" w:cs="Times New Roman"/>
                      <w:color w:val="000000" w:themeColor="text1"/>
                      <w:sz w:val="15"/>
                      <w:szCs w:val="15"/>
                      <w:highlight w:val="none"/>
                      <w:lang w:val="en-US" w:eastAsia="zh-CN"/>
                      <w14:textFill>
                        <w14:solidFill>
                          <w14:schemeClr w14:val="tx1"/>
                        </w14:solidFill>
                      </w14:textFill>
                    </w:rPr>
                    <w:t>0.0009</w:t>
                  </w:r>
                </w:p>
              </w:tc>
              <w:tc>
                <w:tcPr>
                  <w:tcW w:w="675" w:type="dxa"/>
                  <w:tcBorders>
                    <w:tl2br w:val="nil"/>
                    <w:tr2bl w:val="nil"/>
                  </w:tcBorders>
                  <w:vAlign w:val="center"/>
                </w:tcPr>
                <w:p w14:paraId="1C883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0.0005</w:t>
                  </w:r>
                </w:p>
              </w:tc>
              <w:tc>
                <w:tcPr>
                  <w:tcW w:w="630" w:type="dxa"/>
                  <w:tcBorders>
                    <w:tl2br w:val="nil"/>
                    <w:tr2bl w:val="nil"/>
                  </w:tcBorders>
                  <w:vAlign w:val="center"/>
                </w:tcPr>
                <w:p w14:paraId="324DE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0.09</w:t>
                  </w:r>
                </w:p>
              </w:tc>
              <w:tc>
                <w:tcPr>
                  <w:tcW w:w="480" w:type="dxa"/>
                  <w:vMerge w:val="continue"/>
                  <w:tcBorders>
                    <w:tl2br w:val="nil"/>
                    <w:tr2bl w:val="nil"/>
                  </w:tcBorders>
                  <w:vAlign w:val="center"/>
                </w:tcPr>
                <w:p w14:paraId="7DA68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6FDF2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0BEF0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w:t>
                  </w:r>
                </w:p>
              </w:tc>
              <w:tc>
                <w:tcPr>
                  <w:tcW w:w="660" w:type="dxa"/>
                  <w:tcBorders>
                    <w:tl2br w:val="nil"/>
                    <w:tr2bl w:val="nil"/>
                  </w:tcBorders>
                  <w:vAlign w:val="center"/>
                </w:tcPr>
                <w:p w14:paraId="4B427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0.0009</w:t>
                  </w:r>
                </w:p>
              </w:tc>
              <w:tc>
                <w:tcPr>
                  <w:tcW w:w="660" w:type="dxa"/>
                  <w:tcBorders>
                    <w:tl2br w:val="nil"/>
                    <w:tr2bl w:val="nil"/>
                  </w:tcBorders>
                  <w:vAlign w:val="center"/>
                </w:tcPr>
                <w:p w14:paraId="0EF57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0.0005</w:t>
                  </w:r>
                </w:p>
              </w:tc>
              <w:tc>
                <w:tcPr>
                  <w:tcW w:w="660" w:type="dxa"/>
                  <w:tcBorders>
                    <w:tl2br w:val="nil"/>
                    <w:tr2bl w:val="nil"/>
                  </w:tcBorders>
                  <w:vAlign w:val="center"/>
                </w:tcPr>
                <w:p w14:paraId="7C9ED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0.09</w:t>
                  </w:r>
                </w:p>
              </w:tc>
              <w:tc>
                <w:tcPr>
                  <w:tcW w:w="574" w:type="dxa"/>
                  <w:tcBorders>
                    <w:tl2br w:val="nil"/>
                    <w:tr2bl w:val="nil"/>
                  </w:tcBorders>
                  <w:shd w:val="clear"/>
                  <w:vAlign w:val="center"/>
                </w:tcPr>
                <w:p w14:paraId="715F5F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15"/>
                      <w:szCs w:val="15"/>
                      <w:vertAlign w:val="baseline"/>
                      <w:lang w:val="en-US" w:eastAsia="zh-CN" w:bidi="ar-SA"/>
                    </w:rPr>
                  </w:pPr>
                  <w:r>
                    <w:rPr>
                      <w:rFonts w:hint="eastAsia"/>
                      <w:sz w:val="15"/>
                      <w:szCs w:val="15"/>
                      <w:vertAlign w:val="baseline"/>
                      <w:lang w:val="en-US" w:eastAsia="zh-CN"/>
                    </w:rPr>
                    <w:t>2000</w:t>
                  </w:r>
                </w:p>
              </w:tc>
              <w:tc>
                <w:tcPr>
                  <w:tcW w:w="404" w:type="dxa"/>
                  <w:tcBorders>
                    <w:tl2br w:val="nil"/>
                    <w:tr2bl w:val="nil"/>
                  </w:tcBorders>
                  <w:vAlign w:val="center"/>
                </w:tcPr>
                <w:p w14:paraId="2F044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10</w:t>
                  </w:r>
                </w:p>
              </w:tc>
            </w:tr>
            <w:tr w14:paraId="28AF4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1B63E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vAlign w:val="center"/>
                </w:tcPr>
                <w:p w14:paraId="6EBA4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其他C类物质</w:t>
                  </w:r>
                </w:p>
              </w:tc>
              <w:tc>
                <w:tcPr>
                  <w:tcW w:w="570" w:type="dxa"/>
                  <w:vMerge w:val="continue"/>
                  <w:tcBorders>
                    <w:tl2br w:val="nil"/>
                    <w:tr2bl w:val="nil"/>
                  </w:tcBorders>
                  <w:vAlign w:val="center"/>
                </w:tcPr>
                <w:p w14:paraId="44FD6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vAlign w:val="center"/>
                </w:tcPr>
                <w:p w14:paraId="535E2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0.00005</w:t>
                  </w:r>
                </w:p>
              </w:tc>
              <w:tc>
                <w:tcPr>
                  <w:tcW w:w="675" w:type="dxa"/>
                  <w:tcBorders>
                    <w:tl2br w:val="nil"/>
                    <w:tr2bl w:val="nil"/>
                  </w:tcBorders>
                  <w:vAlign w:val="center"/>
                </w:tcPr>
                <w:p w14:paraId="43D61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0.00003</w:t>
                  </w:r>
                </w:p>
              </w:tc>
              <w:tc>
                <w:tcPr>
                  <w:tcW w:w="630" w:type="dxa"/>
                  <w:tcBorders>
                    <w:tl2br w:val="nil"/>
                    <w:tr2bl w:val="nil"/>
                  </w:tcBorders>
                  <w:vAlign w:val="center"/>
                </w:tcPr>
                <w:p w14:paraId="74839E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0.005</w:t>
                  </w:r>
                </w:p>
              </w:tc>
              <w:tc>
                <w:tcPr>
                  <w:tcW w:w="480" w:type="dxa"/>
                  <w:vMerge w:val="continue"/>
                  <w:tcBorders>
                    <w:tl2br w:val="nil"/>
                    <w:tr2bl w:val="nil"/>
                  </w:tcBorders>
                  <w:vAlign w:val="center"/>
                </w:tcPr>
                <w:p w14:paraId="4E53C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3EF1C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01E81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21</w:t>
                  </w:r>
                </w:p>
              </w:tc>
              <w:tc>
                <w:tcPr>
                  <w:tcW w:w="660" w:type="dxa"/>
                  <w:tcBorders>
                    <w:tl2br w:val="nil"/>
                    <w:tr2bl w:val="nil"/>
                  </w:tcBorders>
                  <w:vAlign w:val="center"/>
                </w:tcPr>
                <w:p w14:paraId="03EB18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0.00004</w:t>
                  </w:r>
                </w:p>
              </w:tc>
              <w:tc>
                <w:tcPr>
                  <w:tcW w:w="660" w:type="dxa"/>
                  <w:tcBorders>
                    <w:tl2br w:val="nil"/>
                    <w:tr2bl w:val="nil"/>
                  </w:tcBorders>
                  <w:vAlign w:val="center"/>
                </w:tcPr>
                <w:p w14:paraId="7F798D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0.00002</w:t>
                  </w:r>
                </w:p>
              </w:tc>
              <w:tc>
                <w:tcPr>
                  <w:tcW w:w="660" w:type="dxa"/>
                  <w:tcBorders>
                    <w:tl2br w:val="nil"/>
                    <w:tr2bl w:val="nil"/>
                  </w:tcBorders>
                  <w:vAlign w:val="center"/>
                </w:tcPr>
                <w:p w14:paraId="2B5FF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0.004</w:t>
                  </w:r>
                </w:p>
              </w:tc>
              <w:tc>
                <w:tcPr>
                  <w:tcW w:w="574" w:type="dxa"/>
                  <w:tcBorders>
                    <w:tl2br w:val="nil"/>
                    <w:tr2bl w:val="nil"/>
                  </w:tcBorders>
                  <w:vAlign w:val="center"/>
                </w:tcPr>
                <w:p w14:paraId="38A85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2000</w:t>
                  </w:r>
                </w:p>
              </w:tc>
              <w:tc>
                <w:tcPr>
                  <w:tcW w:w="404" w:type="dxa"/>
                  <w:tcBorders>
                    <w:tl2br w:val="nil"/>
                    <w:tr2bl w:val="nil"/>
                  </w:tcBorders>
                  <w:vAlign w:val="center"/>
                </w:tcPr>
                <w:p w14:paraId="47389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80</w:t>
                  </w:r>
                </w:p>
              </w:tc>
            </w:tr>
            <w:tr w14:paraId="09CBAB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47F9CA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vAlign w:val="center"/>
                </w:tcPr>
                <w:p w14:paraId="525E8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其他A类物质</w:t>
                  </w:r>
                </w:p>
              </w:tc>
              <w:tc>
                <w:tcPr>
                  <w:tcW w:w="570" w:type="dxa"/>
                  <w:vMerge w:val="continue"/>
                  <w:tcBorders>
                    <w:tl2br w:val="nil"/>
                    <w:tr2bl w:val="nil"/>
                  </w:tcBorders>
                  <w:vAlign w:val="center"/>
                </w:tcPr>
                <w:p w14:paraId="5E917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vAlign w:val="center"/>
                </w:tcPr>
                <w:p w14:paraId="62AD3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0.00002</w:t>
                  </w:r>
                </w:p>
              </w:tc>
              <w:tc>
                <w:tcPr>
                  <w:tcW w:w="675" w:type="dxa"/>
                  <w:tcBorders>
                    <w:tl2br w:val="nil"/>
                    <w:tr2bl w:val="nil"/>
                  </w:tcBorders>
                  <w:vAlign w:val="center"/>
                </w:tcPr>
                <w:p w14:paraId="43BA7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0.00001</w:t>
                  </w:r>
                </w:p>
              </w:tc>
              <w:tc>
                <w:tcPr>
                  <w:tcW w:w="630" w:type="dxa"/>
                  <w:tcBorders>
                    <w:tl2br w:val="nil"/>
                    <w:tr2bl w:val="nil"/>
                  </w:tcBorders>
                  <w:vAlign w:val="center"/>
                </w:tcPr>
                <w:p w14:paraId="28245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0.002</w:t>
                  </w:r>
                </w:p>
              </w:tc>
              <w:tc>
                <w:tcPr>
                  <w:tcW w:w="480" w:type="dxa"/>
                  <w:vMerge w:val="continue"/>
                  <w:tcBorders>
                    <w:tl2br w:val="nil"/>
                    <w:tr2bl w:val="nil"/>
                  </w:tcBorders>
                  <w:vAlign w:val="center"/>
                </w:tcPr>
                <w:p w14:paraId="25CB3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24155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5387F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21</w:t>
                  </w:r>
                </w:p>
              </w:tc>
              <w:tc>
                <w:tcPr>
                  <w:tcW w:w="660" w:type="dxa"/>
                  <w:tcBorders>
                    <w:tl2br w:val="nil"/>
                    <w:tr2bl w:val="nil"/>
                  </w:tcBorders>
                  <w:vAlign w:val="center"/>
                </w:tcPr>
                <w:p w14:paraId="129A2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0.00002</w:t>
                  </w:r>
                </w:p>
              </w:tc>
              <w:tc>
                <w:tcPr>
                  <w:tcW w:w="660" w:type="dxa"/>
                  <w:tcBorders>
                    <w:tl2br w:val="nil"/>
                    <w:tr2bl w:val="nil"/>
                  </w:tcBorders>
                  <w:vAlign w:val="center"/>
                </w:tcPr>
                <w:p w14:paraId="0E7B3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0.000008</w:t>
                  </w:r>
                </w:p>
              </w:tc>
              <w:tc>
                <w:tcPr>
                  <w:tcW w:w="660" w:type="dxa"/>
                  <w:tcBorders>
                    <w:tl2br w:val="nil"/>
                    <w:tr2bl w:val="nil"/>
                  </w:tcBorders>
                  <w:vAlign w:val="center"/>
                </w:tcPr>
                <w:p w14:paraId="0D9AE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0.0016</w:t>
                  </w:r>
                </w:p>
              </w:tc>
              <w:tc>
                <w:tcPr>
                  <w:tcW w:w="574" w:type="dxa"/>
                  <w:tcBorders>
                    <w:tl2br w:val="nil"/>
                    <w:tr2bl w:val="nil"/>
                  </w:tcBorders>
                  <w:vAlign w:val="center"/>
                </w:tcPr>
                <w:p w14:paraId="4EBD9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2000</w:t>
                  </w:r>
                </w:p>
              </w:tc>
              <w:tc>
                <w:tcPr>
                  <w:tcW w:w="404" w:type="dxa"/>
                  <w:tcBorders>
                    <w:tl2br w:val="nil"/>
                    <w:tr2bl w:val="nil"/>
                  </w:tcBorders>
                  <w:vAlign w:val="center"/>
                </w:tcPr>
                <w:p w14:paraId="5BBE8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20</w:t>
                  </w:r>
                </w:p>
              </w:tc>
            </w:tr>
            <w:tr w14:paraId="1A17B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vAlign w:val="center"/>
                </w:tcPr>
                <w:p w14:paraId="29218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15" w:type="dxa"/>
                  <w:tcBorders>
                    <w:tl2br w:val="nil"/>
                    <w:tr2bl w:val="nil"/>
                  </w:tcBorders>
                  <w:vAlign w:val="center"/>
                </w:tcPr>
                <w:p w14:paraId="57B94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甲醇</w:t>
                  </w:r>
                </w:p>
              </w:tc>
              <w:tc>
                <w:tcPr>
                  <w:tcW w:w="570" w:type="dxa"/>
                  <w:vMerge w:val="continue"/>
                  <w:tcBorders>
                    <w:tl2br w:val="nil"/>
                    <w:tr2bl w:val="nil"/>
                  </w:tcBorders>
                  <w:vAlign w:val="center"/>
                </w:tcPr>
                <w:p w14:paraId="4785D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630" w:type="dxa"/>
                  <w:tcBorders>
                    <w:tl2br w:val="nil"/>
                    <w:tr2bl w:val="nil"/>
                  </w:tcBorders>
                  <w:vAlign w:val="center"/>
                </w:tcPr>
                <w:p w14:paraId="040326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0.00006</w:t>
                  </w:r>
                </w:p>
              </w:tc>
              <w:tc>
                <w:tcPr>
                  <w:tcW w:w="675" w:type="dxa"/>
                  <w:tcBorders>
                    <w:tl2br w:val="nil"/>
                    <w:tr2bl w:val="nil"/>
                  </w:tcBorders>
                  <w:vAlign w:val="center"/>
                </w:tcPr>
                <w:p w14:paraId="18267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0.00003</w:t>
                  </w:r>
                </w:p>
              </w:tc>
              <w:tc>
                <w:tcPr>
                  <w:tcW w:w="630" w:type="dxa"/>
                  <w:tcBorders>
                    <w:tl2br w:val="nil"/>
                    <w:tr2bl w:val="nil"/>
                  </w:tcBorders>
                  <w:vAlign w:val="center"/>
                </w:tcPr>
                <w:p w14:paraId="06C13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0.006</w:t>
                  </w:r>
                </w:p>
              </w:tc>
              <w:tc>
                <w:tcPr>
                  <w:tcW w:w="480" w:type="dxa"/>
                  <w:vMerge w:val="continue"/>
                  <w:tcBorders>
                    <w:tl2br w:val="nil"/>
                    <w:tr2bl w:val="nil"/>
                  </w:tcBorders>
                  <w:vAlign w:val="center"/>
                </w:tcPr>
                <w:p w14:paraId="513C5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p>
              </w:tc>
              <w:tc>
                <w:tcPr>
                  <w:tcW w:w="465" w:type="dxa"/>
                  <w:tcBorders>
                    <w:tl2br w:val="nil"/>
                    <w:tr2bl w:val="nil"/>
                  </w:tcBorders>
                  <w:vAlign w:val="center"/>
                </w:tcPr>
                <w:p w14:paraId="208C6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100</w:t>
                  </w:r>
                </w:p>
              </w:tc>
              <w:tc>
                <w:tcPr>
                  <w:tcW w:w="435" w:type="dxa"/>
                  <w:tcBorders>
                    <w:tl2br w:val="nil"/>
                    <w:tr2bl w:val="nil"/>
                  </w:tcBorders>
                  <w:vAlign w:val="center"/>
                </w:tcPr>
                <w:p w14:paraId="02789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21</w:t>
                  </w:r>
                </w:p>
              </w:tc>
              <w:tc>
                <w:tcPr>
                  <w:tcW w:w="660" w:type="dxa"/>
                  <w:tcBorders>
                    <w:tl2br w:val="nil"/>
                    <w:tr2bl w:val="nil"/>
                  </w:tcBorders>
                  <w:vAlign w:val="center"/>
                </w:tcPr>
                <w:p w14:paraId="0F2D1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0.00005</w:t>
                  </w:r>
                </w:p>
              </w:tc>
              <w:tc>
                <w:tcPr>
                  <w:tcW w:w="660" w:type="dxa"/>
                  <w:tcBorders>
                    <w:tl2br w:val="nil"/>
                    <w:tr2bl w:val="nil"/>
                  </w:tcBorders>
                  <w:vAlign w:val="center"/>
                </w:tcPr>
                <w:p w14:paraId="15162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0.00002</w:t>
                  </w:r>
                </w:p>
              </w:tc>
              <w:tc>
                <w:tcPr>
                  <w:tcW w:w="660" w:type="dxa"/>
                  <w:tcBorders>
                    <w:tl2br w:val="nil"/>
                    <w:tr2bl w:val="nil"/>
                  </w:tcBorders>
                  <w:vAlign w:val="center"/>
                </w:tcPr>
                <w:p w14:paraId="662CEF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0.005</w:t>
                  </w:r>
                </w:p>
              </w:tc>
              <w:tc>
                <w:tcPr>
                  <w:tcW w:w="574" w:type="dxa"/>
                  <w:tcBorders>
                    <w:tl2br w:val="nil"/>
                    <w:tr2bl w:val="nil"/>
                  </w:tcBorders>
                  <w:vAlign w:val="center"/>
                </w:tcPr>
                <w:p w14:paraId="2C555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15"/>
                      <w:szCs w:val="15"/>
                      <w:vertAlign w:val="baseline"/>
                      <w:lang w:val="en-US" w:eastAsia="zh-CN"/>
                    </w:rPr>
                  </w:pPr>
                  <w:r>
                    <w:rPr>
                      <w:rFonts w:hint="eastAsia"/>
                      <w:sz w:val="15"/>
                      <w:szCs w:val="15"/>
                      <w:vertAlign w:val="baseline"/>
                      <w:lang w:val="en-US" w:eastAsia="zh-CN"/>
                    </w:rPr>
                    <w:t>2000</w:t>
                  </w:r>
                </w:p>
              </w:tc>
              <w:tc>
                <w:tcPr>
                  <w:tcW w:w="404" w:type="dxa"/>
                  <w:tcBorders>
                    <w:tl2br w:val="nil"/>
                    <w:tr2bl w:val="nil"/>
                  </w:tcBorders>
                  <w:vAlign w:val="center"/>
                </w:tcPr>
                <w:p w14:paraId="12CACC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15"/>
                      <w:szCs w:val="15"/>
                      <w:vertAlign w:val="baseline"/>
                      <w:lang w:val="en-US" w:eastAsia="zh-CN"/>
                    </w:rPr>
                  </w:pPr>
                  <w:r>
                    <w:rPr>
                      <w:rFonts w:hint="eastAsia"/>
                      <w:sz w:val="15"/>
                      <w:szCs w:val="15"/>
                      <w:vertAlign w:val="baseline"/>
                      <w:lang w:val="en-US" w:eastAsia="zh-CN"/>
                    </w:rPr>
                    <w:t>50</w:t>
                  </w:r>
                </w:p>
              </w:tc>
            </w:tr>
          </w:tbl>
          <w:p w14:paraId="1EB12E61">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）环保治理设施可行性分析</w:t>
            </w:r>
          </w:p>
          <w:p w14:paraId="28A2246A">
            <w:pPr>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实验室</w:t>
            </w:r>
            <w:r>
              <w:rPr>
                <w:rFonts w:hint="eastAsia" w:cs="Times New Roman"/>
                <w:color w:val="000000" w:themeColor="text1"/>
                <w14:textFill>
                  <w14:solidFill>
                    <w14:schemeClr w14:val="tx1"/>
                  </w14:solidFill>
                </w14:textFill>
              </w:rPr>
              <w:t>挥发性有机物污染防治技术规范》（DB11/T1736-2020）（2020年10月01日实施）中“7.1.2 吸附法可采用活性炭、活性炭纤维、分子筛等作为吸附介质”</w:t>
            </w:r>
            <w:r>
              <w:rPr>
                <w:rFonts w:hint="eastAsia" w:cs="Times New Roman"/>
                <w:color w:val="000000" w:themeColor="text1"/>
                <w:lang w:eastAsia="zh-CN"/>
                <w14:textFill>
                  <w14:solidFill>
                    <w14:schemeClr w14:val="tx1"/>
                  </w14:solidFill>
                </w14:textFill>
              </w:rPr>
              <w:t>。</w:t>
            </w:r>
          </w:p>
          <w:p w14:paraId="6FA8A946">
            <w:pPr>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袋式除尘器通过滤袋对含尘气体进行过滤，利用筛滤、惯性碰撞、扩散等作用截留粉尘，净化效率可达</w:t>
            </w:r>
            <w:r>
              <w:rPr>
                <w:rFonts w:hint="default" w:cs="Times New Roman"/>
                <w:color w:val="000000" w:themeColor="text1"/>
                <w:lang w:val="en-US" w:eastAsia="zh-CN"/>
                <w14:textFill>
                  <w14:solidFill>
                    <w14:schemeClr w14:val="tx1"/>
                  </w14:solidFill>
                </w14:textFill>
              </w:rPr>
              <w:t>99%以上，尤其对细颗粒物（PM2.5）和高浓度粉尘的捕捉效果</w:t>
            </w:r>
            <w:r>
              <w:rPr>
                <w:rFonts w:hint="eastAsia" w:cs="Times New Roman"/>
                <w:color w:val="000000" w:themeColor="text1"/>
                <w:lang w:val="en-US" w:eastAsia="zh-CN"/>
                <w14:textFill>
                  <w14:solidFill>
                    <w14:schemeClr w14:val="tx1"/>
                  </w14:solidFill>
                </w14:textFill>
              </w:rPr>
              <w:t>更为</w:t>
            </w:r>
            <w:r>
              <w:rPr>
                <w:rFonts w:hint="default" w:cs="Times New Roman"/>
                <w:color w:val="000000" w:themeColor="text1"/>
                <w:lang w:val="en-US" w:eastAsia="zh-CN"/>
                <w14:textFill>
                  <w14:solidFill>
                    <w14:schemeClr w14:val="tx1"/>
                  </w14:solidFill>
                </w14:textFill>
              </w:rPr>
              <w:t>显著</w:t>
            </w:r>
            <w:r>
              <w:rPr>
                <w:rFonts w:hint="eastAsia" w:cs="Times New Roman"/>
                <w:color w:val="000000" w:themeColor="text1"/>
                <w:lang w:val="en-US" w:eastAsia="zh-CN"/>
                <w14:textFill>
                  <w14:solidFill>
                    <w14:schemeClr w14:val="tx1"/>
                  </w14:solidFill>
                </w14:textFill>
              </w:rPr>
              <w:t>。2025年《国家污染防治技术指导目录》把“烟气袋式除尘技术”列为鼓励类技术。</w:t>
            </w:r>
          </w:p>
          <w:p w14:paraId="77E176D0">
            <w:pPr>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活性炭对氯化氢和一氧化碳基本没有吸附作用，经计算氯化氢和一氧化碳净化效率为零的情况下，本项目氯化氢和一氧化碳可以达标排放，</w:t>
            </w:r>
            <w:r>
              <w:rPr>
                <w:rFonts w:hint="eastAsia" w:cs="Times New Roman"/>
                <w:color w:val="000000" w:themeColor="text1"/>
                <w14:textFill>
                  <w14:solidFill>
                    <w14:schemeClr w14:val="tx1"/>
                  </w14:solidFill>
                </w14:textFill>
              </w:rPr>
              <w:t>本项目废气治理设施为可行性技术。</w:t>
            </w:r>
          </w:p>
          <w:p w14:paraId="6D70D42C">
            <w:pPr>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lang w:eastAsia="zh-CN"/>
                <w14:textFill>
                  <w14:solidFill>
                    <w14:schemeClr w14:val="tx1"/>
                  </w14:solidFill>
                </w14:textFill>
              </w:rPr>
              <w:t>）废气排放信息</w:t>
            </w:r>
          </w:p>
          <w:p w14:paraId="5CAFA819">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eastAsia="宋体" w:cs="Times New Roman"/>
                <w:color w:val="000000" w:themeColor="text1"/>
                <w:kern w:val="0"/>
                <w:lang w:bidi="ar"/>
                <w14:textFill>
                  <w14:solidFill>
                    <w14:schemeClr w14:val="tx1"/>
                  </w14:solidFill>
                </w14:textFill>
              </w:rPr>
            </w:pPr>
            <w:r>
              <w:rPr>
                <w:rFonts w:hint="eastAsia" w:cs="Times New Roman"/>
                <w:color w:val="000000" w:themeColor="text1"/>
                <w:lang w:eastAsia="zh-CN"/>
                <w14:textFill>
                  <w14:solidFill>
                    <w14:schemeClr w14:val="tx1"/>
                  </w14:solidFill>
                </w14:textFill>
              </w:rPr>
              <w:t>本项目废气排放口基本情况见下表。</w:t>
            </w:r>
          </w:p>
          <w:p w14:paraId="73D7B780">
            <w:pPr>
              <w:pStyle w:val="2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表4-7 废气排放口基本情况表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993"/>
              <w:gridCol w:w="919"/>
              <w:gridCol w:w="1470"/>
              <w:gridCol w:w="990"/>
              <w:gridCol w:w="1314"/>
            </w:tblGrid>
            <w:tr w14:paraId="62274C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tcBorders>
                    <w:tl2br w:val="nil"/>
                    <w:tr2bl w:val="nil"/>
                  </w:tcBorders>
                  <w:vAlign w:val="center"/>
                </w:tcPr>
                <w:p w14:paraId="23A03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排放口编号</w:t>
                  </w:r>
                </w:p>
              </w:tc>
              <w:tc>
                <w:tcPr>
                  <w:tcW w:w="2115" w:type="dxa"/>
                  <w:tcBorders>
                    <w:tl2br w:val="nil"/>
                    <w:tr2bl w:val="nil"/>
                  </w:tcBorders>
                  <w:vAlign w:val="center"/>
                </w:tcPr>
                <w:p w14:paraId="06DDB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地理坐标</w:t>
                  </w:r>
                </w:p>
              </w:tc>
              <w:tc>
                <w:tcPr>
                  <w:tcW w:w="975" w:type="dxa"/>
                  <w:tcBorders>
                    <w:tl2br w:val="nil"/>
                    <w:tr2bl w:val="nil"/>
                  </w:tcBorders>
                  <w:vAlign w:val="center"/>
                </w:tcPr>
                <w:p w14:paraId="28A950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高度m</w:t>
                  </w:r>
                </w:p>
              </w:tc>
              <w:tc>
                <w:tcPr>
                  <w:tcW w:w="1560" w:type="dxa"/>
                  <w:tcBorders>
                    <w:tl2br w:val="nil"/>
                    <w:tr2bl w:val="nil"/>
                  </w:tcBorders>
                  <w:vAlign w:val="center"/>
                </w:tcPr>
                <w:p w14:paraId="052C15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排气筒内径m</w:t>
                  </w:r>
                </w:p>
              </w:tc>
              <w:tc>
                <w:tcPr>
                  <w:tcW w:w="1050" w:type="dxa"/>
                  <w:tcBorders>
                    <w:tl2br w:val="nil"/>
                    <w:tr2bl w:val="nil"/>
                  </w:tcBorders>
                  <w:vAlign w:val="center"/>
                </w:tcPr>
                <w:p w14:paraId="7100F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温度℃</w:t>
                  </w:r>
                </w:p>
              </w:tc>
              <w:tc>
                <w:tcPr>
                  <w:tcW w:w="1394" w:type="dxa"/>
                  <w:tcBorders>
                    <w:tl2br w:val="nil"/>
                    <w:tr2bl w:val="nil"/>
                  </w:tcBorders>
                  <w:vAlign w:val="center"/>
                </w:tcPr>
                <w:p w14:paraId="171C4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vertAlign w:val="baseline"/>
                      <w:lang w:val="en-US" w:eastAsia="zh-CN"/>
                      <w14:textFill>
                        <w14:solidFill>
                          <w14:schemeClr w14:val="tx1"/>
                        </w14:solidFill>
                      </w14:textFill>
                    </w:rPr>
                    <w:t>排放口类型</w:t>
                  </w:r>
                </w:p>
              </w:tc>
            </w:tr>
            <w:tr w14:paraId="5B1AEF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9" w:type="dxa"/>
                  <w:tcBorders>
                    <w:tl2br w:val="nil"/>
                    <w:tr2bl w:val="nil"/>
                  </w:tcBorders>
                  <w:vAlign w:val="center"/>
                </w:tcPr>
                <w:p w14:paraId="6E34D5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DA001</w:t>
                  </w:r>
                </w:p>
              </w:tc>
              <w:tc>
                <w:tcPr>
                  <w:tcW w:w="2115" w:type="dxa"/>
                  <w:tcBorders>
                    <w:tl2br w:val="nil"/>
                    <w:tr2bl w:val="nil"/>
                  </w:tcBorders>
                  <w:vAlign w:val="center"/>
                </w:tcPr>
                <w:p w14:paraId="1A4B8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东经116°</w:t>
                  </w: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25</w:t>
                  </w: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w:t>
                  </w: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27.105</w:t>
                  </w: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w:t>
                  </w:r>
                </w:p>
                <w:p w14:paraId="48E986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北纬39°</w:t>
                  </w: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44</w:t>
                  </w: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w:t>
                  </w: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10.942</w:t>
                  </w: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w:t>
                  </w:r>
                </w:p>
              </w:tc>
              <w:tc>
                <w:tcPr>
                  <w:tcW w:w="975" w:type="dxa"/>
                  <w:tcBorders>
                    <w:tl2br w:val="nil"/>
                    <w:tr2bl w:val="nil"/>
                  </w:tcBorders>
                  <w:vAlign w:val="center"/>
                </w:tcPr>
                <w:p w14:paraId="3E526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20</w:t>
                  </w:r>
                </w:p>
              </w:tc>
              <w:tc>
                <w:tcPr>
                  <w:tcW w:w="1560" w:type="dxa"/>
                  <w:tcBorders>
                    <w:tl2br w:val="nil"/>
                    <w:tr2bl w:val="nil"/>
                  </w:tcBorders>
                  <w:vAlign w:val="center"/>
                </w:tcPr>
                <w:p w14:paraId="2398DE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0.5</w:t>
                  </w:r>
                </w:p>
              </w:tc>
              <w:tc>
                <w:tcPr>
                  <w:tcW w:w="1050" w:type="dxa"/>
                  <w:tcBorders>
                    <w:tl2br w:val="nil"/>
                    <w:tr2bl w:val="nil"/>
                  </w:tcBorders>
                  <w:vAlign w:val="center"/>
                </w:tcPr>
                <w:p w14:paraId="76CC8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10"/>
                      <w:sz w:val="21"/>
                      <w:szCs w:val="21"/>
                      <w:highlight w:val="none"/>
                      <w:vertAlign w:val="baseline"/>
                      <w:lang w:val="en-US" w:eastAsia="zh-CN"/>
                      <w14:textFill>
                        <w14:solidFill>
                          <w14:schemeClr w14:val="tx1"/>
                        </w14:solidFill>
                      </w14:textFill>
                    </w:rPr>
                    <w:t>与外环境相同</w:t>
                  </w:r>
                </w:p>
              </w:tc>
              <w:tc>
                <w:tcPr>
                  <w:tcW w:w="1394" w:type="dxa"/>
                  <w:tcBorders>
                    <w:tl2br w:val="nil"/>
                    <w:tr2bl w:val="nil"/>
                  </w:tcBorders>
                  <w:vAlign w:val="center"/>
                </w:tcPr>
                <w:p w14:paraId="2E296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10"/>
                      <w:sz w:val="21"/>
                      <w:szCs w:val="21"/>
                      <w:highlight w:val="none"/>
                      <w:vertAlign w:val="baseline"/>
                      <w:lang w:val="en-US" w:eastAsia="zh-CN"/>
                      <w14:textFill>
                        <w14:solidFill>
                          <w14:schemeClr w14:val="tx1"/>
                        </w14:solidFill>
                      </w14:textFill>
                    </w:rPr>
                    <w:t>一般排放口</w:t>
                  </w:r>
                </w:p>
              </w:tc>
            </w:tr>
          </w:tbl>
          <w:p w14:paraId="593C7CD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非正常工况</w:t>
            </w:r>
          </w:p>
          <w:p w14:paraId="0567FE2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本项目的非正常排放情况主要考虑废气处理装置运转不正常造成的非正常排放，本次评价以对环境最不利影响为原则，非正常工况时废气以100%排放计，排放时间为1h，年发生频次为1次/年。具体排放情况见</w:t>
            </w:r>
            <w:r>
              <w:rPr>
                <w:rFonts w:hint="eastAsia" w:cs="Times New Roman"/>
                <w:color w:val="000000" w:themeColor="text1"/>
                <w14:textFill>
                  <w14:solidFill>
                    <w14:schemeClr w14:val="tx1"/>
                  </w14:solidFill>
                </w14:textFill>
              </w:rPr>
              <w:t>下</w:t>
            </w:r>
            <w:r>
              <w:rPr>
                <w:rFonts w:cs="Times New Roman"/>
                <w:color w:val="000000" w:themeColor="text1"/>
                <w14:textFill>
                  <w14:solidFill>
                    <w14:schemeClr w14:val="tx1"/>
                  </w14:solidFill>
                </w14:textFill>
              </w:rPr>
              <w:t>表。</w:t>
            </w:r>
          </w:p>
          <w:p w14:paraId="0F8C2AEA">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非正常工况下废气排放情况一览表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93"/>
              <w:gridCol w:w="915"/>
              <w:gridCol w:w="1275"/>
              <w:gridCol w:w="1275"/>
              <w:gridCol w:w="1035"/>
              <w:gridCol w:w="825"/>
              <w:gridCol w:w="690"/>
              <w:gridCol w:w="667"/>
            </w:tblGrid>
            <w:tr w14:paraId="4812F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tcBorders>
                    <w:tl2br w:val="nil"/>
                    <w:tr2bl w:val="nil"/>
                  </w:tcBorders>
                  <w:vAlign w:val="center"/>
                </w:tcPr>
                <w:p w14:paraId="2052AA45">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893" w:type="dxa"/>
                  <w:tcBorders>
                    <w:tl2br w:val="nil"/>
                    <w:tr2bl w:val="nil"/>
                  </w:tcBorders>
                  <w:vAlign w:val="center"/>
                </w:tcPr>
                <w:p w14:paraId="1CE1AC64">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污染源</w:t>
                  </w:r>
                </w:p>
              </w:tc>
              <w:tc>
                <w:tcPr>
                  <w:tcW w:w="915" w:type="dxa"/>
                  <w:tcBorders>
                    <w:tl2br w:val="nil"/>
                    <w:tr2bl w:val="nil"/>
                  </w:tcBorders>
                  <w:vAlign w:val="center"/>
                </w:tcPr>
                <w:p w14:paraId="16E9DF0B">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非正常排放原因</w:t>
                  </w:r>
                </w:p>
              </w:tc>
              <w:tc>
                <w:tcPr>
                  <w:tcW w:w="1275" w:type="dxa"/>
                  <w:tcBorders>
                    <w:tl2br w:val="nil"/>
                    <w:tr2bl w:val="nil"/>
                  </w:tcBorders>
                  <w:vAlign w:val="center"/>
                </w:tcPr>
                <w:p w14:paraId="064288A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1275" w:type="dxa"/>
                  <w:tcBorders>
                    <w:tl2br w:val="nil"/>
                    <w:tr2bl w:val="nil"/>
                  </w:tcBorders>
                  <w:vAlign w:val="center"/>
                </w:tcPr>
                <w:p w14:paraId="1ECCD2F3">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非正常排放速率kg/h</w:t>
                  </w:r>
                </w:p>
              </w:tc>
              <w:tc>
                <w:tcPr>
                  <w:tcW w:w="1035" w:type="dxa"/>
                  <w:tcBorders>
                    <w:tl2br w:val="nil"/>
                    <w:tr2bl w:val="nil"/>
                  </w:tcBorders>
                  <w:vAlign w:val="center"/>
                </w:tcPr>
                <w:p w14:paraId="0898165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非正常排放浓度mg/m</w:t>
                  </w:r>
                  <w:r>
                    <w:rPr>
                      <w:rFonts w:hint="eastAsia"/>
                      <w:b/>
                      <w:bCs/>
                      <w:color w:val="000000" w:themeColor="text1"/>
                      <w:sz w:val="21"/>
                      <w:szCs w:val="21"/>
                      <w:vertAlign w:val="superscript"/>
                      <w14:textFill>
                        <w14:solidFill>
                          <w14:schemeClr w14:val="tx1"/>
                        </w14:solidFill>
                      </w14:textFill>
                    </w:rPr>
                    <w:t>3</w:t>
                  </w:r>
                </w:p>
              </w:tc>
              <w:tc>
                <w:tcPr>
                  <w:tcW w:w="825" w:type="dxa"/>
                  <w:tcBorders>
                    <w:tl2br w:val="nil"/>
                    <w:tr2bl w:val="nil"/>
                  </w:tcBorders>
                  <w:vAlign w:val="center"/>
                </w:tcPr>
                <w:p w14:paraId="776B2FA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单次持续时间h</w:t>
                  </w:r>
                </w:p>
              </w:tc>
              <w:tc>
                <w:tcPr>
                  <w:tcW w:w="690" w:type="dxa"/>
                  <w:tcBorders>
                    <w:tl2br w:val="nil"/>
                    <w:tr2bl w:val="nil"/>
                  </w:tcBorders>
                  <w:vAlign w:val="center"/>
                </w:tcPr>
                <w:p w14:paraId="3DA432F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年发生频次</w:t>
                  </w:r>
                </w:p>
              </w:tc>
              <w:tc>
                <w:tcPr>
                  <w:tcW w:w="667" w:type="dxa"/>
                  <w:tcBorders>
                    <w:tl2br w:val="nil"/>
                    <w:tr2bl w:val="nil"/>
                  </w:tcBorders>
                  <w:vAlign w:val="center"/>
                </w:tcPr>
                <w:p w14:paraId="7EA108B0">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应对措施</w:t>
                  </w:r>
                </w:p>
              </w:tc>
            </w:tr>
            <w:tr w14:paraId="357498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restart"/>
                  <w:tcBorders>
                    <w:tl2br w:val="nil"/>
                    <w:tr2bl w:val="nil"/>
                  </w:tcBorders>
                  <w:vAlign w:val="center"/>
                </w:tcPr>
                <w:p w14:paraId="165CD90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3" w:type="dxa"/>
                  <w:vMerge w:val="restart"/>
                  <w:tcBorders>
                    <w:tl2br w:val="nil"/>
                    <w:tr2bl w:val="nil"/>
                  </w:tcBorders>
                  <w:vAlign w:val="center"/>
                </w:tcPr>
                <w:p w14:paraId="0AE94CC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915" w:type="dxa"/>
                  <w:vMerge w:val="restart"/>
                  <w:tcBorders>
                    <w:tl2br w:val="nil"/>
                    <w:tr2bl w:val="nil"/>
                  </w:tcBorders>
                  <w:vAlign w:val="center"/>
                </w:tcPr>
                <w:p w14:paraId="4699E4C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设备故障</w:t>
                  </w:r>
                </w:p>
              </w:tc>
              <w:tc>
                <w:tcPr>
                  <w:tcW w:w="1275" w:type="dxa"/>
                  <w:tcBorders>
                    <w:tl2br w:val="nil"/>
                    <w:tr2bl w:val="nil"/>
                  </w:tcBorders>
                  <w:shd w:val="clear" w:color="auto" w:fill="auto"/>
                  <w:vAlign w:val="center"/>
                </w:tcPr>
                <w:p w14:paraId="729E16BB">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颗粒物</w:t>
                  </w:r>
                </w:p>
              </w:tc>
              <w:tc>
                <w:tcPr>
                  <w:tcW w:w="1275" w:type="dxa"/>
                  <w:tcBorders>
                    <w:tl2br w:val="nil"/>
                    <w:tr2bl w:val="nil"/>
                  </w:tcBorders>
                  <w:shd w:val="clear"/>
                  <w:vAlign w:val="center"/>
                </w:tcPr>
                <w:p w14:paraId="16EEA2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0.023</w:t>
                  </w:r>
                </w:p>
              </w:tc>
              <w:tc>
                <w:tcPr>
                  <w:tcW w:w="1035" w:type="dxa"/>
                  <w:tcBorders>
                    <w:tl2br w:val="nil"/>
                    <w:tr2bl w:val="nil"/>
                  </w:tcBorders>
                  <w:shd w:val="clear"/>
                  <w:vAlign w:val="center"/>
                </w:tcPr>
                <w:p w14:paraId="6C234D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4.6</w:t>
                  </w:r>
                </w:p>
              </w:tc>
              <w:tc>
                <w:tcPr>
                  <w:tcW w:w="825" w:type="dxa"/>
                  <w:vMerge w:val="restart"/>
                  <w:tcBorders>
                    <w:tl2br w:val="nil"/>
                    <w:tr2bl w:val="nil"/>
                  </w:tcBorders>
                  <w:vAlign w:val="center"/>
                </w:tcPr>
                <w:p w14:paraId="08088DF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≤1h</w:t>
                  </w:r>
                </w:p>
              </w:tc>
              <w:tc>
                <w:tcPr>
                  <w:tcW w:w="690" w:type="dxa"/>
                  <w:vMerge w:val="restart"/>
                  <w:tcBorders>
                    <w:tl2br w:val="nil"/>
                    <w:tr2bl w:val="nil"/>
                  </w:tcBorders>
                  <w:vAlign w:val="center"/>
                </w:tcPr>
                <w:p w14:paraId="00007FB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w:t>
                  </w:r>
                </w:p>
              </w:tc>
              <w:tc>
                <w:tcPr>
                  <w:tcW w:w="667" w:type="dxa"/>
                  <w:vMerge w:val="restart"/>
                  <w:tcBorders>
                    <w:tl2br w:val="nil"/>
                    <w:tr2bl w:val="nil"/>
                  </w:tcBorders>
                  <w:vAlign w:val="center"/>
                </w:tcPr>
                <w:p w14:paraId="7E3D391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立即停工检修</w:t>
                  </w:r>
                </w:p>
              </w:tc>
            </w:tr>
            <w:tr w14:paraId="30B5E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l2br w:val="nil"/>
                    <w:tr2bl w:val="nil"/>
                  </w:tcBorders>
                  <w:vAlign w:val="center"/>
                </w:tcPr>
                <w:p w14:paraId="7B4AF00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l2br w:val="nil"/>
                    <w:tr2bl w:val="nil"/>
                  </w:tcBorders>
                  <w:vAlign w:val="center"/>
                </w:tcPr>
                <w:p w14:paraId="2E863A8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l2br w:val="nil"/>
                    <w:tr2bl w:val="nil"/>
                  </w:tcBorders>
                  <w:vAlign w:val="center"/>
                </w:tcPr>
                <w:p w14:paraId="71E6C3AC">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275" w:type="dxa"/>
                  <w:tcBorders>
                    <w:tl2br w:val="nil"/>
                    <w:tr2bl w:val="nil"/>
                  </w:tcBorders>
                  <w:shd w:val="clear" w:color="auto" w:fill="auto"/>
                  <w:vAlign w:val="center"/>
                </w:tcPr>
                <w:p w14:paraId="5519934B">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非甲烷总烃</w:t>
                  </w:r>
                </w:p>
              </w:tc>
              <w:tc>
                <w:tcPr>
                  <w:tcW w:w="1275" w:type="dxa"/>
                  <w:tcBorders>
                    <w:tl2br w:val="nil"/>
                    <w:tr2bl w:val="nil"/>
                  </w:tcBorders>
                  <w:shd w:val="clear"/>
                  <w:vAlign w:val="center"/>
                </w:tcPr>
                <w:p w14:paraId="4761D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0.116</w:t>
                  </w:r>
                </w:p>
              </w:tc>
              <w:tc>
                <w:tcPr>
                  <w:tcW w:w="1035" w:type="dxa"/>
                  <w:tcBorders>
                    <w:tl2br w:val="nil"/>
                    <w:tr2bl w:val="nil"/>
                  </w:tcBorders>
                  <w:shd w:val="clear"/>
                  <w:vAlign w:val="center"/>
                </w:tcPr>
                <w:p w14:paraId="25304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23.28</w:t>
                  </w:r>
                </w:p>
              </w:tc>
              <w:tc>
                <w:tcPr>
                  <w:tcW w:w="825" w:type="dxa"/>
                  <w:vMerge w:val="continue"/>
                  <w:tcBorders>
                    <w:tl2br w:val="nil"/>
                    <w:tr2bl w:val="nil"/>
                  </w:tcBorders>
                  <w:vAlign w:val="center"/>
                </w:tcPr>
                <w:p w14:paraId="765C405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l2br w:val="nil"/>
                    <w:tr2bl w:val="nil"/>
                  </w:tcBorders>
                  <w:vAlign w:val="center"/>
                </w:tcPr>
                <w:p w14:paraId="63BC488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l2br w:val="nil"/>
                    <w:tr2bl w:val="nil"/>
                  </w:tcBorders>
                  <w:vAlign w:val="center"/>
                </w:tcPr>
                <w:p w14:paraId="3DDFFE2B">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r w14:paraId="11250B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l2br w:val="nil"/>
                    <w:tr2bl w:val="nil"/>
                  </w:tcBorders>
                  <w:vAlign w:val="center"/>
                </w:tcPr>
                <w:p w14:paraId="78521BBE">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l2br w:val="nil"/>
                    <w:tr2bl w:val="nil"/>
                  </w:tcBorders>
                  <w:vAlign w:val="center"/>
                </w:tcPr>
                <w:p w14:paraId="2BE45BE4">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l2br w:val="nil"/>
                    <w:tr2bl w:val="nil"/>
                  </w:tcBorders>
                  <w:vAlign w:val="center"/>
                </w:tcPr>
                <w:p w14:paraId="1A61859C">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275" w:type="dxa"/>
                  <w:tcBorders>
                    <w:tl2br w:val="nil"/>
                    <w:tr2bl w:val="nil"/>
                  </w:tcBorders>
                  <w:shd w:val="clear" w:color="auto" w:fill="auto"/>
                  <w:vAlign w:val="center"/>
                </w:tcPr>
                <w:p w14:paraId="7C31CA93">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一氧化碳</w:t>
                  </w:r>
                </w:p>
              </w:tc>
              <w:tc>
                <w:tcPr>
                  <w:tcW w:w="1275" w:type="dxa"/>
                  <w:tcBorders>
                    <w:tl2br w:val="nil"/>
                    <w:tr2bl w:val="nil"/>
                  </w:tcBorders>
                  <w:shd w:val="clear"/>
                  <w:vAlign w:val="center"/>
                </w:tcPr>
                <w:p w14:paraId="7153A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0.007</w:t>
                  </w:r>
                </w:p>
              </w:tc>
              <w:tc>
                <w:tcPr>
                  <w:tcW w:w="1035" w:type="dxa"/>
                  <w:tcBorders>
                    <w:tl2br w:val="nil"/>
                    <w:tr2bl w:val="nil"/>
                  </w:tcBorders>
                  <w:shd w:val="clear"/>
                  <w:vAlign w:val="center"/>
                </w:tcPr>
                <w:p w14:paraId="5D6D8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1.43</w:t>
                  </w:r>
                </w:p>
              </w:tc>
              <w:tc>
                <w:tcPr>
                  <w:tcW w:w="825" w:type="dxa"/>
                  <w:vMerge w:val="continue"/>
                  <w:tcBorders>
                    <w:tl2br w:val="nil"/>
                    <w:tr2bl w:val="nil"/>
                  </w:tcBorders>
                  <w:vAlign w:val="center"/>
                </w:tcPr>
                <w:p w14:paraId="64E81992">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l2br w:val="nil"/>
                    <w:tr2bl w:val="nil"/>
                  </w:tcBorders>
                  <w:vAlign w:val="center"/>
                </w:tcPr>
                <w:p w14:paraId="75459B08">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l2br w:val="nil"/>
                    <w:tr2bl w:val="nil"/>
                  </w:tcBorders>
                  <w:vAlign w:val="center"/>
                </w:tcPr>
                <w:p w14:paraId="240ED772">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r w14:paraId="609589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l2br w:val="nil"/>
                    <w:tr2bl w:val="nil"/>
                  </w:tcBorders>
                  <w:vAlign w:val="center"/>
                </w:tcPr>
                <w:p w14:paraId="4D26A228">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l2br w:val="nil"/>
                    <w:tr2bl w:val="nil"/>
                  </w:tcBorders>
                  <w:vAlign w:val="center"/>
                </w:tcPr>
                <w:p w14:paraId="22601AC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l2br w:val="nil"/>
                    <w:tr2bl w:val="nil"/>
                  </w:tcBorders>
                  <w:vAlign w:val="center"/>
                </w:tcPr>
                <w:p w14:paraId="113E861B">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275" w:type="dxa"/>
                  <w:tcBorders>
                    <w:bottom w:val="single" w:color="000000" w:sz="4" w:space="0"/>
                    <w:tl2br w:val="nil"/>
                    <w:tr2bl w:val="nil"/>
                  </w:tcBorders>
                  <w:shd w:val="clear" w:color="auto" w:fill="auto"/>
                  <w:vAlign w:val="center"/>
                </w:tcPr>
                <w:p w14:paraId="28BDF3DF">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氯化氢</w:t>
                  </w:r>
                </w:p>
              </w:tc>
              <w:tc>
                <w:tcPr>
                  <w:tcW w:w="1275" w:type="dxa"/>
                  <w:tcBorders>
                    <w:tl2br w:val="nil"/>
                    <w:tr2bl w:val="nil"/>
                  </w:tcBorders>
                  <w:shd w:val="clear"/>
                  <w:vAlign w:val="center"/>
                </w:tcPr>
                <w:p w14:paraId="5A02F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0.0005</w:t>
                  </w:r>
                </w:p>
              </w:tc>
              <w:tc>
                <w:tcPr>
                  <w:tcW w:w="1035" w:type="dxa"/>
                  <w:tcBorders>
                    <w:tl2br w:val="nil"/>
                    <w:tr2bl w:val="nil"/>
                  </w:tcBorders>
                  <w:shd w:val="clear"/>
                  <w:vAlign w:val="center"/>
                </w:tcPr>
                <w:p w14:paraId="4D57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0.09</w:t>
                  </w:r>
                </w:p>
              </w:tc>
              <w:tc>
                <w:tcPr>
                  <w:tcW w:w="825" w:type="dxa"/>
                  <w:vMerge w:val="continue"/>
                  <w:tcBorders>
                    <w:tl2br w:val="nil"/>
                    <w:tr2bl w:val="nil"/>
                  </w:tcBorders>
                  <w:vAlign w:val="center"/>
                </w:tcPr>
                <w:p w14:paraId="30FA43F8">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l2br w:val="nil"/>
                    <w:tr2bl w:val="nil"/>
                  </w:tcBorders>
                  <w:vAlign w:val="center"/>
                </w:tcPr>
                <w:p w14:paraId="1244004B">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l2br w:val="nil"/>
                    <w:tr2bl w:val="nil"/>
                  </w:tcBorders>
                  <w:vAlign w:val="center"/>
                </w:tcPr>
                <w:p w14:paraId="2708DD77">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r w14:paraId="637D3B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cPr>
                <w:p w14:paraId="1C14AC9D">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cPr>
                <w:p w14:paraId="70B6CD3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cPr>
                <w:p w14:paraId="1A1EC1DD">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0" w:type="auto"/>
                  <w:shd w:val="clear"/>
                  <w:vAlign w:val="center"/>
                </w:tcPr>
                <w:p w14:paraId="198CDE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其他C类物质</w:t>
                  </w:r>
                </w:p>
              </w:tc>
              <w:tc>
                <w:tcPr>
                  <w:tcW w:w="0" w:type="auto"/>
                  <w:shd w:val="clear"/>
                  <w:vAlign w:val="center"/>
                </w:tcPr>
                <w:p w14:paraId="15BC1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0.00003</w:t>
                  </w:r>
                </w:p>
              </w:tc>
              <w:tc>
                <w:tcPr>
                  <w:tcW w:w="0" w:type="auto"/>
                  <w:shd w:val="clear"/>
                  <w:vAlign w:val="center"/>
                </w:tcPr>
                <w:p w14:paraId="6FB8C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0.005</w:t>
                  </w:r>
                </w:p>
              </w:tc>
              <w:tc>
                <w:tcPr>
                  <w:tcW w:w="825" w:type="dxa"/>
                  <w:vMerge w:val="continue"/>
                  <w:tcBorders/>
                </w:tcPr>
                <w:p w14:paraId="3C74455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cPr>
                <w:p w14:paraId="2D1504F5">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cPr>
                <w:p w14:paraId="3BC91F9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r w14:paraId="4C96A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cPr>
                <w:p w14:paraId="59921A61">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cPr>
                <w:p w14:paraId="3B72AB7E">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cPr>
                <w:p w14:paraId="3073D099">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0" w:type="auto"/>
                  <w:shd w:val="clear"/>
                  <w:vAlign w:val="center"/>
                </w:tcPr>
                <w:p w14:paraId="7C708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其他A类物质</w:t>
                  </w:r>
                </w:p>
              </w:tc>
              <w:tc>
                <w:tcPr>
                  <w:tcW w:w="0" w:type="auto"/>
                  <w:shd w:val="clear"/>
                  <w:vAlign w:val="center"/>
                </w:tcPr>
                <w:p w14:paraId="5DF8F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0.00001</w:t>
                  </w:r>
                </w:p>
              </w:tc>
              <w:tc>
                <w:tcPr>
                  <w:tcW w:w="0" w:type="auto"/>
                  <w:shd w:val="clear"/>
                  <w:vAlign w:val="center"/>
                </w:tcPr>
                <w:p w14:paraId="4E32D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0.002</w:t>
                  </w:r>
                </w:p>
              </w:tc>
              <w:tc>
                <w:tcPr>
                  <w:tcW w:w="825" w:type="dxa"/>
                  <w:vMerge w:val="continue"/>
                  <w:tcBorders/>
                </w:tcPr>
                <w:p w14:paraId="27F9F8AC">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cPr>
                <w:p w14:paraId="3ACD0CB9">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cPr>
                <w:p w14:paraId="4AEFF31F">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r w14:paraId="2A215C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dxa"/>
                  <w:vMerge w:val="continue"/>
                  <w:tcBorders/>
                </w:tcPr>
                <w:p w14:paraId="247CFA4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893" w:type="dxa"/>
                  <w:vMerge w:val="continue"/>
                  <w:tcBorders/>
                </w:tcPr>
                <w:p w14:paraId="00F00CB8">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15" w:type="dxa"/>
                  <w:vMerge w:val="continue"/>
                  <w:tcBorders/>
                </w:tcPr>
                <w:p w14:paraId="7BE89BC8">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0" w:type="auto"/>
                  <w:shd w:val="clear"/>
                  <w:vAlign w:val="center"/>
                </w:tcPr>
                <w:p w14:paraId="1848A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甲醇</w:t>
                  </w:r>
                </w:p>
              </w:tc>
              <w:tc>
                <w:tcPr>
                  <w:tcW w:w="0" w:type="auto"/>
                  <w:shd w:val="clear"/>
                  <w:vAlign w:val="center"/>
                </w:tcPr>
                <w:p w14:paraId="3509C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0.00003</w:t>
                  </w:r>
                </w:p>
              </w:tc>
              <w:tc>
                <w:tcPr>
                  <w:tcW w:w="0" w:type="auto"/>
                  <w:shd w:val="clear"/>
                  <w:vAlign w:val="center"/>
                </w:tcPr>
                <w:p w14:paraId="1335D0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0.006</w:t>
                  </w:r>
                </w:p>
              </w:tc>
              <w:tc>
                <w:tcPr>
                  <w:tcW w:w="825" w:type="dxa"/>
                  <w:vMerge w:val="continue"/>
                  <w:tcBorders/>
                </w:tcPr>
                <w:p w14:paraId="3EBD22B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90" w:type="dxa"/>
                  <w:vMerge w:val="continue"/>
                  <w:tcBorders/>
                </w:tcPr>
                <w:p w14:paraId="33906CBD">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667" w:type="dxa"/>
                  <w:vMerge w:val="continue"/>
                  <w:tcBorders/>
                </w:tcPr>
                <w:p w14:paraId="4F967764">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r>
          </w:tbl>
          <w:p w14:paraId="4AD271C9">
            <w:pPr>
              <w:adjustRightInd w:val="0"/>
              <w:snapToGrid w:val="0"/>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上表可知，非正常工况下，本项目所排废气各污染物排放浓度和排放速率均满足北京市《大气污染物综合排放标准》（DB11/501-2017）表3中生产工艺废气及其他废气大气污染物排放限值第Ⅱ时段排放限值要求，可达标排放。但非正常工况较正常工况排污量有所增加，为确保项目废气处理装置正常运行，建设方在日常运行过程中，拟采取如下措施：</w:t>
            </w:r>
          </w:p>
          <w:p w14:paraId="035C5845">
            <w:pPr>
              <w:adjustRightInd w:val="0"/>
              <w:snapToGrid w:val="0"/>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①由公司委派专人负责每日巡检废气处理装置，做好巡检记录；</w:t>
            </w:r>
          </w:p>
          <w:p w14:paraId="61A40688">
            <w:pPr>
              <w:adjustRightInd w:val="0"/>
              <w:snapToGrid w:val="0"/>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②当发现废气处理设施故障并导致废气非正常排放时，应立即停止实验，待废气处理装置故障排除后并可正常运行时方可恢复加工生产；</w:t>
            </w:r>
          </w:p>
          <w:p w14:paraId="53531B17">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③建立废气处理装置运行管理台账，由专人负责记录。</w:t>
            </w:r>
          </w:p>
          <w:p w14:paraId="762BE90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）废气排放口监测计划</w:t>
            </w:r>
          </w:p>
          <w:p w14:paraId="6C44CCDF">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eastAsia="宋体" w:cs="Times New Roman"/>
                <w:color w:val="000000" w:themeColor="text1"/>
                <w:kern w:val="0"/>
                <w:lang w:bidi="ar"/>
                <w14:textFill>
                  <w14:solidFill>
                    <w14:schemeClr w14:val="tx1"/>
                  </w14:solidFill>
                </w14:textFill>
              </w:rPr>
            </w:pPr>
            <w:r>
              <w:rPr>
                <w:rFonts w:cs="Times New Roman"/>
                <w:color w:val="000000" w:themeColor="text1"/>
                <w14:textFill>
                  <w14:solidFill>
                    <w14:schemeClr w14:val="tx1"/>
                  </w14:solidFill>
                </w14:textFill>
              </w:rPr>
              <w:t>环境监测是环境管理的依据和基础，为环境统计和环境定量评价提供科学依据。根据《排污单位自行监测技术指南 总则》（HJ819-2017）的相关规定以及本项目污染物排放情况，制定本项目运营期废气监测计划。结合具体情况，建设单位可委托其他监测机构代其开展自行监测，排污单位对委托监测的数据负责。具体监测计划见下表。</w:t>
            </w:r>
          </w:p>
          <w:p w14:paraId="52E4612D">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9</w:t>
            </w:r>
            <w:r>
              <w:rPr>
                <w:rFonts w:cs="Times New Roman"/>
                <w:color w:val="000000" w:themeColor="text1"/>
                <w14:textFill>
                  <w14:solidFill>
                    <w14:schemeClr w14:val="tx1"/>
                  </w14:solidFill>
                </w14:textFill>
              </w:rPr>
              <w:t xml:space="preserve"> 项目废气监测计划一览表</w:t>
            </w:r>
          </w:p>
          <w:tbl>
            <w:tblPr>
              <w:tblStyle w:val="19"/>
              <w:tblW w:w="802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0"/>
              <w:gridCol w:w="1205"/>
              <w:gridCol w:w="2328"/>
              <w:gridCol w:w="840"/>
              <w:gridCol w:w="3121"/>
            </w:tblGrid>
            <w:tr w14:paraId="3A3773B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30" w:type="dxa"/>
                  <w:tcBorders>
                    <w:tl2br w:val="nil"/>
                    <w:tr2bl w:val="nil"/>
                  </w:tcBorders>
                  <w:shd w:val="clear" w:color="auto" w:fill="FFFFFF"/>
                  <w:vAlign w:val="center"/>
                </w:tcPr>
                <w:p w14:paraId="05B84560">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类型</w:t>
                  </w:r>
                </w:p>
              </w:tc>
              <w:tc>
                <w:tcPr>
                  <w:tcW w:w="1205" w:type="dxa"/>
                  <w:tcBorders>
                    <w:tl2br w:val="nil"/>
                    <w:tr2bl w:val="nil"/>
                  </w:tcBorders>
                  <w:shd w:val="clear" w:color="auto" w:fill="FFFFFF"/>
                  <w:vAlign w:val="center"/>
                </w:tcPr>
                <w:p w14:paraId="17E67DE2">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监测点位</w:t>
                  </w:r>
                </w:p>
              </w:tc>
              <w:tc>
                <w:tcPr>
                  <w:tcW w:w="2328" w:type="dxa"/>
                  <w:tcBorders>
                    <w:tl2br w:val="nil"/>
                    <w:tr2bl w:val="nil"/>
                  </w:tcBorders>
                  <w:shd w:val="clear" w:color="auto" w:fill="FFFFFF"/>
                  <w:vAlign w:val="center"/>
                </w:tcPr>
                <w:p w14:paraId="5655E6A1">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项目监测因子</w:t>
                  </w:r>
                </w:p>
              </w:tc>
              <w:tc>
                <w:tcPr>
                  <w:tcW w:w="840" w:type="dxa"/>
                  <w:tcBorders>
                    <w:tl2br w:val="nil"/>
                    <w:tr2bl w:val="nil"/>
                  </w:tcBorders>
                  <w:shd w:val="clear" w:color="auto" w:fill="FFFFFF"/>
                  <w:vAlign w:val="center"/>
                </w:tcPr>
                <w:p w14:paraId="3196F363">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监测频率</w:t>
                  </w:r>
                </w:p>
              </w:tc>
              <w:tc>
                <w:tcPr>
                  <w:tcW w:w="3121" w:type="dxa"/>
                  <w:tcBorders>
                    <w:tl2br w:val="nil"/>
                    <w:tr2bl w:val="nil"/>
                  </w:tcBorders>
                  <w:shd w:val="clear" w:color="auto" w:fill="FFFFFF"/>
                  <w:vAlign w:val="center"/>
                </w:tcPr>
                <w:p w14:paraId="52A0880F">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执行标准</w:t>
                  </w:r>
                </w:p>
              </w:tc>
            </w:tr>
            <w:tr w14:paraId="2D9CF6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FFFFFF"/>
                  <w:vAlign w:val="center"/>
                </w:tcPr>
                <w:p w14:paraId="32741FF5">
                  <w:pPr>
                    <w:pStyle w:val="26"/>
                    <w:adjustRightInd w:val="0"/>
                    <w:snapToGrid w:val="0"/>
                    <w:spacing w:line="240" w:lineRule="auto"/>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废气</w:t>
                  </w:r>
                </w:p>
              </w:tc>
              <w:tc>
                <w:tcPr>
                  <w:tcW w:w="1205" w:type="dxa"/>
                  <w:tcBorders>
                    <w:tl2br w:val="nil"/>
                    <w:tr2bl w:val="nil"/>
                  </w:tcBorders>
                  <w:shd w:val="clear" w:color="auto" w:fill="FFFFFF"/>
                  <w:vAlign w:val="center"/>
                </w:tcPr>
                <w:p w14:paraId="59EFABB4">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排气筒DA001</w:t>
                  </w:r>
                </w:p>
              </w:tc>
              <w:tc>
                <w:tcPr>
                  <w:tcW w:w="2328" w:type="dxa"/>
                  <w:tcBorders>
                    <w:tl2br w:val="nil"/>
                    <w:tr2bl w:val="nil"/>
                  </w:tcBorders>
                  <w:shd w:val="clear" w:color="auto" w:fill="FFFFFF"/>
                  <w:vAlign w:val="center"/>
                </w:tcPr>
                <w:p w14:paraId="35471880">
                  <w:pPr>
                    <w:pStyle w:val="26"/>
                    <w:adjustRightInd w:val="0"/>
                    <w:snapToGrid w:val="0"/>
                    <w:spacing w:line="240" w:lineRule="auto"/>
                    <w:rPr>
                      <w:rFonts w:hint="eastAsia" w:cs="Times New Roman" w:eastAsiaTheme="minorEastAsia"/>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颗粒物</w:t>
                  </w:r>
                  <w:r>
                    <w:rPr>
                      <w:rFonts w:cs="Times New Roman" w:eastAsiaTheme="minor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非甲烷总烃</w:t>
                  </w:r>
                  <w:r>
                    <w:rPr>
                      <w:rFonts w:cs="Times New Roman" w:eastAsiaTheme="minorEastAsia"/>
                      <w:color w:val="000000" w:themeColor="text1"/>
                      <w14:textFill>
                        <w14:solidFill>
                          <w14:schemeClr w14:val="tx1"/>
                        </w14:solidFill>
                      </w14:textFill>
                    </w:rPr>
                    <w:t>、</w:t>
                  </w:r>
                  <w:r>
                    <w:rPr>
                      <w:rFonts w:hint="eastAsia" w:cs="Times New Roman" w:eastAsiaTheme="minorEastAsia"/>
                      <w:color w:val="000000" w:themeColor="text1"/>
                      <w14:textFill>
                        <w14:solidFill>
                          <w14:schemeClr w14:val="tx1"/>
                        </w14:solidFill>
                      </w14:textFill>
                    </w:rPr>
                    <w:t>一氧化碳、氯化氢</w:t>
                  </w:r>
                  <w:r>
                    <w:rPr>
                      <w:rFonts w:hint="eastAsia" w:cs="Times New Roman" w:eastAsiaTheme="minorEastAsia"/>
                      <w:color w:val="000000" w:themeColor="text1"/>
                      <w:lang w:eastAsia="zh-CN"/>
                      <w14:textFill>
                        <w14:solidFill>
                          <w14:schemeClr w14:val="tx1"/>
                        </w14:solidFill>
                      </w14:textFill>
                    </w:rPr>
                    <w:t>、其他A类物质（乙酸）、其他C类物质（乙酸乙酯、异丙醇、异丁醇）、甲醇</w:t>
                  </w:r>
                </w:p>
              </w:tc>
              <w:tc>
                <w:tcPr>
                  <w:tcW w:w="840" w:type="dxa"/>
                  <w:tcBorders>
                    <w:tl2br w:val="nil"/>
                    <w:tr2bl w:val="nil"/>
                  </w:tcBorders>
                  <w:shd w:val="clear" w:color="auto" w:fill="FFFFFF"/>
                  <w:vAlign w:val="center"/>
                </w:tcPr>
                <w:p w14:paraId="0EE97A4E">
                  <w:pPr>
                    <w:pStyle w:val="26"/>
                    <w:adjustRightInd w:val="0"/>
                    <w:snapToGrid w:val="0"/>
                    <w:spacing w:line="240"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次/年</w:t>
                  </w:r>
                </w:p>
              </w:tc>
              <w:tc>
                <w:tcPr>
                  <w:tcW w:w="3121" w:type="dxa"/>
                  <w:tcBorders>
                    <w:tl2br w:val="nil"/>
                    <w:tr2bl w:val="nil"/>
                  </w:tcBorders>
                  <w:shd w:val="clear" w:color="auto" w:fill="FFFFFF"/>
                  <w:vAlign w:val="center"/>
                </w:tcPr>
                <w:p w14:paraId="39CB8D01">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《大气污染物综合排放标准》（DB11/501-2017）相关限值</w:t>
                  </w:r>
                </w:p>
              </w:tc>
            </w:tr>
          </w:tbl>
          <w:p w14:paraId="7918A86F">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2、水环境影响分析</w:t>
            </w:r>
          </w:p>
          <w:p w14:paraId="5AD900A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（1）源强核算</w:t>
            </w:r>
          </w:p>
          <w:p w14:paraId="0BF44D4D">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本项目废水主要为生活污水和</w:t>
            </w:r>
            <w:r>
              <w:rPr>
                <w:rFonts w:hint="eastAsia" w:cs="Times New Roman"/>
                <w:color w:val="000000" w:themeColor="text1"/>
                <w:lang w:val="en-US" w:eastAsia="zh-CN"/>
                <w14:textFill>
                  <w14:solidFill>
                    <w14:schemeClr w14:val="tx1"/>
                  </w14:solidFill>
                </w14:textFill>
              </w:rPr>
              <w:t>检测废水</w:t>
            </w:r>
            <w:r>
              <w:rPr>
                <w:rFonts w:hint="eastAsia" w:cs="Times New Roman"/>
                <w:color w:val="000000" w:themeColor="text1"/>
                <w14:textFill>
                  <w14:solidFill>
                    <w14:schemeClr w14:val="tx1"/>
                  </w14:solidFill>
                </w14:textFill>
              </w:rPr>
              <w:t>（第3-5遍</w:t>
            </w:r>
            <w:r>
              <w:rPr>
                <w:rFonts w:hint="eastAsia" w:cs="Times New Roman"/>
                <w:color w:val="000000" w:themeColor="text1"/>
                <w:lang w:val="en-US" w:eastAsia="zh-CN"/>
                <w14:textFill>
                  <w14:solidFill>
                    <w14:schemeClr w14:val="tx1"/>
                  </w14:solidFill>
                </w14:textFill>
              </w:rPr>
              <w:t>器皿</w:t>
            </w:r>
            <w:r>
              <w:rPr>
                <w:rFonts w:hint="eastAsia" w:cs="Times New Roman"/>
                <w:color w:val="000000" w:themeColor="text1"/>
                <w14:textFill>
                  <w14:solidFill>
                    <w14:schemeClr w14:val="tx1"/>
                  </w14:solidFill>
                </w14:textFill>
              </w:rPr>
              <w:t>清洗废水）。生活污水产生量约为</w:t>
            </w:r>
            <w:r>
              <w:rPr>
                <w:rFonts w:hint="eastAsia" w:cs="Times New Roman"/>
                <w:color w:val="000000" w:themeColor="text1"/>
                <w:lang w:val="en-US" w:eastAsia="zh-CN"/>
                <w14:textFill>
                  <w14:solidFill>
                    <w14:schemeClr w14:val="tx1"/>
                  </w14:solidFill>
                </w14:textFill>
              </w:rPr>
              <w:t>675.0</w:t>
            </w:r>
            <w:r>
              <w:rPr>
                <w:rFonts w:hint="eastAsia" w:cs="Times New Roman"/>
                <w:color w:val="000000" w:themeColor="text1"/>
                <w14:textFill>
                  <w14:solidFill>
                    <w14:schemeClr w14:val="tx1"/>
                  </w14:solidFill>
                </w14:textFill>
              </w:rPr>
              <w:t>t/a，实验废水产生量约为</w:t>
            </w:r>
            <w:r>
              <w:rPr>
                <w:rFonts w:hint="eastAsia" w:cs="Times New Roman"/>
                <w:color w:val="000000" w:themeColor="text1"/>
                <w:lang w:val="en-US" w:eastAsia="zh-CN"/>
                <w14:textFill>
                  <w14:solidFill>
                    <w14:schemeClr w14:val="tx1"/>
                  </w14:solidFill>
                </w14:textFill>
              </w:rPr>
              <w:t>11.25</w:t>
            </w:r>
            <w:r>
              <w:rPr>
                <w:rFonts w:hint="eastAsia" w:cs="Times New Roman"/>
                <w:color w:val="000000" w:themeColor="text1"/>
                <w14:textFill>
                  <w14:solidFill>
                    <w14:schemeClr w14:val="tx1"/>
                  </w14:solidFill>
                </w14:textFill>
              </w:rPr>
              <w:t>t/a。</w:t>
            </w:r>
          </w:p>
          <w:p w14:paraId="040062A3">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1）生活污水</w:t>
            </w:r>
          </w:p>
          <w:p w14:paraId="4F36C597">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本项目生活污水主要来自于员工日常盥洗产生的废水，其主要污染物因子为pH、CODcr、BOD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SS、氨氮。参照《水工业工程设计技术手册-建筑和小区给排水》中“12.2.2污水水量和水质”中给出的住宅、各类公共建筑污水水质平均浓度，结合本项目特点，本项目生活污水主要污染物的排放浓度取值为：CODcr：350mg/L、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：250mg/L、SS：300mg/L、氨氮：40mg/L。</w:t>
            </w:r>
          </w:p>
          <w:p w14:paraId="6A7D6860">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2）实验废水</w:t>
            </w:r>
          </w:p>
          <w:p w14:paraId="2B3AA62C">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本项目实验废水主要为第3-5遍</w:t>
            </w:r>
            <w:r>
              <w:rPr>
                <w:rFonts w:hint="eastAsia" w:cs="Times New Roman"/>
                <w:color w:val="000000" w:themeColor="text1"/>
                <w:lang w:val="en-US" w:eastAsia="zh-CN"/>
                <w14:textFill>
                  <w14:solidFill>
                    <w14:schemeClr w14:val="tx1"/>
                  </w14:solidFill>
                </w14:textFill>
              </w:rPr>
              <w:t>器皿</w:t>
            </w:r>
            <w:r>
              <w:rPr>
                <w:rFonts w:hint="eastAsia" w:cs="Times New Roman"/>
                <w:color w:val="000000" w:themeColor="text1"/>
                <w14:textFill>
                  <w14:solidFill>
                    <w14:schemeClr w14:val="tx1"/>
                  </w14:solidFill>
                </w14:textFill>
              </w:rPr>
              <w:t>清洗废水。实验废水产生浓度参照《科研单位实验室废水处理工程设计与分析》（给水排水2012年第1期第38卷）和类比同类项目，污染物产生浓度取值：pH：6.5~9（无量纲）、CODcr：200mg/L、BOD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：180mg/L、SS：100mg/L、氨氮：25mg/L。</w:t>
            </w:r>
          </w:p>
          <w:p w14:paraId="39436E5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根据《排放源统计调查产排污核算方法和系数手册》中数据，化粪池对各污染物去除效率为：CODcr去除效率为15%，BOD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去除效率为9%、SS去除效率为30%、氨氮去除效率为</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w:t>
            </w:r>
          </w:p>
          <w:p w14:paraId="7163F698">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10</w:t>
            </w:r>
            <w:r>
              <w:rPr>
                <w:rFonts w:cs="Times New Roman"/>
                <w:color w:val="000000" w:themeColor="text1"/>
                <w14:textFill>
                  <w14:solidFill>
                    <w14:schemeClr w14:val="tx1"/>
                  </w14:solidFill>
                </w14:textFill>
              </w:rPr>
              <w:t xml:space="preserve"> 水污染物排放结果一览表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320"/>
              <w:gridCol w:w="1126"/>
              <w:gridCol w:w="1126"/>
              <w:gridCol w:w="1126"/>
              <w:gridCol w:w="1126"/>
              <w:gridCol w:w="1127"/>
            </w:tblGrid>
            <w:tr w14:paraId="48EF4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9" w:type="dxa"/>
                  <w:gridSpan w:val="2"/>
                  <w:tcBorders>
                    <w:tl2br w:val="nil"/>
                    <w:tr2bl w:val="nil"/>
                  </w:tcBorders>
                  <w:vAlign w:val="center"/>
                </w:tcPr>
                <w:p w14:paraId="58401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项目</w:t>
                  </w:r>
                </w:p>
              </w:tc>
              <w:tc>
                <w:tcPr>
                  <w:tcW w:w="1126" w:type="dxa"/>
                  <w:tcBorders>
                    <w:tl2br w:val="nil"/>
                    <w:tr2bl w:val="nil"/>
                  </w:tcBorders>
                  <w:vAlign w:val="center"/>
                </w:tcPr>
                <w:p w14:paraId="01DB4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w:t>
                  </w:r>
                </w:p>
              </w:tc>
              <w:tc>
                <w:tcPr>
                  <w:tcW w:w="1126" w:type="dxa"/>
                  <w:tcBorders>
                    <w:tl2br w:val="nil"/>
                    <w:tr2bl w:val="nil"/>
                  </w:tcBorders>
                  <w:vAlign w:val="center"/>
                </w:tcPr>
                <w:p w14:paraId="77A46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CODcr</w:t>
                  </w:r>
                </w:p>
              </w:tc>
              <w:tc>
                <w:tcPr>
                  <w:tcW w:w="1126" w:type="dxa"/>
                  <w:tcBorders>
                    <w:tl2br w:val="nil"/>
                    <w:tr2bl w:val="nil"/>
                  </w:tcBorders>
                  <w:vAlign w:val="center"/>
                </w:tcPr>
                <w:p w14:paraId="52CE9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BOD</w:t>
                  </w:r>
                  <w:r>
                    <w:rPr>
                      <w:rFonts w:hint="eastAsia"/>
                      <w:sz w:val="21"/>
                      <w:szCs w:val="21"/>
                      <w:vertAlign w:val="subscript"/>
                      <w:lang w:val="en-US" w:eastAsia="zh-CN"/>
                    </w:rPr>
                    <w:t>5</w:t>
                  </w:r>
                </w:p>
              </w:tc>
              <w:tc>
                <w:tcPr>
                  <w:tcW w:w="1126" w:type="dxa"/>
                  <w:tcBorders>
                    <w:tl2br w:val="nil"/>
                    <w:tr2bl w:val="nil"/>
                  </w:tcBorders>
                  <w:vAlign w:val="center"/>
                </w:tcPr>
                <w:p w14:paraId="0D8B5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SS</w:t>
                  </w:r>
                </w:p>
              </w:tc>
              <w:tc>
                <w:tcPr>
                  <w:tcW w:w="1127" w:type="dxa"/>
                  <w:tcBorders>
                    <w:tl2br w:val="nil"/>
                    <w:tr2bl w:val="nil"/>
                  </w:tcBorders>
                  <w:vAlign w:val="center"/>
                </w:tcPr>
                <w:p w14:paraId="47C79D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氨氮</w:t>
                  </w:r>
                </w:p>
              </w:tc>
            </w:tr>
            <w:tr w14:paraId="6EBFA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restart"/>
                  <w:tcBorders>
                    <w:tl2br w:val="nil"/>
                    <w:tr2bl w:val="nil"/>
                  </w:tcBorders>
                  <w:vAlign w:val="center"/>
                </w:tcPr>
                <w:p w14:paraId="0C46CE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生活污水</w:t>
                  </w:r>
                </w:p>
                <w:p w14:paraId="39E43C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675t/a</w:t>
                  </w:r>
                </w:p>
              </w:tc>
              <w:tc>
                <w:tcPr>
                  <w:tcW w:w="1320" w:type="dxa"/>
                  <w:tcBorders>
                    <w:tl2br w:val="nil"/>
                    <w:tr2bl w:val="nil"/>
                  </w:tcBorders>
                  <w:vAlign w:val="center"/>
                </w:tcPr>
                <w:p w14:paraId="3C52B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产生浓度mg/L</w:t>
                  </w:r>
                </w:p>
              </w:tc>
              <w:tc>
                <w:tcPr>
                  <w:tcW w:w="1126" w:type="dxa"/>
                  <w:tcBorders>
                    <w:tl2br w:val="nil"/>
                    <w:tr2bl w:val="nil"/>
                  </w:tcBorders>
                  <w:vAlign w:val="center"/>
                </w:tcPr>
                <w:p w14:paraId="32E03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6.5~9</w:t>
                  </w:r>
                </w:p>
                <w:p w14:paraId="74DCD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126" w:type="dxa"/>
                  <w:tcBorders>
                    <w:tl2br w:val="nil"/>
                    <w:tr2bl w:val="nil"/>
                  </w:tcBorders>
                  <w:vAlign w:val="center"/>
                </w:tcPr>
                <w:p w14:paraId="3EC58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350</w:t>
                  </w:r>
                </w:p>
              </w:tc>
              <w:tc>
                <w:tcPr>
                  <w:tcW w:w="1126" w:type="dxa"/>
                  <w:tcBorders>
                    <w:tl2br w:val="nil"/>
                    <w:tr2bl w:val="nil"/>
                  </w:tcBorders>
                  <w:vAlign w:val="center"/>
                </w:tcPr>
                <w:p w14:paraId="71953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250</w:t>
                  </w:r>
                </w:p>
              </w:tc>
              <w:tc>
                <w:tcPr>
                  <w:tcW w:w="1126" w:type="dxa"/>
                  <w:tcBorders>
                    <w:tl2br w:val="nil"/>
                    <w:tr2bl w:val="nil"/>
                  </w:tcBorders>
                  <w:vAlign w:val="center"/>
                </w:tcPr>
                <w:p w14:paraId="45B45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127" w:type="dxa"/>
                  <w:tcBorders>
                    <w:tl2br w:val="nil"/>
                    <w:tr2bl w:val="nil"/>
                  </w:tcBorders>
                  <w:vAlign w:val="center"/>
                </w:tcPr>
                <w:p w14:paraId="095EA8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r>
            <w:tr w14:paraId="6D567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6D1B1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6481A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产生量</w:t>
                  </w:r>
                </w:p>
                <w:p w14:paraId="00135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t/a</w:t>
                  </w:r>
                </w:p>
              </w:tc>
              <w:tc>
                <w:tcPr>
                  <w:tcW w:w="1126" w:type="dxa"/>
                  <w:tcBorders>
                    <w:tl2br w:val="nil"/>
                    <w:tr2bl w:val="nil"/>
                  </w:tcBorders>
                  <w:vAlign w:val="center"/>
                </w:tcPr>
                <w:p w14:paraId="6283EC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26" w:type="dxa"/>
                  <w:tcBorders>
                    <w:tl2br w:val="nil"/>
                    <w:tr2bl w:val="nil"/>
                  </w:tcBorders>
                  <w:vAlign w:val="center"/>
                </w:tcPr>
                <w:p w14:paraId="01589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0.2363</w:t>
                  </w:r>
                </w:p>
              </w:tc>
              <w:tc>
                <w:tcPr>
                  <w:tcW w:w="1126" w:type="dxa"/>
                  <w:tcBorders>
                    <w:tl2br w:val="nil"/>
                    <w:tr2bl w:val="nil"/>
                  </w:tcBorders>
                  <w:vAlign w:val="center"/>
                </w:tcPr>
                <w:p w14:paraId="691D1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0.1688</w:t>
                  </w:r>
                </w:p>
              </w:tc>
              <w:tc>
                <w:tcPr>
                  <w:tcW w:w="1126" w:type="dxa"/>
                  <w:tcBorders>
                    <w:tl2br w:val="nil"/>
                    <w:tr2bl w:val="nil"/>
                  </w:tcBorders>
                  <w:vAlign w:val="center"/>
                </w:tcPr>
                <w:p w14:paraId="40E80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0.2025</w:t>
                  </w:r>
                </w:p>
              </w:tc>
              <w:tc>
                <w:tcPr>
                  <w:tcW w:w="1127" w:type="dxa"/>
                  <w:tcBorders>
                    <w:tl2br w:val="nil"/>
                    <w:tr2bl w:val="nil"/>
                  </w:tcBorders>
                  <w:vAlign w:val="center"/>
                </w:tcPr>
                <w:p w14:paraId="6108C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0.0270</w:t>
                  </w:r>
                </w:p>
              </w:tc>
            </w:tr>
            <w:tr w14:paraId="5F88C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restart"/>
                  <w:tcBorders>
                    <w:tl2br w:val="nil"/>
                    <w:tr2bl w:val="nil"/>
                  </w:tcBorders>
                  <w:vAlign w:val="center"/>
                </w:tcPr>
                <w:p w14:paraId="64462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检测废水</w:t>
                  </w:r>
                </w:p>
                <w:p w14:paraId="1ED14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11.25t/a</w:t>
                  </w:r>
                </w:p>
              </w:tc>
              <w:tc>
                <w:tcPr>
                  <w:tcW w:w="1320" w:type="dxa"/>
                  <w:tcBorders>
                    <w:tl2br w:val="nil"/>
                    <w:tr2bl w:val="nil"/>
                  </w:tcBorders>
                  <w:vAlign w:val="center"/>
                </w:tcPr>
                <w:p w14:paraId="4A848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产生浓度mg/L</w:t>
                  </w:r>
                </w:p>
              </w:tc>
              <w:tc>
                <w:tcPr>
                  <w:tcW w:w="1126" w:type="dxa"/>
                  <w:tcBorders>
                    <w:tl2br w:val="nil"/>
                    <w:tr2bl w:val="nil"/>
                  </w:tcBorders>
                  <w:vAlign w:val="center"/>
                </w:tcPr>
                <w:p w14:paraId="0D179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6.5~9</w:t>
                  </w:r>
                </w:p>
                <w:p w14:paraId="4AAC6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126" w:type="dxa"/>
                  <w:tcBorders>
                    <w:tl2br w:val="nil"/>
                    <w:tr2bl w:val="nil"/>
                  </w:tcBorders>
                  <w:vAlign w:val="center"/>
                </w:tcPr>
                <w:p w14:paraId="3AED4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1126" w:type="dxa"/>
                  <w:tcBorders>
                    <w:tl2br w:val="nil"/>
                    <w:tr2bl w:val="nil"/>
                  </w:tcBorders>
                  <w:vAlign w:val="center"/>
                </w:tcPr>
                <w:p w14:paraId="725F1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1126" w:type="dxa"/>
                  <w:tcBorders>
                    <w:tl2br w:val="nil"/>
                    <w:tr2bl w:val="nil"/>
                  </w:tcBorders>
                  <w:vAlign w:val="center"/>
                </w:tcPr>
                <w:p w14:paraId="5D625E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1127" w:type="dxa"/>
                  <w:tcBorders>
                    <w:tl2br w:val="nil"/>
                    <w:tr2bl w:val="nil"/>
                  </w:tcBorders>
                  <w:vAlign w:val="center"/>
                </w:tcPr>
                <w:p w14:paraId="26B16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r>
            <w:tr w14:paraId="4CE694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44703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7CFD9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产生量</w:t>
                  </w:r>
                </w:p>
                <w:p w14:paraId="350E03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t/a</w:t>
                  </w:r>
                </w:p>
              </w:tc>
              <w:tc>
                <w:tcPr>
                  <w:tcW w:w="1126" w:type="dxa"/>
                  <w:tcBorders>
                    <w:tl2br w:val="nil"/>
                    <w:tr2bl w:val="nil"/>
                  </w:tcBorders>
                  <w:vAlign w:val="center"/>
                </w:tcPr>
                <w:p w14:paraId="1DE67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26" w:type="dxa"/>
                  <w:tcBorders>
                    <w:tl2br w:val="nil"/>
                    <w:tr2bl w:val="nil"/>
                  </w:tcBorders>
                  <w:vAlign w:val="center"/>
                </w:tcPr>
                <w:p w14:paraId="0B24E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0.0023</w:t>
                  </w:r>
                </w:p>
              </w:tc>
              <w:tc>
                <w:tcPr>
                  <w:tcW w:w="1126" w:type="dxa"/>
                  <w:tcBorders>
                    <w:tl2br w:val="nil"/>
                    <w:tr2bl w:val="nil"/>
                  </w:tcBorders>
                  <w:vAlign w:val="center"/>
                </w:tcPr>
                <w:p w14:paraId="515BF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0.0020</w:t>
                  </w:r>
                </w:p>
              </w:tc>
              <w:tc>
                <w:tcPr>
                  <w:tcW w:w="1126" w:type="dxa"/>
                  <w:tcBorders>
                    <w:tl2br w:val="nil"/>
                    <w:tr2bl w:val="nil"/>
                  </w:tcBorders>
                  <w:vAlign w:val="center"/>
                </w:tcPr>
                <w:p w14:paraId="46C31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0.0023</w:t>
                  </w:r>
                </w:p>
              </w:tc>
              <w:tc>
                <w:tcPr>
                  <w:tcW w:w="1127" w:type="dxa"/>
                  <w:tcBorders>
                    <w:tl2br w:val="nil"/>
                    <w:tr2bl w:val="nil"/>
                  </w:tcBorders>
                  <w:vAlign w:val="center"/>
                </w:tcPr>
                <w:p w14:paraId="31A08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0.0002</w:t>
                  </w:r>
                </w:p>
              </w:tc>
            </w:tr>
            <w:tr w14:paraId="288E3C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restart"/>
                  <w:tcBorders>
                    <w:tl2br w:val="nil"/>
                    <w:tr2bl w:val="nil"/>
                  </w:tcBorders>
                  <w:vAlign w:val="center"/>
                </w:tcPr>
                <w:p w14:paraId="6DE9D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综合废水</w:t>
                  </w:r>
                </w:p>
                <w:p w14:paraId="652FF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686.25t/a</w:t>
                  </w:r>
                </w:p>
              </w:tc>
              <w:tc>
                <w:tcPr>
                  <w:tcW w:w="1320" w:type="dxa"/>
                  <w:tcBorders>
                    <w:tl2br w:val="nil"/>
                    <w:tr2bl w:val="nil"/>
                  </w:tcBorders>
                  <w:vAlign w:val="center"/>
                </w:tcPr>
                <w:p w14:paraId="6429A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产生浓度mg/L</w:t>
                  </w:r>
                </w:p>
              </w:tc>
              <w:tc>
                <w:tcPr>
                  <w:tcW w:w="1126" w:type="dxa"/>
                  <w:tcBorders>
                    <w:tl2br w:val="nil"/>
                    <w:tr2bl w:val="nil"/>
                  </w:tcBorders>
                  <w:vAlign w:val="center"/>
                </w:tcPr>
                <w:p w14:paraId="5CB8F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6.5~9</w:t>
                  </w:r>
                </w:p>
                <w:p w14:paraId="774D3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126" w:type="dxa"/>
                  <w:tcBorders>
                    <w:tl2br w:val="nil"/>
                    <w:tr2bl w:val="nil"/>
                  </w:tcBorders>
                  <w:vAlign w:val="center"/>
                </w:tcPr>
                <w:p w14:paraId="650D3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347.5</w:t>
                  </w:r>
                </w:p>
              </w:tc>
              <w:tc>
                <w:tcPr>
                  <w:tcW w:w="1126" w:type="dxa"/>
                  <w:tcBorders>
                    <w:tl2br w:val="nil"/>
                    <w:tr2bl w:val="nil"/>
                  </w:tcBorders>
                  <w:vAlign w:val="center"/>
                </w:tcPr>
                <w:p w14:paraId="006E8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248.9</w:t>
                  </w:r>
                </w:p>
              </w:tc>
              <w:tc>
                <w:tcPr>
                  <w:tcW w:w="1126" w:type="dxa"/>
                  <w:tcBorders>
                    <w:tl2br w:val="nil"/>
                    <w:tr2bl w:val="nil"/>
                  </w:tcBorders>
                  <w:vAlign w:val="center"/>
                </w:tcPr>
                <w:p w14:paraId="07C16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298.4</w:t>
                  </w:r>
                </w:p>
              </w:tc>
              <w:tc>
                <w:tcPr>
                  <w:tcW w:w="1127" w:type="dxa"/>
                  <w:tcBorders>
                    <w:tl2br w:val="nil"/>
                    <w:tr2bl w:val="nil"/>
                  </w:tcBorders>
                  <w:vAlign w:val="center"/>
                </w:tcPr>
                <w:p w14:paraId="7B5E5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39.6</w:t>
                  </w:r>
                </w:p>
              </w:tc>
            </w:tr>
            <w:tr w14:paraId="54524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04C28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26194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产生量</w:t>
                  </w:r>
                </w:p>
                <w:p w14:paraId="56EA1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t/a</w:t>
                  </w:r>
                </w:p>
              </w:tc>
              <w:tc>
                <w:tcPr>
                  <w:tcW w:w="1126" w:type="dxa"/>
                  <w:tcBorders>
                    <w:tl2br w:val="nil"/>
                    <w:tr2bl w:val="nil"/>
                  </w:tcBorders>
                  <w:vAlign w:val="center"/>
                </w:tcPr>
                <w:p w14:paraId="7891F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26" w:type="dxa"/>
                  <w:tcBorders>
                    <w:tl2br w:val="nil"/>
                    <w:tr2bl w:val="nil"/>
                  </w:tcBorders>
                  <w:vAlign w:val="center"/>
                </w:tcPr>
                <w:p w14:paraId="2CF22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0.2385</w:t>
                  </w:r>
                </w:p>
              </w:tc>
              <w:tc>
                <w:tcPr>
                  <w:tcW w:w="1126" w:type="dxa"/>
                  <w:tcBorders>
                    <w:tl2br w:val="nil"/>
                    <w:tr2bl w:val="nil"/>
                  </w:tcBorders>
                  <w:vAlign w:val="center"/>
                </w:tcPr>
                <w:p w14:paraId="3960B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0.1708</w:t>
                  </w:r>
                </w:p>
              </w:tc>
              <w:tc>
                <w:tcPr>
                  <w:tcW w:w="1126" w:type="dxa"/>
                  <w:tcBorders>
                    <w:tl2br w:val="nil"/>
                    <w:tr2bl w:val="nil"/>
                  </w:tcBorders>
                  <w:vAlign w:val="center"/>
                </w:tcPr>
                <w:p w14:paraId="00FA5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0.2048</w:t>
                  </w:r>
                </w:p>
              </w:tc>
              <w:tc>
                <w:tcPr>
                  <w:tcW w:w="1127" w:type="dxa"/>
                  <w:tcBorders>
                    <w:tl2br w:val="nil"/>
                    <w:tr2bl w:val="nil"/>
                  </w:tcBorders>
                  <w:vAlign w:val="center"/>
                </w:tcPr>
                <w:p w14:paraId="352E1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0.0272</w:t>
                  </w:r>
                </w:p>
              </w:tc>
            </w:tr>
            <w:tr w14:paraId="3A2AF2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tcBorders>
                    <w:tl2br w:val="nil"/>
                    <w:tr2bl w:val="nil"/>
                  </w:tcBorders>
                  <w:vAlign w:val="center"/>
                </w:tcPr>
                <w:p w14:paraId="2169E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w:t>
                  </w:r>
                </w:p>
              </w:tc>
              <w:tc>
                <w:tcPr>
                  <w:tcW w:w="1320" w:type="dxa"/>
                  <w:tcBorders>
                    <w:tl2br w:val="nil"/>
                    <w:tr2bl w:val="nil"/>
                  </w:tcBorders>
                  <w:vAlign w:val="center"/>
                </w:tcPr>
                <w:p w14:paraId="4DAD9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去除效率%</w:t>
                  </w:r>
                </w:p>
              </w:tc>
              <w:tc>
                <w:tcPr>
                  <w:tcW w:w="1126" w:type="dxa"/>
                  <w:tcBorders>
                    <w:tl2br w:val="nil"/>
                    <w:tr2bl w:val="nil"/>
                  </w:tcBorders>
                  <w:vAlign w:val="center"/>
                </w:tcPr>
                <w:p w14:paraId="3FD4A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26" w:type="dxa"/>
                  <w:tcBorders>
                    <w:tl2br w:val="nil"/>
                    <w:tr2bl w:val="nil"/>
                  </w:tcBorders>
                  <w:vAlign w:val="center"/>
                </w:tcPr>
                <w:p w14:paraId="297DD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1126" w:type="dxa"/>
                  <w:tcBorders>
                    <w:tl2br w:val="nil"/>
                    <w:tr2bl w:val="nil"/>
                  </w:tcBorders>
                  <w:vAlign w:val="center"/>
                </w:tcPr>
                <w:p w14:paraId="6124C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1126" w:type="dxa"/>
                  <w:tcBorders>
                    <w:tl2br w:val="nil"/>
                    <w:tr2bl w:val="nil"/>
                  </w:tcBorders>
                  <w:vAlign w:val="center"/>
                </w:tcPr>
                <w:p w14:paraId="361E08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1127" w:type="dxa"/>
                  <w:tcBorders>
                    <w:tl2br w:val="nil"/>
                    <w:tr2bl w:val="nil"/>
                  </w:tcBorders>
                  <w:vAlign w:val="center"/>
                </w:tcPr>
                <w:p w14:paraId="008DA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r>
            <w:tr w14:paraId="290A6F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restart"/>
                  <w:tcBorders>
                    <w:tl2br w:val="nil"/>
                    <w:tr2bl w:val="nil"/>
                  </w:tcBorders>
                  <w:vAlign w:val="center"/>
                </w:tcPr>
                <w:p w14:paraId="27F9A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综合废水</w:t>
                  </w:r>
                </w:p>
                <w:p w14:paraId="66D6E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686.25t/a</w:t>
                  </w:r>
                </w:p>
              </w:tc>
              <w:tc>
                <w:tcPr>
                  <w:tcW w:w="1320" w:type="dxa"/>
                  <w:tcBorders>
                    <w:tl2br w:val="nil"/>
                    <w:tr2bl w:val="nil"/>
                  </w:tcBorders>
                  <w:vAlign w:val="center"/>
                </w:tcPr>
                <w:p w14:paraId="5142A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排放浓度mg/L</w:t>
                  </w:r>
                </w:p>
              </w:tc>
              <w:tc>
                <w:tcPr>
                  <w:tcW w:w="1126" w:type="dxa"/>
                  <w:tcBorders>
                    <w:tl2br w:val="nil"/>
                    <w:tr2bl w:val="nil"/>
                  </w:tcBorders>
                  <w:vAlign w:val="center"/>
                </w:tcPr>
                <w:p w14:paraId="2748B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6.5~9</w:t>
                  </w:r>
                </w:p>
                <w:p w14:paraId="05D5B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126" w:type="dxa"/>
                  <w:tcBorders>
                    <w:tl2br w:val="nil"/>
                    <w:tr2bl w:val="nil"/>
                  </w:tcBorders>
                  <w:vAlign w:val="center"/>
                </w:tcPr>
                <w:p w14:paraId="13483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295.4</w:t>
                  </w:r>
                </w:p>
              </w:tc>
              <w:tc>
                <w:tcPr>
                  <w:tcW w:w="1126" w:type="dxa"/>
                  <w:tcBorders>
                    <w:tl2br w:val="nil"/>
                    <w:tr2bl w:val="nil"/>
                  </w:tcBorders>
                  <w:vAlign w:val="center"/>
                </w:tcPr>
                <w:p w14:paraId="43919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226.5</w:t>
                  </w:r>
                </w:p>
              </w:tc>
              <w:tc>
                <w:tcPr>
                  <w:tcW w:w="1126" w:type="dxa"/>
                  <w:tcBorders>
                    <w:tl2br w:val="nil"/>
                    <w:tr2bl w:val="nil"/>
                  </w:tcBorders>
                  <w:vAlign w:val="center"/>
                </w:tcPr>
                <w:p w14:paraId="0C3B7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208.9</w:t>
                  </w:r>
                </w:p>
              </w:tc>
              <w:tc>
                <w:tcPr>
                  <w:tcW w:w="1127" w:type="dxa"/>
                  <w:tcBorders>
                    <w:tl2br w:val="nil"/>
                    <w:tr2bl w:val="nil"/>
                  </w:tcBorders>
                  <w:vAlign w:val="center"/>
                </w:tcPr>
                <w:p w14:paraId="578491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38.4</w:t>
                  </w:r>
                </w:p>
              </w:tc>
            </w:tr>
            <w:tr w14:paraId="2B3F82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5140E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44B4A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排放量</w:t>
                  </w:r>
                </w:p>
                <w:p w14:paraId="0D096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t/a</w:t>
                  </w:r>
                </w:p>
              </w:tc>
              <w:tc>
                <w:tcPr>
                  <w:tcW w:w="1126" w:type="dxa"/>
                  <w:tcBorders>
                    <w:tl2br w:val="nil"/>
                    <w:tr2bl w:val="nil"/>
                  </w:tcBorders>
                  <w:vAlign w:val="center"/>
                </w:tcPr>
                <w:p w14:paraId="734D7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26" w:type="dxa"/>
                  <w:tcBorders>
                    <w:tl2br w:val="nil"/>
                    <w:tr2bl w:val="nil"/>
                  </w:tcBorders>
                  <w:vAlign w:val="center"/>
                </w:tcPr>
                <w:p w14:paraId="2793F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0.2027</w:t>
                  </w:r>
                </w:p>
              </w:tc>
              <w:tc>
                <w:tcPr>
                  <w:tcW w:w="1126" w:type="dxa"/>
                  <w:tcBorders>
                    <w:tl2br w:val="nil"/>
                    <w:tr2bl w:val="nil"/>
                  </w:tcBorders>
                  <w:vAlign w:val="center"/>
                </w:tcPr>
                <w:p w14:paraId="007C1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0.1554</w:t>
                  </w:r>
                </w:p>
              </w:tc>
              <w:tc>
                <w:tcPr>
                  <w:tcW w:w="1126" w:type="dxa"/>
                  <w:tcBorders>
                    <w:tl2br w:val="nil"/>
                    <w:tr2bl w:val="nil"/>
                  </w:tcBorders>
                  <w:vAlign w:val="center"/>
                </w:tcPr>
                <w:p w14:paraId="1890D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0.1433</w:t>
                  </w:r>
                </w:p>
              </w:tc>
              <w:tc>
                <w:tcPr>
                  <w:tcW w:w="1127" w:type="dxa"/>
                  <w:tcBorders>
                    <w:tl2br w:val="nil"/>
                    <w:tr2bl w:val="nil"/>
                  </w:tcBorders>
                  <w:vAlign w:val="center"/>
                </w:tcPr>
                <w:p w14:paraId="2D2AD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0.0264</w:t>
                  </w:r>
                </w:p>
              </w:tc>
            </w:tr>
            <w:tr w14:paraId="2FB9F2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63688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71834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执行标准</w:t>
                  </w:r>
                </w:p>
              </w:tc>
              <w:tc>
                <w:tcPr>
                  <w:tcW w:w="1126" w:type="dxa"/>
                  <w:tcBorders>
                    <w:tl2br w:val="nil"/>
                    <w:tr2bl w:val="nil"/>
                  </w:tcBorders>
                  <w:vAlign w:val="center"/>
                </w:tcPr>
                <w:p w14:paraId="1BEE7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6.5~9</w:t>
                  </w:r>
                </w:p>
                <w:p w14:paraId="585957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126" w:type="dxa"/>
                  <w:tcBorders>
                    <w:tl2br w:val="nil"/>
                    <w:tr2bl w:val="nil"/>
                  </w:tcBorders>
                  <w:vAlign w:val="center"/>
                </w:tcPr>
                <w:p w14:paraId="03EB7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w:t>
                  </w:r>
                </w:p>
              </w:tc>
              <w:tc>
                <w:tcPr>
                  <w:tcW w:w="1126" w:type="dxa"/>
                  <w:tcBorders>
                    <w:tl2br w:val="nil"/>
                    <w:tr2bl w:val="nil"/>
                  </w:tcBorders>
                  <w:vAlign w:val="center"/>
                </w:tcPr>
                <w:p w14:paraId="1996B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126" w:type="dxa"/>
                  <w:tcBorders>
                    <w:tl2br w:val="nil"/>
                    <w:tr2bl w:val="nil"/>
                  </w:tcBorders>
                  <w:vAlign w:val="center"/>
                </w:tcPr>
                <w:p w14:paraId="719732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1127" w:type="dxa"/>
                  <w:tcBorders>
                    <w:tl2br w:val="nil"/>
                    <w:tr2bl w:val="nil"/>
                  </w:tcBorders>
                  <w:vAlign w:val="center"/>
                </w:tcPr>
                <w:p w14:paraId="4B44B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r>
            <w:tr w14:paraId="4A8D3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vMerge w:val="continue"/>
                  <w:tcBorders>
                    <w:tl2br w:val="nil"/>
                    <w:tr2bl w:val="nil"/>
                  </w:tcBorders>
                  <w:vAlign w:val="center"/>
                </w:tcPr>
                <w:p w14:paraId="65181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0" w:type="dxa"/>
                  <w:tcBorders>
                    <w:tl2br w:val="nil"/>
                    <w:tr2bl w:val="nil"/>
                  </w:tcBorders>
                  <w:vAlign w:val="center"/>
                </w:tcPr>
                <w:p w14:paraId="46AF2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达标情况</w:t>
                  </w:r>
                </w:p>
              </w:tc>
              <w:tc>
                <w:tcPr>
                  <w:tcW w:w="1126" w:type="dxa"/>
                  <w:tcBorders>
                    <w:tl2br w:val="nil"/>
                    <w:tr2bl w:val="nil"/>
                  </w:tcBorders>
                  <w:vAlign w:val="center"/>
                </w:tcPr>
                <w:p w14:paraId="5ADF3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c>
                <w:tcPr>
                  <w:tcW w:w="1126" w:type="dxa"/>
                  <w:tcBorders>
                    <w:tl2br w:val="nil"/>
                    <w:tr2bl w:val="nil"/>
                  </w:tcBorders>
                  <w:vAlign w:val="center"/>
                </w:tcPr>
                <w:p w14:paraId="5415F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c>
                <w:tcPr>
                  <w:tcW w:w="1126" w:type="dxa"/>
                  <w:tcBorders>
                    <w:tl2br w:val="nil"/>
                    <w:tr2bl w:val="nil"/>
                  </w:tcBorders>
                  <w:vAlign w:val="center"/>
                </w:tcPr>
                <w:p w14:paraId="45AA6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c>
                <w:tcPr>
                  <w:tcW w:w="1126" w:type="dxa"/>
                  <w:tcBorders>
                    <w:tl2br w:val="nil"/>
                    <w:tr2bl w:val="nil"/>
                  </w:tcBorders>
                  <w:vAlign w:val="center"/>
                </w:tcPr>
                <w:p w14:paraId="7A8636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c>
                <w:tcPr>
                  <w:tcW w:w="1127" w:type="dxa"/>
                  <w:tcBorders>
                    <w:tl2br w:val="nil"/>
                    <w:tr2bl w:val="nil"/>
                  </w:tcBorders>
                  <w:vAlign w:val="center"/>
                </w:tcPr>
                <w:p w14:paraId="1893D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r>
          </w:tbl>
          <w:p w14:paraId="3D46001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（2）废水达标排放分析</w:t>
            </w:r>
          </w:p>
          <w:p w14:paraId="5ABC0F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根据源强分析可知，项目废水排放浓度可满足北京市《水污染物综合排放标准》（DB11/307-2013）中</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表3 排入公共污水处理系统的水污染物排放限值</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的要求。</w:t>
            </w:r>
          </w:p>
          <w:p w14:paraId="65B0981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本项目依托</w:t>
            </w:r>
            <w:r>
              <w:rPr>
                <w:rFonts w:cs="Times New Roman"/>
                <w:color w:val="000000" w:themeColor="text1"/>
                <w14:textFill>
                  <w14:solidFill>
                    <w14:schemeClr w14:val="tx1"/>
                  </w14:solidFill>
                </w14:textFill>
              </w:rPr>
              <w:t>污水处理厂</w:t>
            </w:r>
            <w:r>
              <w:rPr>
                <w:rFonts w:hint="eastAsia" w:cs="Times New Roman"/>
                <w:color w:val="000000" w:themeColor="text1"/>
                <w:lang w:val="en-US" w:eastAsia="zh-CN"/>
                <w14:textFill>
                  <w14:solidFill>
                    <w14:schemeClr w14:val="tx1"/>
                  </w14:solidFill>
                </w14:textFill>
              </w:rPr>
              <w:t>的可行性</w:t>
            </w:r>
          </w:p>
          <w:p w14:paraId="15A6D8A9">
            <w:pPr>
              <w:ind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北京轻纺服装产业基地应急污水处理站</w:t>
            </w:r>
            <w:r>
              <w:rPr>
                <w:rFonts w:cs="Times New Roman"/>
                <w:color w:val="000000" w:themeColor="text1"/>
                <w14:textFill>
                  <w14:solidFill>
                    <w14:schemeClr w14:val="tx1"/>
                  </w14:solidFill>
                </w14:textFill>
              </w:rPr>
              <w:t>位于</w:t>
            </w:r>
            <w:r>
              <w:rPr>
                <w:rFonts w:hint="eastAsia" w:cs="Times New Roman"/>
                <w:color w:val="000000" w:themeColor="text1"/>
                <w14:textFill>
                  <w14:solidFill>
                    <w14:schemeClr w14:val="tx1"/>
                  </w14:solidFill>
                </w14:textFill>
              </w:rPr>
              <w:t>西红门镇经济技术产业区中鼎北路东头。废水处理工艺设计采用一级RBP处理工艺+二级RBP+BAF处理工艺</w:t>
            </w:r>
            <w:r>
              <w:rPr>
                <w:rFonts w:hint="eastAsia" w:cs="Times New Roman"/>
                <w:color w:val="000000" w:themeColor="text1"/>
                <w:lang w:eastAsia="zh-CN"/>
                <w14:textFill>
                  <w14:solidFill>
                    <w14:schemeClr w14:val="tx1"/>
                  </w14:solidFill>
                </w14:textFill>
              </w:rPr>
              <w:t>，出水经二沉池后达到北京市《城镇污水处理厂水污染物排放标准》（DB11/890-2012）中B标准后排放，并预留活性炭过滤器作为事故来水的处理手段。</w:t>
            </w:r>
          </w:p>
          <w:p w14:paraId="5B17E9E7">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本项目位于北京轻纺服装产业基地应急污水处理站污水管网覆盖范围内。北京轻纺服装产业基地应急污水处理站初始设计处理规模为800m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/d，目前已扩建至1200m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/d。现阶段该应急污水处理站实际处理规模约800m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/d，本项目新增污水排放量</w:t>
            </w:r>
            <w:r>
              <w:rPr>
                <w:rFonts w:hint="eastAsia" w:cs="Times New Roman"/>
                <w:color w:val="000000" w:themeColor="text1"/>
                <w:lang w:val="en-US" w:eastAsia="zh-CN"/>
                <w14:textFill>
                  <w14:solidFill>
                    <w14:schemeClr w14:val="tx1"/>
                  </w14:solidFill>
                </w14:textFill>
              </w:rPr>
              <w:t>686.25</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/a，合</w:t>
            </w:r>
            <w:r>
              <w:rPr>
                <w:rFonts w:hint="eastAsia" w:cs="Times New Roman"/>
                <w:color w:val="000000" w:themeColor="text1"/>
                <w:lang w:val="en-US" w:eastAsia="zh-CN"/>
                <w14:textFill>
                  <w14:solidFill>
                    <w14:schemeClr w14:val="tx1"/>
                  </w14:solidFill>
                </w14:textFill>
              </w:rPr>
              <w:t>2.745</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/d，占该应急污水处理站总处理规模比例很小。</w:t>
            </w:r>
          </w:p>
          <w:p w14:paraId="25868E0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本项目所排废水主要为生活污水</w:t>
            </w:r>
            <w:r>
              <w:rPr>
                <w:rFonts w:hint="eastAsia" w:cs="Times New Roman"/>
                <w:color w:val="000000" w:themeColor="text1"/>
                <w:lang w:val="en-US" w:eastAsia="zh-CN"/>
                <w14:textFill>
                  <w14:solidFill>
                    <w14:schemeClr w14:val="tx1"/>
                  </w14:solidFill>
                </w14:textFill>
              </w:rPr>
              <w:t>和检测废水</w:t>
            </w:r>
            <w:r>
              <w:rPr>
                <w:rFonts w:hint="eastAsia" w:cs="Times New Roman"/>
                <w:color w:val="000000" w:themeColor="text1"/>
                <w14:textFill>
                  <w14:solidFill>
                    <w14:schemeClr w14:val="tx1"/>
                  </w14:solidFill>
                </w14:textFill>
              </w:rPr>
              <w:t>，排水水质满足应急污水处理站的进水水质要求，因此，北京轻纺服装产业基地应急污水处理站可满足本项目污水处理需求。</w:t>
            </w:r>
          </w:p>
          <w:p w14:paraId="7712002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（4）废水排放信息汇总</w:t>
            </w:r>
          </w:p>
          <w:p w14:paraId="2BA5F82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本项目废水排放信息、治理设施、排放口基本情况见下表。</w:t>
            </w:r>
          </w:p>
          <w:p w14:paraId="16DBCC32">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11</w:t>
            </w:r>
            <w:r>
              <w:rPr>
                <w:rFonts w:cs="Times New Roman"/>
                <w:color w:val="000000" w:themeColor="text1"/>
                <w14:textFill>
                  <w14:solidFill>
                    <w14:schemeClr w14:val="tx1"/>
                  </w14:solidFill>
                </w14:textFill>
              </w:rPr>
              <w:t xml:space="preserve"> 废水类别、污染物及污染治理设施信息表</w:t>
            </w:r>
          </w:p>
          <w:tbl>
            <w:tblPr>
              <w:tblStyle w:val="19"/>
              <w:tblW w:w="802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
              <w:gridCol w:w="476"/>
              <w:gridCol w:w="870"/>
              <w:gridCol w:w="945"/>
              <w:gridCol w:w="1080"/>
              <w:gridCol w:w="600"/>
              <w:gridCol w:w="630"/>
              <w:gridCol w:w="585"/>
              <w:gridCol w:w="540"/>
              <w:gridCol w:w="600"/>
              <w:gridCol w:w="1292"/>
            </w:tblGrid>
            <w:tr w14:paraId="585B89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dxa"/>
                  <w:vMerge w:val="restart"/>
                  <w:tcBorders>
                    <w:tl2br w:val="nil"/>
                    <w:tr2bl w:val="nil"/>
                  </w:tcBorders>
                  <w:vAlign w:val="center"/>
                </w:tcPr>
                <w:p w14:paraId="3795F2FB">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序号</w:t>
                  </w:r>
                </w:p>
              </w:tc>
              <w:tc>
                <w:tcPr>
                  <w:tcW w:w="476" w:type="dxa"/>
                  <w:vMerge w:val="restart"/>
                  <w:tcBorders>
                    <w:tl2br w:val="nil"/>
                    <w:tr2bl w:val="nil"/>
                  </w:tcBorders>
                  <w:vAlign w:val="center"/>
                </w:tcPr>
                <w:p w14:paraId="381F9986">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废水类别</w:t>
                  </w:r>
                </w:p>
              </w:tc>
              <w:tc>
                <w:tcPr>
                  <w:tcW w:w="870" w:type="dxa"/>
                  <w:vMerge w:val="restart"/>
                  <w:tcBorders>
                    <w:tl2br w:val="nil"/>
                    <w:tr2bl w:val="nil"/>
                  </w:tcBorders>
                  <w:vAlign w:val="center"/>
                </w:tcPr>
                <w:p w14:paraId="2EEDE6D2">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污染物种类</w:t>
                  </w:r>
                </w:p>
              </w:tc>
              <w:tc>
                <w:tcPr>
                  <w:tcW w:w="945" w:type="dxa"/>
                  <w:vMerge w:val="restart"/>
                  <w:tcBorders>
                    <w:tl2br w:val="nil"/>
                    <w:tr2bl w:val="nil"/>
                  </w:tcBorders>
                  <w:vAlign w:val="center"/>
                </w:tcPr>
                <w:p w14:paraId="42AFCAC4">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w:t>
                  </w:r>
                </w:p>
                <w:p w14:paraId="5FC2F275">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去向</w:t>
                  </w:r>
                </w:p>
              </w:tc>
              <w:tc>
                <w:tcPr>
                  <w:tcW w:w="1080" w:type="dxa"/>
                  <w:vMerge w:val="restart"/>
                  <w:tcBorders>
                    <w:tl2br w:val="nil"/>
                    <w:tr2bl w:val="nil"/>
                  </w:tcBorders>
                  <w:vAlign w:val="center"/>
                </w:tcPr>
                <w:p w14:paraId="32706436">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排放规律</w:t>
                  </w:r>
                </w:p>
              </w:tc>
              <w:tc>
                <w:tcPr>
                  <w:tcW w:w="1815" w:type="dxa"/>
                  <w:gridSpan w:val="3"/>
                  <w:tcBorders>
                    <w:tl2br w:val="nil"/>
                    <w:tr2bl w:val="nil"/>
                  </w:tcBorders>
                  <w:vAlign w:val="center"/>
                </w:tcPr>
                <w:p w14:paraId="6AFCC3E5">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污染治理设施</w:t>
                  </w:r>
                </w:p>
              </w:tc>
              <w:tc>
                <w:tcPr>
                  <w:tcW w:w="540" w:type="dxa"/>
                  <w:vMerge w:val="restart"/>
                  <w:tcBorders>
                    <w:tl2br w:val="nil"/>
                    <w:tr2bl w:val="nil"/>
                  </w:tcBorders>
                  <w:vAlign w:val="center"/>
                </w:tcPr>
                <w:p w14:paraId="223AC35A">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排放口编号</w:t>
                  </w:r>
                </w:p>
              </w:tc>
              <w:tc>
                <w:tcPr>
                  <w:tcW w:w="600" w:type="dxa"/>
                  <w:vMerge w:val="restart"/>
                  <w:tcBorders>
                    <w:tl2br w:val="nil"/>
                    <w:tr2bl w:val="nil"/>
                  </w:tcBorders>
                  <w:vAlign w:val="center"/>
                </w:tcPr>
                <w:p w14:paraId="46EBF183">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排放口设置是否符合要求</w:t>
                  </w:r>
                </w:p>
              </w:tc>
              <w:tc>
                <w:tcPr>
                  <w:tcW w:w="1292" w:type="dxa"/>
                  <w:vMerge w:val="restart"/>
                  <w:tcBorders>
                    <w:tl2br w:val="nil"/>
                    <w:tr2bl w:val="nil"/>
                  </w:tcBorders>
                  <w:vAlign w:val="center"/>
                </w:tcPr>
                <w:p w14:paraId="57F76DFC">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排放口类型</w:t>
                  </w:r>
                </w:p>
              </w:tc>
            </w:tr>
            <w:tr w14:paraId="7BE8E1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dxa"/>
                  <w:vMerge w:val="continue"/>
                  <w:tcBorders>
                    <w:tl2br w:val="nil"/>
                    <w:tr2bl w:val="nil"/>
                  </w:tcBorders>
                  <w:vAlign w:val="center"/>
                </w:tcPr>
                <w:p w14:paraId="2FBFF24F">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476" w:type="dxa"/>
                  <w:vMerge w:val="continue"/>
                  <w:tcBorders>
                    <w:tl2br w:val="nil"/>
                    <w:tr2bl w:val="nil"/>
                  </w:tcBorders>
                  <w:vAlign w:val="center"/>
                </w:tcPr>
                <w:p w14:paraId="75961A74">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870" w:type="dxa"/>
                  <w:vMerge w:val="continue"/>
                  <w:tcBorders>
                    <w:tl2br w:val="nil"/>
                    <w:tr2bl w:val="nil"/>
                  </w:tcBorders>
                  <w:vAlign w:val="center"/>
                </w:tcPr>
                <w:p w14:paraId="429351B2">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945" w:type="dxa"/>
                  <w:vMerge w:val="continue"/>
                  <w:tcBorders>
                    <w:tl2br w:val="nil"/>
                    <w:tr2bl w:val="nil"/>
                  </w:tcBorders>
                  <w:vAlign w:val="center"/>
                </w:tcPr>
                <w:p w14:paraId="708E0712">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1080" w:type="dxa"/>
                  <w:vMerge w:val="continue"/>
                  <w:tcBorders>
                    <w:tl2br w:val="nil"/>
                    <w:tr2bl w:val="nil"/>
                  </w:tcBorders>
                  <w:vAlign w:val="center"/>
                </w:tcPr>
                <w:p w14:paraId="2707A106">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600" w:type="dxa"/>
                  <w:tcBorders>
                    <w:tl2br w:val="nil"/>
                    <w:tr2bl w:val="nil"/>
                  </w:tcBorders>
                  <w:vAlign w:val="center"/>
                </w:tcPr>
                <w:p w14:paraId="4950DA07">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污染治理设施编号</w:t>
                  </w:r>
                </w:p>
              </w:tc>
              <w:tc>
                <w:tcPr>
                  <w:tcW w:w="630" w:type="dxa"/>
                  <w:tcBorders>
                    <w:tl2br w:val="nil"/>
                    <w:tr2bl w:val="nil"/>
                  </w:tcBorders>
                  <w:vAlign w:val="center"/>
                </w:tcPr>
                <w:p w14:paraId="4AB57DED">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污染治理设施名称</w:t>
                  </w:r>
                </w:p>
              </w:tc>
              <w:tc>
                <w:tcPr>
                  <w:tcW w:w="585" w:type="dxa"/>
                  <w:tcBorders>
                    <w:tl2br w:val="nil"/>
                    <w:tr2bl w:val="nil"/>
                  </w:tcBorders>
                  <w:vAlign w:val="center"/>
                </w:tcPr>
                <w:p w14:paraId="38358C14">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污染治理设施工艺</w:t>
                  </w:r>
                </w:p>
              </w:tc>
              <w:tc>
                <w:tcPr>
                  <w:tcW w:w="540" w:type="dxa"/>
                  <w:vMerge w:val="continue"/>
                  <w:tcBorders>
                    <w:tl2br w:val="nil"/>
                    <w:tr2bl w:val="nil"/>
                  </w:tcBorders>
                  <w:vAlign w:val="center"/>
                </w:tcPr>
                <w:p w14:paraId="79DB0661">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600" w:type="dxa"/>
                  <w:vMerge w:val="continue"/>
                  <w:tcBorders>
                    <w:tl2br w:val="nil"/>
                    <w:tr2bl w:val="nil"/>
                  </w:tcBorders>
                  <w:vAlign w:val="center"/>
                </w:tcPr>
                <w:p w14:paraId="2112C407">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1292" w:type="dxa"/>
                  <w:vMerge w:val="continue"/>
                  <w:tcBorders>
                    <w:tl2br w:val="nil"/>
                    <w:tr2bl w:val="nil"/>
                  </w:tcBorders>
                  <w:vAlign w:val="center"/>
                </w:tcPr>
                <w:p w14:paraId="4DB8D14D">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r>
            <w:tr w14:paraId="27ED65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dxa"/>
                  <w:tcBorders>
                    <w:tl2br w:val="nil"/>
                    <w:tr2bl w:val="nil"/>
                  </w:tcBorders>
                  <w:vAlign w:val="center"/>
                </w:tcPr>
                <w:p w14:paraId="5A7C8A0C">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p>
              </w:tc>
              <w:tc>
                <w:tcPr>
                  <w:tcW w:w="476" w:type="dxa"/>
                  <w:tcBorders>
                    <w:tl2br w:val="nil"/>
                    <w:tr2bl w:val="nil"/>
                  </w:tcBorders>
                  <w:vAlign w:val="center"/>
                </w:tcPr>
                <w:p w14:paraId="0D7B73CA">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综合</w:t>
                  </w:r>
                  <w:r>
                    <w:rPr>
                      <w:rFonts w:cs="Times New Roman"/>
                      <w:color w:val="000000" w:themeColor="text1"/>
                      <w:sz w:val="18"/>
                      <w:szCs w:val="18"/>
                      <w14:textFill>
                        <w14:solidFill>
                          <w14:schemeClr w14:val="tx1"/>
                        </w14:solidFill>
                      </w14:textFill>
                    </w:rPr>
                    <w:t>废水</w:t>
                  </w:r>
                </w:p>
              </w:tc>
              <w:tc>
                <w:tcPr>
                  <w:tcW w:w="870" w:type="dxa"/>
                  <w:tcBorders>
                    <w:tl2br w:val="nil"/>
                    <w:tr2bl w:val="nil"/>
                  </w:tcBorders>
                  <w:vAlign w:val="center"/>
                </w:tcPr>
                <w:p w14:paraId="66D8C294">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pH、CODcr、BOD</w:t>
                  </w:r>
                  <w:r>
                    <w:rPr>
                      <w:rFonts w:cs="Times New Roman"/>
                      <w:color w:val="000000" w:themeColor="text1"/>
                      <w:sz w:val="18"/>
                      <w:szCs w:val="18"/>
                      <w:vertAlign w:val="subscript"/>
                      <w14:textFill>
                        <w14:solidFill>
                          <w14:schemeClr w14:val="tx1"/>
                        </w14:solidFill>
                      </w14:textFill>
                    </w:rPr>
                    <w:t>5</w:t>
                  </w:r>
                  <w:r>
                    <w:rPr>
                      <w:rFonts w:cs="Times New Roman"/>
                      <w:color w:val="000000" w:themeColor="text1"/>
                      <w:sz w:val="18"/>
                      <w:szCs w:val="18"/>
                      <w14:textFill>
                        <w14:solidFill>
                          <w14:schemeClr w14:val="tx1"/>
                        </w14:solidFill>
                      </w14:textFill>
                    </w:rPr>
                    <w:t>、SS、NH</w:t>
                  </w:r>
                  <w:r>
                    <w:rPr>
                      <w:rFonts w:cs="Times New Roman"/>
                      <w:color w:val="000000" w:themeColor="text1"/>
                      <w:sz w:val="18"/>
                      <w:szCs w:val="18"/>
                      <w:vertAlign w:val="subscript"/>
                      <w14:textFill>
                        <w14:solidFill>
                          <w14:schemeClr w14:val="tx1"/>
                        </w14:solidFill>
                      </w14:textFill>
                    </w:rPr>
                    <w:t>3</w:t>
                  </w:r>
                  <w:r>
                    <w:rPr>
                      <w:rFonts w:cs="Times New Roman"/>
                      <w:color w:val="000000" w:themeColor="text1"/>
                      <w:sz w:val="18"/>
                      <w:szCs w:val="18"/>
                      <w14:textFill>
                        <w14:solidFill>
                          <w14:schemeClr w14:val="tx1"/>
                        </w14:solidFill>
                      </w14:textFill>
                    </w:rPr>
                    <w:t>-N</w:t>
                  </w:r>
                </w:p>
              </w:tc>
              <w:tc>
                <w:tcPr>
                  <w:tcW w:w="945" w:type="dxa"/>
                  <w:tcBorders>
                    <w:tl2br w:val="nil"/>
                    <w:tr2bl w:val="nil"/>
                  </w:tcBorders>
                  <w:vAlign w:val="center"/>
                </w:tcPr>
                <w:p w14:paraId="6FF9F7E4">
                  <w:pPr>
                    <w:pStyle w:val="11"/>
                    <w:spacing w:line="240" w:lineRule="auto"/>
                    <w:ind w:firstLine="0" w:firstLineChars="0"/>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经市政管网排入</w:t>
                  </w:r>
                  <w:r>
                    <w:rPr>
                      <w:rFonts w:hint="eastAsia" w:cs="Times New Roman"/>
                      <w:color w:val="000000" w:themeColor="text1"/>
                      <w:sz w:val="18"/>
                      <w:szCs w:val="18"/>
                      <w:lang w:eastAsia="zh-CN"/>
                      <w14:textFill>
                        <w14:solidFill>
                          <w14:schemeClr w14:val="tx1"/>
                        </w14:solidFill>
                      </w14:textFill>
                    </w:rPr>
                    <w:t>北京轻纺服装产业基地应急污水处理站</w:t>
                  </w:r>
                </w:p>
              </w:tc>
              <w:tc>
                <w:tcPr>
                  <w:tcW w:w="1080" w:type="dxa"/>
                  <w:tcBorders>
                    <w:tl2br w:val="nil"/>
                    <w:tr2bl w:val="nil"/>
                  </w:tcBorders>
                  <w:vAlign w:val="center"/>
                </w:tcPr>
                <w:p w14:paraId="1D654784">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间断排放，排放期间流量不稳定且无规律，但不属于冲击型排放</w:t>
                  </w:r>
                </w:p>
              </w:tc>
              <w:tc>
                <w:tcPr>
                  <w:tcW w:w="600" w:type="dxa"/>
                  <w:tcBorders>
                    <w:tl2br w:val="nil"/>
                    <w:tr2bl w:val="nil"/>
                  </w:tcBorders>
                  <w:vAlign w:val="center"/>
                </w:tcPr>
                <w:p w14:paraId="5F46CC5E">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630" w:type="dxa"/>
                  <w:tcBorders>
                    <w:tl2br w:val="nil"/>
                    <w:tr2bl w:val="nil"/>
                  </w:tcBorders>
                  <w:vAlign w:val="center"/>
                </w:tcPr>
                <w:p w14:paraId="6417B56D">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化粪池</w:t>
                  </w:r>
                </w:p>
              </w:tc>
              <w:tc>
                <w:tcPr>
                  <w:tcW w:w="585" w:type="dxa"/>
                  <w:tcBorders>
                    <w:tl2br w:val="nil"/>
                    <w:tr2bl w:val="nil"/>
                  </w:tcBorders>
                  <w:vAlign w:val="center"/>
                </w:tcPr>
                <w:p w14:paraId="13FE3E6C">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化粪池</w:t>
                  </w:r>
                </w:p>
              </w:tc>
              <w:tc>
                <w:tcPr>
                  <w:tcW w:w="540" w:type="dxa"/>
                  <w:tcBorders>
                    <w:tl2br w:val="nil"/>
                    <w:tr2bl w:val="nil"/>
                  </w:tcBorders>
                  <w:vAlign w:val="center"/>
                </w:tcPr>
                <w:p w14:paraId="1FAF2FD1">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DW</w:t>
                  </w:r>
                </w:p>
                <w:p w14:paraId="2318E1AE">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w:t>
                  </w:r>
                </w:p>
              </w:tc>
              <w:tc>
                <w:tcPr>
                  <w:tcW w:w="600" w:type="dxa"/>
                  <w:tcBorders>
                    <w:tl2br w:val="nil"/>
                    <w:tr2bl w:val="nil"/>
                  </w:tcBorders>
                  <w:vAlign w:val="center"/>
                </w:tcPr>
                <w:p w14:paraId="05E3F32D">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FE"/>
                  </w:r>
                  <w:r>
                    <w:rPr>
                      <w:rFonts w:cs="Times New Roman"/>
                      <w:color w:val="000000" w:themeColor="text1"/>
                      <w:sz w:val="18"/>
                      <w:szCs w:val="18"/>
                      <w14:textFill>
                        <w14:solidFill>
                          <w14:schemeClr w14:val="tx1"/>
                        </w14:solidFill>
                      </w14:textFill>
                    </w:rPr>
                    <w:t>是</w:t>
                  </w:r>
                </w:p>
                <w:p w14:paraId="4F3A2D5F">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A8"/>
                  </w:r>
                  <w:r>
                    <w:rPr>
                      <w:rFonts w:cs="Times New Roman"/>
                      <w:color w:val="000000" w:themeColor="text1"/>
                      <w:sz w:val="18"/>
                      <w:szCs w:val="18"/>
                      <w14:textFill>
                        <w14:solidFill>
                          <w14:schemeClr w14:val="tx1"/>
                        </w14:solidFill>
                      </w14:textFill>
                    </w:rPr>
                    <w:t>否</w:t>
                  </w:r>
                </w:p>
              </w:tc>
              <w:tc>
                <w:tcPr>
                  <w:tcW w:w="1292" w:type="dxa"/>
                  <w:tcBorders>
                    <w:tl2br w:val="nil"/>
                    <w:tr2bl w:val="nil"/>
                  </w:tcBorders>
                  <w:vAlign w:val="center"/>
                </w:tcPr>
                <w:p w14:paraId="369CF03B">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FE"/>
                  </w:r>
                  <w:r>
                    <w:rPr>
                      <w:rFonts w:cs="Times New Roman"/>
                      <w:color w:val="000000" w:themeColor="text1"/>
                      <w:sz w:val="18"/>
                      <w:szCs w:val="18"/>
                      <w14:textFill>
                        <w14:solidFill>
                          <w14:schemeClr w14:val="tx1"/>
                        </w14:solidFill>
                      </w14:textFill>
                    </w:rPr>
                    <w:t>企业总排口</w:t>
                  </w:r>
                </w:p>
                <w:p w14:paraId="5BAC313B">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A8"/>
                  </w:r>
                  <w:r>
                    <w:rPr>
                      <w:rFonts w:cs="Times New Roman"/>
                      <w:color w:val="000000" w:themeColor="text1"/>
                      <w:sz w:val="18"/>
                      <w:szCs w:val="18"/>
                      <w14:textFill>
                        <w14:solidFill>
                          <w14:schemeClr w14:val="tx1"/>
                        </w14:solidFill>
                      </w14:textFill>
                    </w:rPr>
                    <w:t>雨水排放口</w:t>
                  </w:r>
                </w:p>
                <w:p w14:paraId="75FD416E">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A8"/>
                  </w:r>
                  <w:r>
                    <w:rPr>
                      <w:rFonts w:cs="Times New Roman"/>
                      <w:color w:val="000000" w:themeColor="text1"/>
                      <w:sz w:val="18"/>
                      <w:szCs w:val="18"/>
                      <w14:textFill>
                        <w14:solidFill>
                          <w14:schemeClr w14:val="tx1"/>
                        </w14:solidFill>
                      </w14:textFill>
                    </w:rPr>
                    <w:t>清净下水排放口</w:t>
                  </w:r>
                </w:p>
                <w:p w14:paraId="6D1A8249">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A8"/>
                  </w:r>
                  <w:r>
                    <w:rPr>
                      <w:rFonts w:cs="Times New Roman"/>
                      <w:color w:val="000000" w:themeColor="text1"/>
                      <w:sz w:val="18"/>
                      <w:szCs w:val="18"/>
                      <w14:textFill>
                        <w14:solidFill>
                          <w14:schemeClr w14:val="tx1"/>
                        </w14:solidFill>
                      </w14:textFill>
                    </w:rPr>
                    <w:t>温排水排放口</w:t>
                  </w:r>
                </w:p>
                <w:p w14:paraId="115E5908">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sym w:font="Wingdings" w:char="00A8"/>
                  </w:r>
                  <w:r>
                    <w:rPr>
                      <w:rFonts w:cs="Times New Roman"/>
                      <w:color w:val="000000" w:themeColor="text1"/>
                      <w:sz w:val="18"/>
                      <w:szCs w:val="18"/>
                      <w14:textFill>
                        <w14:solidFill>
                          <w14:schemeClr w14:val="tx1"/>
                        </w14:solidFill>
                      </w14:textFill>
                    </w:rPr>
                    <w:t>车间或车间处理设施排放口</w:t>
                  </w:r>
                </w:p>
              </w:tc>
            </w:tr>
          </w:tbl>
          <w:p w14:paraId="37A86CD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废水间接排放口基本情况详见下表。</w:t>
            </w:r>
          </w:p>
          <w:p w14:paraId="600DE04F">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12</w:t>
            </w:r>
            <w:r>
              <w:rPr>
                <w:rFonts w:cs="Times New Roman"/>
                <w:color w:val="000000" w:themeColor="text1"/>
                <w14:textFill>
                  <w14:solidFill>
                    <w14:schemeClr w14:val="tx1"/>
                  </w14:solidFill>
                </w14:textFill>
              </w:rPr>
              <w:t xml:space="preserve"> 废水间接排放口基本情况表</w:t>
            </w:r>
          </w:p>
          <w:tbl>
            <w:tblPr>
              <w:tblStyle w:val="19"/>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01"/>
              <w:gridCol w:w="561"/>
              <w:gridCol w:w="923"/>
              <w:gridCol w:w="855"/>
              <w:gridCol w:w="660"/>
              <w:gridCol w:w="720"/>
              <w:gridCol w:w="645"/>
              <w:gridCol w:w="892"/>
              <w:gridCol w:w="584"/>
              <w:gridCol w:w="894"/>
              <w:gridCol w:w="885"/>
            </w:tblGrid>
            <w:tr w14:paraId="0741818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2" w:type="dxa"/>
                  <w:vMerge w:val="restart"/>
                  <w:tcBorders>
                    <w:tl2br w:val="nil"/>
                    <w:tr2bl w:val="nil"/>
                  </w:tcBorders>
                  <w:vAlign w:val="center"/>
                </w:tcPr>
                <w:p w14:paraId="594C1D0E">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序号</w:t>
                  </w:r>
                </w:p>
              </w:tc>
              <w:tc>
                <w:tcPr>
                  <w:tcW w:w="561" w:type="dxa"/>
                  <w:vMerge w:val="restart"/>
                  <w:tcBorders>
                    <w:tl2br w:val="nil"/>
                    <w:tr2bl w:val="nil"/>
                  </w:tcBorders>
                  <w:vAlign w:val="center"/>
                </w:tcPr>
                <w:p w14:paraId="1400D5AD">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排放口编号</w:t>
                  </w:r>
                </w:p>
              </w:tc>
              <w:tc>
                <w:tcPr>
                  <w:tcW w:w="1778" w:type="dxa"/>
                  <w:gridSpan w:val="2"/>
                  <w:tcBorders>
                    <w:tl2br w:val="nil"/>
                    <w:tr2bl w:val="nil"/>
                  </w:tcBorders>
                  <w:vAlign w:val="center"/>
                </w:tcPr>
                <w:p w14:paraId="6D98BB12">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排放口地理坐标</w:t>
                  </w:r>
                </w:p>
              </w:tc>
              <w:tc>
                <w:tcPr>
                  <w:tcW w:w="660" w:type="dxa"/>
                  <w:vMerge w:val="restart"/>
                  <w:tcBorders>
                    <w:tl2br w:val="nil"/>
                    <w:tr2bl w:val="nil"/>
                  </w:tcBorders>
                  <w:vAlign w:val="center"/>
                </w:tcPr>
                <w:p w14:paraId="4B3E3BA3">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排放口类型</w:t>
                  </w:r>
                </w:p>
              </w:tc>
              <w:tc>
                <w:tcPr>
                  <w:tcW w:w="720" w:type="dxa"/>
                  <w:vMerge w:val="restart"/>
                  <w:tcBorders>
                    <w:tl2br w:val="nil"/>
                    <w:tr2bl w:val="nil"/>
                  </w:tcBorders>
                  <w:vAlign w:val="center"/>
                </w:tcPr>
                <w:p w14:paraId="708741D1">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废水排放量t/a</w:t>
                  </w:r>
                </w:p>
              </w:tc>
              <w:tc>
                <w:tcPr>
                  <w:tcW w:w="645" w:type="dxa"/>
                  <w:vMerge w:val="restart"/>
                  <w:tcBorders>
                    <w:tl2br w:val="nil"/>
                    <w:tr2bl w:val="nil"/>
                  </w:tcBorders>
                  <w:vAlign w:val="center"/>
                </w:tcPr>
                <w:p w14:paraId="351F9E6C">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排放去向</w:t>
                  </w:r>
                </w:p>
              </w:tc>
              <w:tc>
                <w:tcPr>
                  <w:tcW w:w="892" w:type="dxa"/>
                  <w:vMerge w:val="restart"/>
                  <w:tcBorders>
                    <w:tl2br w:val="nil"/>
                    <w:tr2bl w:val="nil"/>
                  </w:tcBorders>
                  <w:vAlign w:val="center"/>
                </w:tcPr>
                <w:p w14:paraId="3A62265E">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排放规律</w:t>
                  </w:r>
                </w:p>
              </w:tc>
              <w:tc>
                <w:tcPr>
                  <w:tcW w:w="2363" w:type="dxa"/>
                  <w:gridSpan w:val="3"/>
                  <w:tcBorders>
                    <w:tl2br w:val="nil"/>
                    <w:tr2bl w:val="nil"/>
                  </w:tcBorders>
                  <w:vAlign w:val="center"/>
                </w:tcPr>
                <w:p w14:paraId="7A9B3028">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受纳污水处理厂信息</w:t>
                  </w:r>
                </w:p>
              </w:tc>
            </w:tr>
            <w:tr w14:paraId="1E6B6DC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2" w:type="dxa"/>
                  <w:vMerge w:val="continue"/>
                  <w:tcBorders>
                    <w:tl2br w:val="nil"/>
                    <w:tr2bl w:val="nil"/>
                  </w:tcBorders>
                  <w:vAlign w:val="center"/>
                </w:tcPr>
                <w:p w14:paraId="79325CB8">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561" w:type="dxa"/>
                  <w:vMerge w:val="continue"/>
                  <w:tcBorders>
                    <w:tl2br w:val="nil"/>
                    <w:tr2bl w:val="nil"/>
                  </w:tcBorders>
                  <w:vAlign w:val="center"/>
                </w:tcPr>
                <w:p w14:paraId="736325A4">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923" w:type="dxa"/>
                  <w:tcBorders>
                    <w:tl2br w:val="nil"/>
                    <w:tr2bl w:val="nil"/>
                  </w:tcBorders>
                  <w:vAlign w:val="center"/>
                </w:tcPr>
                <w:p w14:paraId="602A2F03">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经度</w:t>
                  </w:r>
                </w:p>
              </w:tc>
              <w:tc>
                <w:tcPr>
                  <w:tcW w:w="855" w:type="dxa"/>
                  <w:tcBorders>
                    <w:tl2br w:val="nil"/>
                    <w:tr2bl w:val="nil"/>
                  </w:tcBorders>
                  <w:vAlign w:val="center"/>
                </w:tcPr>
                <w:p w14:paraId="5F5D6E3A">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纬度</w:t>
                  </w:r>
                </w:p>
              </w:tc>
              <w:tc>
                <w:tcPr>
                  <w:tcW w:w="660" w:type="dxa"/>
                  <w:vMerge w:val="continue"/>
                  <w:tcBorders>
                    <w:tl2br w:val="nil"/>
                    <w:tr2bl w:val="nil"/>
                  </w:tcBorders>
                  <w:vAlign w:val="center"/>
                </w:tcPr>
                <w:p w14:paraId="1FFB16AD">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720" w:type="dxa"/>
                  <w:vMerge w:val="continue"/>
                  <w:tcBorders>
                    <w:tl2br w:val="nil"/>
                    <w:tr2bl w:val="nil"/>
                  </w:tcBorders>
                  <w:vAlign w:val="center"/>
                </w:tcPr>
                <w:p w14:paraId="332499CF">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645" w:type="dxa"/>
                  <w:vMerge w:val="continue"/>
                  <w:tcBorders>
                    <w:tl2br w:val="nil"/>
                    <w:tr2bl w:val="nil"/>
                  </w:tcBorders>
                  <w:vAlign w:val="center"/>
                </w:tcPr>
                <w:p w14:paraId="61F4A340">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892" w:type="dxa"/>
                  <w:vMerge w:val="continue"/>
                  <w:tcBorders>
                    <w:tl2br w:val="nil"/>
                    <w:tr2bl w:val="nil"/>
                  </w:tcBorders>
                  <w:vAlign w:val="center"/>
                </w:tcPr>
                <w:p w14:paraId="70EA8F09">
                  <w:pPr>
                    <w:pStyle w:val="11"/>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584" w:type="dxa"/>
                  <w:tcBorders>
                    <w:tl2br w:val="nil"/>
                    <w:tr2bl w:val="nil"/>
                  </w:tcBorders>
                  <w:vAlign w:val="center"/>
                </w:tcPr>
                <w:p w14:paraId="2886F191">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名称</w:t>
                  </w:r>
                </w:p>
              </w:tc>
              <w:tc>
                <w:tcPr>
                  <w:tcW w:w="894" w:type="dxa"/>
                  <w:tcBorders>
                    <w:tl2br w:val="nil"/>
                    <w:tr2bl w:val="nil"/>
                  </w:tcBorders>
                  <w:vAlign w:val="center"/>
                </w:tcPr>
                <w:p w14:paraId="129EA13C">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污染物种类</w:t>
                  </w:r>
                </w:p>
              </w:tc>
              <w:tc>
                <w:tcPr>
                  <w:tcW w:w="885" w:type="dxa"/>
                  <w:tcBorders>
                    <w:tl2br w:val="nil"/>
                    <w:tr2bl w:val="nil"/>
                  </w:tcBorders>
                  <w:vAlign w:val="center"/>
                </w:tcPr>
                <w:p w14:paraId="3EC05DDA">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国家或地方污染物排放标准浓度限值/（mg/L）</w:t>
                  </w:r>
                </w:p>
              </w:tc>
            </w:tr>
            <w:tr w14:paraId="29992D6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2" w:type="dxa"/>
                  <w:tcBorders>
                    <w:tl2br w:val="nil"/>
                    <w:tr2bl w:val="nil"/>
                  </w:tcBorders>
                  <w:vAlign w:val="center"/>
                </w:tcPr>
                <w:p w14:paraId="16A1EE07">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p>
              </w:tc>
              <w:tc>
                <w:tcPr>
                  <w:tcW w:w="561" w:type="dxa"/>
                  <w:tcBorders>
                    <w:tl2br w:val="nil"/>
                    <w:tr2bl w:val="nil"/>
                  </w:tcBorders>
                  <w:vAlign w:val="center"/>
                </w:tcPr>
                <w:p w14:paraId="60E50119">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DW001</w:t>
                  </w:r>
                </w:p>
              </w:tc>
              <w:tc>
                <w:tcPr>
                  <w:tcW w:w="923" w:type="dxa"/>
                  <w:tcBorders>
                    <w:tl2br w:val="nil"/>
                    <w:tr2bl w:val="nil"/>
                  </w:tcBorders>
                  <w:vAlign w:val="center"/>
                </w:tcPr>
                <w:p w14:paraId="0F3AB078">
                  <w:pPr>
                    <w:pStyle w:val="11"/>
                    <w:spacing w:line="240" w:lineRule="auto"/>
                    <w:ind w:firstLine="0" w:firstLineChars="0"/>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116.</w:t>
                  </w:r>
                  <w:r>
                    <w:rPr>
                      <w:rFonts w:hint="eastAsia" w:cs="Times New Roman"/>
                      <w:color w:val="000000" w:themeColor="text1"/>
                      <w:sz w:val="18"/>
                      <w:szCs w:val="18"/>
                      <w:lang w:val="en-US" w:eastAsia="zh-CN"/>
                      <w14:textFill>
                        <w14:solidFill>
                          <w14:schemeClr w14:val="tx1"/>
                        </w14:solidFill>
                      </w14:textFill>
                    </w:rPr>
                    <w:t>423216</w:t>
                  </w:r>
                </w:p>
              </w:tc>
              <w:tc>
                <w:tcPr>
                  <w:tcW w:w="855" w:type="dxa"/>
                  <w:tcBorders>
                    <w:tl2br w:val="nil"/>
                    <w:tr2bl w:val="nil"/>
                  </w:tcBorders>
                  <w:vAlign w:val="center"/>
                </w:tcPr>
                <w:p w14:paraId="083C2307">
                  <w:pPr>
                    <w:pStyle w:val="11"/>
                    <w:spacing w:line="240" w:lineRule="auto"/>
                    <w:ind w:firstLine="0" w:firstLineChars="0"/>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39.</w:t>
                  </w:r>
                  <w:r>
                    <w:rPr>
                      <w:rFonts w:hint="eastAsia" w:cs="Times New Roman"/>
                      <w:color w:val="000000" w:themeColor="text1"/>
                      <w:sz w:val="18"/>
                      <w:szCs w:val="18"/>
                      <w:lang w:val="en-US" w:eastAsia="zh-CN"/>
                      <w14:textFill>
                        <w14:solidFill>
                          <w14:schemeClr w14:val="tx1"/>
                        </w14:solidFill>
                      </w14:textFill>
                    </w:rPr>
                    <w:t>735331</w:t>
                  </w:r>
                </w:p>
              </w:tc>
              <w:tc>
                <w:tcPr>
                  <w:tcW w:w="660" w:type="dxa"/>
                  <w:tcBorders>
                    <w:tl2br w:val="nil"/>
                    <w:tr2bl w:val="nil"/>
                  </w:tcBorders>
                  <w:vAlign w:val="center"/>
                </w:tcPr>
                <w:p w14:paraId="5C1DCEED">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一般排放口</w:t>
                  </w:r>
                </w:p>
              </w:tc>
              <w:tc>
                <w:tcPr>
                  <w:tcW w:w="720" w:type="dxa"/>
                  <w:tcBorders>
                    <w:tl2br w:val="nil"/>
                    <w:tr2bl w:val="nil"/>
                  </w:tcBorders>
                  <w:vAlign w:val="center"/>
                </w:tcPr>
                <w:p w14:paraId="142E728F">
                  <w:pPr>
                    <w:pStyle w:val="11"/>
                    <w:spacing w:line="240" w:lineRule="auto"/>
                    <w:ind w:firstLine="0" w:firstLineChars="0"/>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686.25</w:t>
                  </w:r>
                </w:p>
              </w:tc>
              <w:tc>
                <w:tcPr>
                  <w:tcW w:w="645" w:type="dxa"/>
                  <w:tcBorders>
                    <w:tl2br w:val="nil"/>
                    <w:tr2bl w:val="nil"/>
                  </w:tcBorders>
                  <w:vAlign w:val="center"/>
                </w:tcPr>
                <w:p w14:paraId="343B2565">
                  <w:pPr>
                    <w:pStyle w:val="11"/>
                    <w:spacing w:line="240" w:lineRule="auto"/>
                    <w:ind w:firstLine="0" w:firstLineChars="0"/>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北京轻纺服装产业基地应急污水处理站</w:t>
                  </w:r>
                </w:p>
              </w:tc>
              <w:tc>
                <w:tcPr>
                  <w:tcW w:w="892" w:type="dxa"/>
                  <w:tcBorders>
                    <w:tl2br w:val="nil"/>
                    <w:tr2bl w:val="nil"/>
                  </w:tcBorders>
                  <w:vAlign w:val="center"/>
                </w:tcPr>
                <w:p w14:paraId="24CFB96A">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间断排放，排放期间流量不稳定且无规律，但不属于冲击型排放</w:t>
                  </w:r>
                </w:p>
              </w:tc>
              <w:tc>
                <w:tcPr>
                  <w:tcW w:w="584" w:type="dxa"/>
                  <w:tcBorders>
                    <w:tl2br w:val="nil"/>
                    <w:tr2bl w:val="nil"/>
                  </w:tcBorders>
                  <w:vAlign w:val="center"/>
                </w:tcPr>
                <w:p w14:paraId="4690D906">
                  <w:pPr>
                    <w:pStyle w:val="11"/>
                    <w:spacing w:line="240" w:lineRule="auto"/>
                    <w:ind w:firstLine="0" w:firstLineChars="0"/>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北京轻纺服装产业基地应急污水处理站</w:t>
                  </w:r>
                </w:p>
              </w:tc>
              <w:tc>
                <w:tcPr>
                  <w:tcW w:w="894" w:type="dxa"/>
                  <w:tcBorders>
                    <w:tl2br w:val="nil"/>
                    <w:tr2bl w:val="nil"/>
                  </w:tcBorders>
                  <w:vAlign w:val="center"/>
                </w:tcPr>
                <w:p w14:paraId="3A609F77">
                  <w:pPr>
                    <w:pStyle w:val="11"/>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pH、CODcr、BOD</w:t>
                  </w:r>
                  <w:r>
                    <w:rPr>
                      <w:rFonts w:cs="Times New Roman"/>
                      <w:color w:val="000000" w:themeColor="text1"/>
                      <w:sz w:val="18"/>
                      <w:szCs w:val="18"/>
                      <w:vertAlign w:val="subscript"/>
                      <w14:textFill>
                        <w14:solidFill>
                          <w14:schemeClr w14:val="tx1"/>
                        </w14:solidFill>
                      </w14:textFill>
                    </w:rPr>
                    <w:t>5</w:t>
                  </w:r>
                  <w:r>
                    <w:rPr>
                      <w:rFonts w:cs="Times New Roman"/>
                      <w:color w:val="000000" w:themeColor="text1"/>
                      <w:sz w:val="18"/>
                      <w:szCs w:val="18"/>
                      <w14:textFill>
                        <w14:solidFill>
                          <w14:schemeClr w14:val="tx1"/>
                        </w14:solidFill>
                      </w14:textFill>
                    </w:rPr>
                    <w:t>、SS、NH</w:t>
                  </w:r>
                  <w:r>
                    <w:rPr>
                      <w:rFonts w:cs="Times New Roman"/>
                      <w:color w:val="000000" w:themeColor="text1"/>
                      <w:sz w:val="18"/>
                      <w:szCs w:val="18"/>
                      <w:vertAlign w:val="subscript"/>
                      <w14:textFill>
                        <w14:solidFill>
                          <w14:schemeClr w14:val="tx1"/>
                        </w14:solidFill>
                      </w14:textFill>
                    </w:rPr>
                    <w:t>3</w:t>
                  </w:r>
                  <w:r>
                    <w:rPr>
                      <w:rFonts w:cs="Times New Roman"/>
                      <w:color w:val="000000" w:themeColor="text1"/>
                      <w:sz w:val="18"/>
                      <w:szCs w:val="18"/>
                      <w14:textFill>
                        <w14:solidFill>
                          <w14:schemeClr w14:val="tx1"/>
                        </w14:solidFill>
                      </w14:textFill>
                    </w:rPr>
                    <w:t>-N</w:t>
                  </w:r>
                </w:p>
              </w:tc>
              <w:tc>
                <w:tcPr>
                  <w:tcW w:w="885" w:type="dxa"/>
                  <w:tcBorders>
                    <w:tl2br w:val="nil"/>
                    <w:tr2bl w:val="nil"/>
                  </w:tcBorders>
                  <w:vAlign w:val="center"/>
                </w:tcPr>
                <w:p w14:paraId="425A4EED">
                  <w:pPr>
                    <w:pStyle w:val="11"/>
                    <w:spacing w:line="240" w:lineRule="auto"/>
                    <w:ind w:firstLine="0" w:firstLineChars="0"/>
                    <w:rPr>
                      <w:rFonts w:hint="eastAsia"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pH：6-9</w:t>
                  </w:r>
                  <w:r>
                    <w:rPr>
                      <w:rFonts w:hint="eastAsia" w:cs="Times New Roman"/>
                      <w:color w:val="000000" w:themeColor="text1"/>
                      <w:sz w:val="18"/>
                      <w:szCs w:val="18"/>
                      <w:lang w:val="en-US" w:eastAsia="zh-CN"/>
                      <w14:textFill>
                        <w14:solidFill>
                          <w14:schemeClr w14:val="tx1"/>
                        </w14:solidFill>
                      </w14:textFill>
                    </w:rPr>
                    <w:t>无量纲</w:t>
                  </w:r>
                </w:p>
                <w:p w14:paraId="22CA8D18">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COD：30</w:t>
                  </w:r>
                </w:p>
                <w:p w14:paraId="537059AD">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BOD</w:t>
                  </w:r>
                  <w:r>
                    <w:rPr>
                      <w:rFonts w:cs="Times New Roman"/>
                      <w:color w:val="000000" w:themeColor="text1"/>
                      <w:sz w:val="18"/>
                      <w:szCs w:val="18"/>
                      <w:vertAlign w:val="subscript"/>
                      <w14:textFill>
                        <w14:solidFill>
                          <w14:schemeClr w14:val="tx1"/>
                        </w14:solidFill>
                      </w14:textFill>
                    </w:rPr>
                    <w:t>5</w:t>
                  </w:r>
                  <w:r>
                    <w:rPr>
                      <w:rFonts w:cs="Times New Roman"/>
                      <w:color w:val="000000" w:themeColor="text1"/>
                      <w:sz w:val="18"/>
                      <w:szCs w:val="18"/>
                      <w14:textFill>
                        <w14:solidFill>
                          <w14:schemeClr w14:val="tx1"/>
                        </w14:solidFill>
                      </w14:textFill>
                    </w:rPr>
                    <w:t>：6</w:t>
                  </w:r>
                </w:p>
                <w:p w14:paraId="582366F3">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SS：5</w:t>
                  </w:r>
                </w:p>
                <w:p w14:paraId="358C5F06">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氨氮：1.5（2.5）</w:t>
                  </w:r>
                </w:p>
              </w:tc>
            </w:tr>
            <w:tr w14:paraId="43EDE18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021" w:type="dxa"/>
                  <w:gridSpan w:val="11"/>
                  <w:tcBorders>
                    <w:tl2br w:val="nil"/>
                    <w:tr2bl w:val="nil"/>
                  </w:tcBorders>
                  <w:vAlign w:val="center"/>
                </w:tcPr>
                <w:p w14:paraId="6D30D096">
                  <w:pPr>
                    <w:pStyle w:val="11"/>
                    <w:spacing w:line="240" w:lineRule="auto"/>
                    <w:ind w:firstLine="0" w:firstLineChars="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备注：</w:t>
                  </w:r>
                </w:p>
                <w:p w14:paraId="28F1C6DF">
                  <w:pPr>
                    <w:pStyle w:val="11"/>
                    <w:spacing w:line="240" w:lineRule="auto"/>
                    <w:ind w:firstLine="0" w:firstLineChars="0"/>
                    <w:rPr>
                      <w:rFonts w:hint="eastAsia"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①本项目生活废水先排入云狐产业园化粪池，经化粪池处理后经污水管网排入</w:t>
                  </w:r>
                  <w:r>
                    <w:rPr>
                      <w:rFonts w:hint="eastAsia" w:cs="Times New Roman"/>
                      <w:color w:val="000000" w:themeColor="text1"/>
                      <w:sz w:val="18"/>
                      <w:szCs w:val="18"/>
                      <w:lang w:eastAsia="zh-CN"/>
                      <w14:textFill>
                        <w14:solidFill>
                          <w14:schemeClr w14:val="tx1"/>
                        </w14:solidFill>
                      </w14:textFill>
                    </w:rPr>
                    <w:t>北京轻纺服装产业基地应急污水处理站</w:t>
                  </w:r>
                  <w:r>
                    <w:rPr>
                      <w:rFonts w:hint="eastAsia" w:cs="Times New Roman"/>
                      <w:color w:val="000000" w:themeColor="text1"/>
                      <w:sz w:val="18"/>
                      <w:szCs w:val="18"/>
                      <w14:textFill>
                        <w14:solidFill>
                          <w14:schemeClr w14:val="tx1"/>
                        </w14:solidFill>
                      </w14:textFill>
                    </w:rPr>
                    <w:t>；DW001排放口是与云狐产业园其他企业废水的混合排放口，同时也是云狐产业园废水总排放口。</w:t>
                  </w:r>
                </w:p>
                <w:p w14:paraId="3CBA0950">
                  <w:pPr>
                    <w:pStyle w:val="11"/>
                    <w:spacing w:line="240" w:lineRule="auto"/>
                    <w:ind w:firstLine="0" w:firstLineChars="0"/>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②氨氮每年12月1日至次年3月31日执行括号内的排放限值。</w:t>
                  </w:r>
                </w:p>
              </w:tc>
            </w:tr>
          </w:tbl>
          <w:p w14:paraId="028C72D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（5）废水自行监测要求</w:t>
            </w:r>
          </w:p>
          <w:p w14:paraId="659CCC8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根据《排污单位自行监测技术指南 总则》（HJ819-2017）相关规定，营运期污染物排放监测要求如下。</w:t>
            </w:r>
          </w:p>
          <w:p w14:paraId="0C0C7CF3">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13</w:t>
            </w:r>
            <w:r>
              <w:rPr>
                <w:rFonts w:cs="Times New Roman"/>
                <w:color w:val="000000" w:themeColor="text1"/>
                <w14:textFill>
                  <w14:solidFill>
                    <w14:schemeClr w14:val="tx1"/>
                  </w14:solidFill>
                </w14:textFill>
              </w:rPr>
              <w:t xml:space="preserve"> 本项目废水监测一览表</w:t>
            </w:r>
          </w:p>
          <w:tbl>
            <w:tblPr>
              <w:tblStyle w:val="19"/>
              <w:tblW w:w="80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898"/>
              <w:gridCol w:w="1147"/>
              <w:gridCol w:w="1275"/>
              <w:gridCol w:w="2393"/>
            </w:tblGrid>
            <w:tr w14:paraId="44D5DA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tcBorders>
                    <w:tl2br w:val="nil"/>
                    <w:tr2bl w:val="nil"/>
                  </w:tcBorders>
                  <w:vAlign w:val="center"/>
                </w:tcPr>
                <w:p w14:paraId="1023CC63">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监测点位</w:t>
                  </w:r>
                </w:p>
              </w:tc>
              <w:tc>
                <w:tcPr>
                  <w:tcW w:w="1898" w:type="dxa"/>
                  <w:tcBorders>
                    <w:tl2br w:val="nil"/>
                    <w:tr2bl w:val="nil"/>
                  </w:tcBorders>
                  <w:vAlign w:val="center"/>
                </w:tcPr>
                <w:p w14:paraId="0BEEADE1">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监测因子</w:t>
                  </w:r>
                </w:p>
              </w:tc>
              <w:tc>
                <w:tcPr>
                  <w:tcW w:w="1147" w:type="dxa"/>
                  <w:tcBorders>
                    <w:tl2br w:val="nil"/>
                    <w:tr2bl w:val="nil"/>
                  </w:tcBorders>
                  <w:vAlign w:val="center"/>
                </w:tcPr>
                <w:p w14:paraId="686B7274">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监测频率</w:t>
                  </w:r>
                </w:p>
              </w:tc>
              <w:tc>
                <w:tcPr>
                  <w:tcW w:w="1275" w:type="dxa"/>
                  <w:tcBorders>
                    <w:tl2br w:val="nil"/>
                    <w:tr2bl w:val="nil"/>
                  </w:tcBorders>
                  <w:vAlign w:val="center"/>
                </w:tcPr>
                <w:p w14:paraId="0CFFF8E3">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监测方式</w:t>
                  </w:r>
                </w:p>
              </w:tc>
              <w:tc>
                <w:tcPr>
                  <w:tcW w:w="2393" w:type="dxa"/>
                  <w:tcBorders>
                    <w:tl2br w:val="nil"/>
                    <w:tr2bl w:val="nil"/>
                  </w:tcBorders>
                  <w:vAlign w:val="center"/>
                </w:tcPr>
                <w:p w14:paraId="54B39BC7">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执行标准</w:t>
                  </w:r>
                </w:p>
              </w:tc>
            </w:tr>
            <w:tr w14:paraId="0C7F7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tcBorders>
                    <w:tl2br w:val="nil"/>
                    <w:tr2bl w:val="nil"/>
                  </w:tcBorders>
                  <w:vAlign w:val="center"/>
                </w:tcPr>
                <w:p w14:paraId="50AB4373">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废水总排口</w:t>
                  </w:r>
                </w:p>
                <w:p w14:paraId="17E56EFF">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DW001</w:t>
                  </w:r>
                </w:p>
              </w:tc>
              <w:tc>
                <w:tcPr>
                  <w:tcW w:w="1898" w:type="dxa"/>
                  <w:tcBorders>
                    <w:tl2br w:val="nil"/>
                    <w:tr2bl w:val="nil"/>
                  </w:tcBorders>
                  <w:vAlign w:val="center"/>
                </w:tcPr>
                <w:p w14:paraId="0BAA18C7">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pH值、CODcr、氨氮、BOD</w:t>
                  </w:r>
                  <w:r>
                    <w:rPr>
                      <w:rFonts w:cs="Times New Roman"/>
                      <w:color w:val="000000" w:themeColor="text1"/>
                      <w:sz w:val="21"/>
                      <w:szCs w:val="21"/>
                      <w:vertAlign w:val="subscript"/>
                      <w14:textFill>
                        <w14:solidFill>
                          <w14:schemeClr w14:val="tx1"/>
                        </w14:solidFill>
                      </w14:textFill>
                    </w:rPr>
                    <w:t>5</w:t>
                  </w:r>
                  <w:r>
                    <w:rPr>
                      <w:rFonts w:cs="Times New Roman"/>
                      <w:color w:val="000000" w:themeColor="text1"/>
                      <w:sz w:val="21"/>
                      <w:szCs w:val="21"/>
                      <w14:textFill>
                        <w14:solidFill>
                          <w14:schemeClr w14:val="tx1"/>
                        </w14:solidFill>
                      </w14:textFill>
                    </w:rPr>
                    <w:t>、SS</w:t>
                  </w:r>
                </w:p>
              </w:tc>
              <w:tc>
                <w:tcPr>
                  <w:tcW w:w="1147" w:type="dxa"/>
                  <w:tcBorders>
                    <w:tl2br w:val="nil"/>
                    <w:tr2bl w:val="nil"/>
                  </w:tcBorders>
                  <w:vAlign w:val="center"/>
                </w:tcPr>
                <w:p w14:paraId="77CF772B">
                  <w:pPr>
                    <w:adjustRightInd w:val="0"/>
                    <w:snapToGrid w:val="0"/>
                    <w:spacing w:line="240" w:lineRule="auto"/>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次/</w:t>
                  </w:r>
                  <w:r>
                    <w:rPr>
                      <w:rFonts w:hint="eastAsia" w:cs="Times New Roman"/>
                      <w:color w:val="000000" w:themeColor="text1"/>
                      <w:sz w:val="21"/>
                      <w:szCs w:val="21"/>
                      <w:lang w:val="en-US" w:eastAsia="zh-CN"/>
                      <w14:textFill>
                        <w14:solidFill>
                          <w14:schemeClr w14:val="tx1"/>
                        </w14:solidFill>
                      </w14:textFill>
                    </w:rPr>
                    <w:t>年</w:t>
                  </w:r>
                </w:p>
              </w:tc>
              <w:tc>
                <w:tcPr>
                  <w:tcW w:w="1275" w:type="dxa"/>
                  <w:tcBorders>
                    <w:tl2br w:val="nil"/>
                    <w:tr2bl w:val="nil"/>
                  </w:tcBorders>
                  <w:vAlign w:val="center"/>
                </w:tcPr>
                <w:p w14:paraId="025780C3">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手工监测</w:t>
                  </w:r>
                </w:p>
              </w:tc>
              <w:tc>
                <w:tcPr>
                  <w:tcW w:w="2393" w:type="dxa"/>
                  <w:tcBorders>
                    <w:tl2br w:val="nil"/>
                    <w:tr2bl w:val="nil"/>
                  </w:tcBorders>
                  <w:vAlign w:val="center"/>
                </w:tcPr>
                <w:p w14:paraId="67A42F3D">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北京市地方标准《水污染物综合排放标准》（DB11/307-2013）中表3</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排入公共污水处理系统的水污染物排放限值</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的要求</w:t>
                  </w:r>
                </w:p>
              </w:tc>
            </w:tr>
          </w:tbl>
          <w:p w14:paraId="76528DA6">
            <w:pPr>
              <w:adjustRightInd w:val="0"/>
              <w:snapToGrid w:val="0"/>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3、声环境影响分析</w:t>
            </w:r>
          </w:p>
          <w:p w14:paraId="24D43D2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（1）噪声源源强及治理措施</w:t>
            </w:r>
          </w:p>
          <w:p w14:paraId="317E4D5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本项目噪声源主要为</w:t>
            </w:r>
            <w:r>
              <w:rPr>
                <w:rFonts w:hint="eastAsia" w:cs="Times New Roman"/>
                <w:color w:val="000000" w:themeColor="text1"/>
                <w:lang w:val="en-US" w:eastAsia="zh-CN"/>
                <w14:textFill>
                  <w14:solidFill>
                    <w14:schemeClr w14:val="tx1"/>
                  </w14:solidFill>
                </w14:textFill>
              </w:rPr>
              <w:t>门窗物理性能检测设备、</w:t>
            </w:r>
            <w:r>
              <w:rPr>
                <w:rFonts w:cs="Times New Roman"/>
                <w:color w:val="000000" w:themeColor="text1"/>
                <w14:textFill>
                  <w14:solidFill>
                    <w14:schemeClr w14:val="tx1"/>
                  </w14:solidFill>
                </w14:textFill>
              </w:rPr>
              <w:t>废气治理设施风机</w:t>
            </w:r>
            <w:r>
              <w:rPr>
                <w:rFonts w:hint="eastAsia" w:cs="Times New Roman"/>
                <w:color w:val="000000" w:themeColor="text1"/>
                <w:lang w:val="en-US" w:eastAsia="zh-CN"/>
                <w14:textFill>
                  <w14:solidFill>
                    <w14:schemeClr w14:val="tx1"/>
                  </w14:solidFill>
                </w14:textFill>
              </w:rPr>
              <w:t>等</w:t>
            </w:r>
            <w:r>
              <w:rPr>
                <w:rFonts w:hint="eastAsia" w:cs="Times New Roman"/>
                <w:color w:val="000000" w:themeColor="text1"/>
                <w14:textFill>
                  <w14:solidFill>
                    <w14:schemeClr w14:val="tx1"/>
                  </w14:solidFill>
                </w14:textFill>
              </w:rPr>
              <w:t>噪声</w:t>
            </w:r>
            <w:r>
              <w:rPr>
                <w:rFonts w:cs="Times New Roman"/>
                <w:color w:val="000000" w:themeColor="text1"/>
                <w14:textFill>
                  <w14:solidFill>
                    <w14:schemeClr w14:val="tx1"/>
                  </w14:solidFill>
                </w14:textFill>
              </w:rPr>
              <w:t>，全部噪声源位于室内。噪声源情况见下表。</w:t>
            </w:r>
          </w:p>
          <w:p w14:paraId="56DA273E">
            <w:pPr>
              <w:widowControl/>
              <w:ind w:firstLine="1476" w:firstLineChars="700"/>
              <w:jc w:val="left"/>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14</w:t>
            </w:r>
            <w:r>
              <w:rPr>
                <w:rFonts w:cs="Times New Roman"/>
                <w:b/>
                <w:bCs/>
                <w:color w:val="000000" w:themeColor="text1"/>
                <w:sz w:val="21"/>
                <w:szCs w:val="21"/>
                <w14:textFill>
                  <w14:solidFill>
                    <w14:schemeClr w14:val="tx1"/>
                  </w14:solidFill>
                </w14:textFill>
              </w:rPr>
              <w:t xml:space="preserve"> 本项目工业企业噪声源强调查清单（室内声源）</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476"/>
              <w:gridCol w:w="720"/>
              <w:gridCol w:w="690"/>
              <w:gridCol w:w="645"/>
              <w:gridCol w:w="645"/>
              <w:gridCol w:w="645"/>
              <w:gridCol w:w="645"/>
              <w:gridCol w:w="630"/>
              <w:gridCol w:w="765"/>
              <w:gridCol w:w="615"/>
            </w:tblGrid>
            <w:tr w14:paraId="33B4A7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vMerge w:val="restart"/>
                  <w:tcBorders>
                    <w:tl2br w:val="nil"/>
                    <w:tr2bl w:val="nil"/>
                  </w:tcBorders>
                  <w:vAlign w:val="center"/>
                </w:tcPr>
                <w:p w14:paraId="001D62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序号</w:t>
                  </w:r>
                </w:p>
              </w:tc>
              <w:tc>
                <w:tcPr>
                  <w:tcW w:w="1476" w:type="dxa"/>
                  <w:vMerge w:val="restart"/>
                  <w:tcBorders>
                    <w:tl2br w:val="nil"/>
                    <w:tr2bl w:val="nil"/>
                  </w:tcBorders>
                  <w:vAlign w:val="center"/>
                </w:tcPr>
                <w:p w14:paraId="21FBEA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声源</w:t>
                  </w:r>
                </w:p>
                <w:p w14:paraId="467280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名称</w:t>
                  </w:r>
                </w:p>
              </w:tc>
              <w:tc>
                <w:tcPr>
                  <w:tcW w:w="720" w:type="dxa"/>
                  <w:vMerge w:val="restart"/>
                  <w:tcBorders>
                    <w:tl2br w:val="nil"/>
                    <w:tr2bl w:val="nil"/>
                  </w:tcBorders>
                  <w:vAlign w:val="center"/>
                </w:tcPr>
                <w:p w14:paraId="442BCF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数量</w:t>
                  </w:r>
                </w:p>
                <w:p w14:paraId="5F0D90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（台）</w:t>
                  </w:r>
                </w:p>
              </w:tc>
              <w:tc>
                <w:tcPr>
                  <w:tcW w:w="690" w:type="dxa"/>
                  <w:vMerge w:val="restart"/>
                  <w:tcBorders>
                    <w:tl2br w:val="nil"/>
                    <w:tr2bl w:val="nil"/>
                  </w:tcBorders>
                  <w:vAlign w:val="center"/>
                </w:tcPr>
                <w:p w14:paraId="279D93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源强dB(A)</w:t>
                  </w:r>
                </w:p>
              </w:tc>
              <w:tc>
                <w:tcPr>
                  <w:tcW w:w="2580" w:type="dxa"/>
                  <w:gridSpan w:val="4"/>
                  <w:tcBorders>
                    <w:tl2br w:val="nil"/>
                    <w:tr2bl w:val="nil"/>
                  </w:tcBorders>
                  <w:vAlign w:val="center"/>
                </w:tcPr>
                <w:p w14:paraId="2DA9A6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距室内边界距离m</w:t>
                  </w:r>
                </w:p>
              </w:tc>
              <w:tc>
                <w:tcPr>
                  <w:tcW w:w="630" w:type="dxa"/>
                  <w:vMerge w:val="restart"/>
                  <w:tcBorders>
                    <w:tl2br w:val="nil"/>
                    <w:tr2bl w:val="nil"/>
                  </w:tcBorders>
                  <w:vAlign w:val="center"/>
                </w:tcPr>
                <w:p w14:paraId="7E1DD8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治理</w:t>
                  </w:r>
                </w:p>
                <w:p w14:paraId="6239BB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措施</w:t>
                  </w:r>
                </w:p>
              </w:tc>
              <w:tc>
                <w:tcPr>
                  <w:tcW w:w="765" w:type="dxa"/>
                  <w:vMerge w:val="restart"/>
                  <w:tcBorders>
                    <w:tl2br w:val="nil"/>
                    <w:tr2bl w:val="nil"/>
                  </w:tcBorders>
                  <w:vAlign w:val="center"/>
                </w:tcPr>
                <w:p w14:paraId="70CB0D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
                      <w:bCs/>
                      <w:color w:val="000000" w:themeColor="text1"/>
                      <w:sz w:val="18"/>
                      <w:szCs w:val="18"/>
                      <w:lang w:val="en-US" w:eastAsia="zh-CN"/>
                      <w14:textFill>
                        <w14:solidFill>
                          <w14:schemeClr w14:val="tx1"/>
                        </w14:solidFill>
                      </w14:textFill>
                    </w:rPr>
                  </w:pPr>
                  <w:r>
                    <w:rPr>
                      <w:rFonts w:hint="eastAsia" w:cs="Times New Roman"/>
                      <w:b/>
                      <w:bCs/>
                      <w:color w:val="000000" w:themeColor="text1"/>
                      <w:sz w:val="18"/>
                      <w:szCs w:val="18"/>
                      <w:lang w:val="en-US" w:eastAsia="zh-CN"/>
                      <w14:textFill>
                        <w14:solidFill>
                          <w14:schemeClr w14:val="tx1"/>
                        </w14:solidFill>
                      </w14:textFill>
                    </w:rPr>
                    <w:t>治理后源强</w:t>
                  </w:r>
                  <w:r>
                    <w:rPr>
                      <w:rFonts w:cs="Times New Roman"/>
                      <w:b/>
                      <w:bCs/>
                      <w:color w:val="000000" w:themeColor="text1"/>
                      <w:sz w:val="18"/>
                      <w:szCs w:val="18"/>
                      <w14:textFill>
                        <w14:solidFill>
                          <w14:schemeClr w14:val="tx1"/>
                        </w14:solidFill>
                      </w14:textFill>
                    </w:rPr>
                    <w:t>dB(A)</w:t>
                  </w:r>
                </w:p>
              </w:tc>
              <w:tc>
                <w:tcPr>
                  <w:tcW w:w="615" w:type="dxa"/>
                  <w:vMerge w:val="restart"/>
                  <w:tcBorders>
                    <w:tl2br w:val="nil"/>
                    <w:tr2bl w:val="nil"/>
                  </w:tcBorders>
                  <w:vAlign w:val="center"/>
                </w:tcPr>
                <w:p w14:paraId="7D7B97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运行</w:t>
                  </w:r>
                </w:p>
                <w:p w14:paraId="71B4D6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时间</w:t>
                  </w:r>
                </w:p>
              </w:tc>
            </w:tr>
            <w:tr w14:paraId="0ADC2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vMerge w:val="continue"/>
                  <w:tcBorders>
                    <w:tl2br w:val="nil"/>
                    <w:tr2bl w:val="nil"/>
                  </w:tcBorders>
                  <w:vAlign w:val="center"/>
                </w:tcPr>
                <w:p w14:paraId="4B2085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p>
              </w:tc>
              <w:tc>
                <w:tcPr>
                  <w:tcW w:w="1476" w:type="dxa"/>
                  <w:vMerge w:val="continue"/>
                  <w:tcBorders>
                    <w:tl2br w:val="nil"/>
                    <w:tr2bl w:val="nil"/>
                  </w:tcBorders>
                  <w:vAlign w:val="center"/>
                </w:tcPr>
                <w:p w14:paraId="5DC962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p>
              </w:tc>
              <w:tc>
                <w:tcPr>
                  <w:tcW w:w="720" w:type="dxa"/>
                  <w:vMerge w:val="continue"/>
                  <w:tcBorders>
                    <w:tl2br w:val="nil"/>
                    <w:tr2bl w:val="nil"/>
                  </w:tcBorders>
                  <w:vAlign w:val="center"/>
                </w:tcPr>
                <w:p w14:paraId="3F9218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p>
              </w:tc>
              <w:tc>
                <w:tcPr>
                  <w:tcW w:w="690" w:type="dxa"/>
                  <w:vMerge w:val="continue"/>
                  <w:tcBorders>
                    <w:tl2br w:val="nil"/>
                    <w:tr2bl w:val="nil"/>
                  </w:tcBorders>
                  <w:vAlign w:val="center"/>
                </w:tcPr>
                <w:p w14:paraId="308A23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p>
              </w:tc>
              <w:tc>
                <w:tcPr>
                  <w:tcW w:w="645" w:type="dxa"/>
                  <w:tcBorders>
                    <w:tl2br w:val="nil"/>
                    <w:tr2bl w:val="nil"/>
                  </w:tcBorders>
                  <w:vAlign w:val="center"/>
                </w:tcPr>
                <w:p w14:paraId="688B70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东</w:t>
                  </w:r>
                </w:p>
              </w:tc>
              <w:tc>
                <w:tcPr>
                  <w:tcW w:w="645" w:type="dxa"/>
                  <w:tcBorders>
                    <w:tl2br w:val="nil"/>
                    <w:tr2bl w:val="nil"/>
                  </w:tcBorders>
                  <w:vAlign w:val="center"/>
                </w:tcPr>
                <w:p w14:paraId="5AB916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南</w:t>
                  </w:r>
                </w:p>
              </w:tc>
              <w:tc>
                <w:tcPr>
                  <w:tcW w:w="645" w:type="dxa"/>
                  <w:tcBorders>
                    <w:tl2br w:val="nil"/>
                    <w:tr2bl w:val="nil"/>
                  </w:tcBorders>
                  <w:vAlign w:val="center"/>
                </w:tcPr>
                <w:p w14:paraId="2193CA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西</w:t>
                  </w:r>
                </w:p>
              </w:tc>
              <w:tc>
                <w:tcPr>
                  <w:tcW w:w="645" w:type="dxa"/>
                  <w:tcBorders>
                    <w:tl2br w:val="nil"/>
                    <w:tr2bl w:val="nil"/>
                  </w:tcBorders>
                  <w:vAlign w:val="center"/>
                </w:tcPr>
                <w:p w14:paraId="3035B0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北</w:t>
                  </w:r>
                </w:p>
              </w:tc>
              <w:tc>
                <w:tcPr>
                  <w:tcW w:w="630" w:type="dxa"/>
                  <w:vMerge w:val="continue"/>
                  <w:tcBorders>
                    <w:tl2br w:val="nil"/>
                    <w:tr2bl w:val="nil"/>
                  </w:tcBorders>
                  <w:vAlign w:val="center"/>
                </w:tcPr>
                <w:p w14:paraId="1C74C2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p>
              </w:tc>
              <w:tc>
                <w:tcPr>
                  <w:tcW w:w="765" w:type="dxa"/>
                  <w:vMerge w:val="continue"/>
                  <w:tcBorders>
                    <w:tl2br w:val="nil"/>
                    <w:tr2bl w:val="nil"/>
                  </w:tcBorders>
                  <w:vAlign w:val="center"/>
                </w:tcPr>
                <w:p w14:paraId="18E96E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p>
              </w:tc>
              <w:tc>
                <w:tcPr>
                  <w:tcW w:w="615" w:type="dxa"/>
                  <w:vMerge w:val="continue"/>
                  <w:tcBorders>
                    <w:tl2br w:val="nil"/>
                    <w:tr2bl w:val="nil"/>
                  </w:tcBorders>
                  <w:vAlign w:val="center"/>
                </w:tcPr>
                <w:p w14:paraId="618319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p>
              </w:tc>
            </w:tr>
            <w:tr w14:paraId="3ECEB8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tcBorders>
                    <w:tl2br w:val="nil"/>
                    <w:tr2bl w:val="nil"/>
                  </w:tcBorders>
                  <w:vAlign w:val="center"/>
                </w:tcPr>
                <w:p w14:paraId="68C3B3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p>
              </w:tc>
              <w:tc>
                <w:tcPr>
                  <w:tcW w:w="1476" w:type="dxa"/>
                  <w:tcBorders>
                    <w:tl2br w:val="nil"/>
                    <w:tr2bl w:val="nil"/>
                  </w:tcBorders>
                  <w:shd w:val="clear" w:color="auto" w:fill="auto"/>
                  <w:vAlign w:val="center"/>
                </w:tcPr>
                <w:p w14:paraId="66C0FB52">
                  <w:pPr>
                    <w:pStyle w:val="26"/>
                    <w:keepNext w:val="0"/>
                    <w:keepLines w:val="0"/>
                    <w:pageBreakBefore w:val="0"/>
                    <w:kinsoku/>
                    <w:wordWrap/>
                    <w:overflowPunct/>
                    <w:topLinePunct w:val="0"/>
                    <w:autoSpaceDE/>
                    <w:autoSpaceDN/>
                    <w:bidi w:val="0"/>
                    <w:adjustRightInd w:val="0"/>
                    <w:snapToGrid w:val="0"/>
                    <w:spacing w:line="240" w:lineRule="auto"/>
                    <w:textAlignment w:val="auto"/>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废气风机</w:t>
                  </w:r>
                </w:p>
              </w:tc>
              <w:tc>
                <w:tcPr>
                  <w:tcW w:w="720" w:type="dxa"/>
                  <w:tcBorders>
                    <w:tl2br w:val="nil"/>
                    <w:tr2bl w:val="nil"/>
                  </w:tcBorders>
                  <w:shd w:val="clear" w:color="auto" w:fill="auto"/>
                  <w:vAlign w:val="center"/>
                </w:tcPr>
                <w:p w14:paraId="043796C9">
                  <w:pPr>
                    <w:pStyle w:val="26"/>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1</w:t>
                  </w:r>
                </w:p>
              </w:tc>
              <w:tc>
                <w:tcPr>
                  <w:tcW w:w="690" w:type="dxa"/>
                  <w:tcBorders>
                    <w:tl2br w:val="nil"/>
                    <w:tr2bl w:val="nil"/>
                  </w:tcBorders>
                  <w:vAlign w:val="center"/>
                </w:tcPr>
                <w:p w14:paraId="0E8B2E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75</w:t>
                  </w:r>
                </w:p>
              </w:tc>
              <w:tc>
                <w:tcPr>
                  <w:tcW w:w="645" w:type="dxa"/>
                  <w:tcBorders>
                    <w:tl2br w:val="nil"/>
                    <w:tr2bl w:val="nil"/>
                  </w:tcBorders>
                  <w:vAlign w:val="center"/>
                </w:tcPr>
                <w:p w14:paraId="1AABAB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17.6</w:t>
                  </w:r>
                </w:p>
              </w:tc>
              <w:tc>
                <w:tcPr>
                  <w:tcW w:w="645" w:type="dxa"/>
                  <w:tcBorders>
                    <w:tl2br w:val="nil"/>
                    <w:tr2bl w:val="nil"/>
                  </w:tcBorders>
                  <w:vAlign w:val="center"/>
                </w:tcPr>
                <w:p w14:paraId="6B8D66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7.2</w:t>
                  </w:r>
                </w:p>
              </w:tc>
              <w:tc>
                <w:tcPr>
                  <w:tcW w:w="645" w:type="dxa"/>
                  <w:tcBorders>
                    <w:tl2br w:val="nil"/>
                    <w:tr2bl w:val="nil"/>
                  </w:tcBorders>
                  <w:vAlign w:val="center"/>
                </w:tcPr>
                <w:p w14:paraId="413A92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4.3</w:t>
                  </w:r>
                </w:p>
              </w:tc>
              <w:tc>
                <w:tcPr>
                  <w:tcW w:w="645" w:type="dxa"/>
                  <w:tcBorders>
                    <w:tl2br w:val="nil"/>
                    <w:tr2bl w:val="nil"/>
                  </w:tcBorders>
                  <w:vAlign w:val="center"/>
                </w:tcPr>
                <w:p w14:paraId="2E7768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15.2</w:t>
                  </w:r>
                </w:p>
              </w:tc>
              <w:tc>
                <w:tcPr>
                  <w:tcW w:w="630" w:type="dxa"/>
                  <w:vMerge w:val="restart"/>
                  <w:tcBorders>
                    <w:tl2br w:val="nil"/>
                    <w:tr2bl w:val="nil"/>
                  </w:tcBorders>
                  <w:vAlign w:val="center"/>
                </w:tcPr>
                <w:p w14:paraId="037859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低噪声设备、基础减振、墙体隔声</w:t>
                  </w:r>
                </w:p>
              </w:tc>
              <w:tc>
                <w:tcPr>
                  <w:tcW w:w="765" w:type="dxa"/>
                  <w:tcBorders>
                    <w:tl2br w:val="nil"/>
                    <w:tr2bl w:val="nil"/>
                  </w:tcBorders>
                  <w:vAlign w:val="center"/>
                </w:tcPr>
                <w:p w14:paraId="68E97A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55</w:t>
                  </w:r>
                </w:p>
              </w:tc>
              <w:tc>
                <w:tcPr>
                  <w:tcW w:w="615" w:type="dxa"/>
                  <w:vMerge w:val="restart"/>
                  <w:tcBorders>
                    <w:tl2br w:val="nil"/>
                    <w:tr2bl w:val="nil"/>
                  </w:tcBorders>
                  <w:vAlign w:val="center"/>
                </w:tcPr>
                <w:p w14:paraId="12F807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昼间运行</w:t>
                  </w:r>
                </w:p>
              </w:tc>
            </w:tr>
            <w:tr w14:paraId="60083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tcBorders>
                    <w:tl2br w:val="nil"/>
                    <w:tr2bl w:val="nil"/>
                  </w:tcBorders>
                  <w:vAlign w:val="center"/>
                </w:tcPr>
                <w:p w14:paraId="1703B4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p>
              </w:tc>
              <w:tc>
                <w:tcPr>
                  <w:tcW w:w="1476" w:type="dxa"/>
                  <w:tcBorders>
                    <w:tl2br w:val="nil"/>
                    <w:tr2bl w:val="nil"/>
                  </w:tcBorders>
                  <w:shd w:val="clear" w:color="auto" w:fill="auto"/>
                  <w:vAlign w:val="center"/>
                </w:tcPr>
                <w:p w14:paraId="7FD6D2F0">
                  <w:pPr>
                    <w:pStyle w:val="26"/>
                    <w:keepNext w:val="0"/>
                    <w:keepLines w:val="0"/>
                    <w:pageBreakBefore w:val="0"/>
                    <w:kinsoku/>
                    <w:wordWrap/>
                    <w:overflowPunct/>
                    <w:topLinePunct w:val="0"/>
                    <w:autoSpaceDE/>
                    <w:autoSpaceDN/>
                    <w:bidi w:val="0"/>
                    <w:adjustRightInd w:val="0"/>
                    <w:snapToGrid w:val="0"/>
                    <w:spacing w:line="240" w:lineRule="auto"/>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门窗物理性能检测设备</w:t>
                  </w:r>
                </w:p>
              </w:tc>
              <w:tc>
                <w:tcPr>
                  <w:tcW w:w="720" w:type="dxa"/>
                  <w:tcBorders>
                    <w:tl2br w:val="nil"/>
                    <w:tr2bl w:val="nil"/>
                  </w:tcBorders>
                  <w:shd w:val="clear" w:color="auto" w:fill="auto"/>
                  <w:vAlign w:val="center"/>
                </w:tcPr>
                <w:p w14:paraId="287B46B4">
                  <w:pPr>
                    <w:pStyle w:val="26"/>
                    <w:keepNext w:val="0"/>
                    <w:keepLines w:val="0"/>
                    <w:pageBreakBefore w:val="0"/>
                    <w:kinsoku/>
                    <w:wordWrap/>
                    <w:overflowPunct/>
                    <w:topLinePunct w:val="0"/>
                    <w:autoSpaceDE/>
                    <w:autoSpaceDN/>
                    <w:bidi w:val="0"/>
                    <w:adjustRightInd w:val="0"/>
                    <w:snapToGrid w:val="0"/>
                    <w:spacing w:line="240" w:lineRule="auto"/>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690" w:type="dxa"/>
                  <w:tcBorders>
                    <w:tl2br w:val="nil"/>
                    <w:tr2bl w:val="nil"/>
                  </w:tcBorders>
                  <w:vAlign w:val="center"/>
                </w:tcPr>
                <w:p w14:paraId="389A7C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75</w:t>
                  </w:r>
                </w:p>
              </w:tc>
              <w:tc>
                <w:tcPr>
                  <w:tcW w:w="645" w:type="dxa"/>
                  <w:tcBorders>
                    <w:tl2br w:val="nil"/>
                    <w:tr2bl w:val="nil"/>
                  </w:tcBorders>
                  <w:vAlign w:val="center"/>
                </w:tcPr>
                <w:p w14:paraId="0168D6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13.9</w:t>
                  </w:r>
                </w:p>
              </w:tc>
              <w:tc>
                <w:tcPr>
                  <w:tcW w:w="645" w:type="dxa"/>
                  <w:tcBorders>
                    <w:tl2br w:val="nil"/>
                    <w:tr2bl w:val="nil"/>
                  </w:tcBorders>
                  <w:vAlign w:val="center"/>
                </w:tcPr>
                <w:p w14:paraId="42A83F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7.6</w:t>
                  </w:r>
                </w:p>
              </w:tc>
              <w:tc>
                <w:tcPr>
                  <w:tcW w:w="645" w:type="dxa"/>
                  <w:tcBorders>
                    <w:tl2br w:val="nil"/>
                    <w:tr2bl w:val="nil"/>
                  </w:tcBorders>
                  <w:vAlign w:val="center"/>
                </w:tcPr>
                <w:p w14:paraId="77E15C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8.0</w:t>
                  </w:r>
                </w:p>
              </w:tc>
              <w:tc>
                <w:tcPr>
                  <w:tcW w:w="645" w:type="dxa"/>
                  <w:tcBorders>
                    <w:tl2br w:val="nil"/>
                    <w:tr2bl w:val="nil"/>
                  </w:tcBorders>
                  <w:vAlign w:val="center"/>
                </w:tcPr>
                <w:p w14:paraId="68C7CB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14.9</w:t>
                  </w:r>
                </w:p>
              </w:tc>
              <w:tc>
                <w:tcPr>
                  <w:tcW w:w="630" w:type="dxa"/>
                  <w:vMerge w:val="continue"/>
                  <w:tcBorders>
                    <w:tl2br w:val="nil"/>
                    <w:tr2bl w:val="nil"/>
                  </w:tcBorders>
                  <w:vAlign w:val="center"/>
                </w:tcPr>
                <w:p w14:paraId="66F669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p>
              </w:tc>
              <w:tc>
                <w:tcPr>
                  <w:tcW w:w="765" w:type="dxa"/>
                  <w:tcBorders>
                    <w:tl2br w:val="nil"/>
                    <w:tr2bl w:val="nil"/>
                  </w:tcBorders>
                  <w:vAlign w:val="center"/>
                </w:tcPr>
                <w:p w14:paraId="4A7C9E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55</w:t>
                  </w:r>
                </w:p>
              </w:tc>
              <w:tc>
                <w:tcPr>
                  <w:tcW w:w="615" w:type="dxa"/>
                  <w:vMerge w:val="continue"/>
                  <w:tcBorders>
                    <w:tl2br w:val="nil"/>
                    <w:tr2bl w:val="nil"/>
                  </w:tcBorders>
                  <w:vAlign w:val="center"/>
                </w:tcPr>
                <w:p w14:paraId="79DE8C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18"/>
                      <w:szCs w:val="18"/>
                      <w14:textFill>
                        <w14:solidFill>
                          <w14:schemeClr w14:val="tx1"/>
                        </w14:solidFill>
                      </w14:textFill>
                    </w:rPr>
                  </w:pPr>
                </w:p>
              </w:tc>
            </w:tr>
            <w:tr w14:paraId="46E5FD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3" w:type="dxa"/>
                  <w:gridSpan w:val="11"/>
                  <w:tcBorders>
                    <w:tl2br w:val="nil"/>
                    <w:tr2bl w:val="nil"/>
                  </w:tcBorders>
                  <w:vAlign w:val="center"/>
                </w:tcPr>
                <w:p w14:paraId="1B8EAEEF">
                  <w:pPr>
                    <w:pStyle w:val="25"/>
                    <w:keepNext w:val="0"/>
                    <w:keepLines w:val="0"/>
                    <w:pageBreakBefore w:val="0"/>
                    <w:kinsoku/>
                    <w:wordWrap/>
                    <w:overflowPunct/>
                    <w:topLinePunct w:val="0"/>
                    <w:autoSpaceDE/>
                    <w:autoSpaceDN/>
                    <w:bidi w:val="0"/>
                    <w:adjustRightInd w:val="0"/>
                    <w:snapToGrid w:val="0"/>
                    <w:textAlignment w:val="auto"/>
                    <w:rPr>
                      <w:color w:val="000000" w:themeColor="text1"/>
                      <w:sz w:val="18"/>
                      <w:szCs w:val="18"/>
                      <w14:textFill>
                        <w14:solidFill>
                          <w14:schemeClr w14:val="tx1"/>
                        </w14:solidFill>
                      </w14:textFill>
                    </w:rPr>
                  </w:pPr>
                  <w:r>
                    <w:rPr>
                      <w:rFonts w:hint="eastAsia"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t>备注：距室内边界距离是以噪声源中心距四侧边界的距离。</w:t>
                  </w:r>
                </w:p>
              </w:tc>
            </w:tr>
          </w:tbl>
          <w:p w14:paraId="581F6A7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（2）厂界噪声达标情况分析</w:t>
            </w:r>
          </w:p>
          <w:p w14:paraId="4D52CAE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本项目噪声源主要位于室内，根据《环境影响评价技术导则 声环境》（HJ2.4-2021），噪声预测模式如下：</w:t>
            </w:r>
          </w:p>
          <w:p w14:paraId="159A218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①室内声源等效室外声源声功率级计算方法</w:t>
            </w:r>
          </w:p>
          <w:p w14:paraId="7693011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声源位于室内，室内声源可采用等效室外声源声功率级法进行计算。设靠近开口处（或窗户）室内、室外某倍频带的声压级或A声级分别为L</w:t>
            </w:r>
            <w:r>
              <w:rPr>
                <w:rFonts w:cs="Times New Roman"/>
                <w:color w:val="000000" w:themeColor="text1"/>
                <w:vertAlign w:val="subscript"/>
                <w14:textFill>
                  <w14:solidFill>
                    <w14:schemeClr w14:val="tx1"/>
                  </w14:solidFill>
                </w14:textFill>
              </w:rPr>
              <w:t>p1</w:t>
            </w:r>
            <w:r>
              <w:rPr>
                <w:rFonts w:cs="Times New Roman"/>
                <w:color w:val="000000" w:themeColor="text1"/>
                <w14:textFill>
                  <w14:solidFill>
                    <w14:schemeClr w14:val="tx1"/>
                  </w14:solidFill>
                </w14:textFill>
              </w:rPr>
              <w:t>和L</w:t>
            </w:r>
            <w:r>
              <w:rPr>
                <w:rFonts w:cs="Times New Roman"/>
                <w:color w:val="000000" w:themeColor="text1"/>
                <w:vertAlign w:val="subscript"/>
                <w14:textFill>
                  <w14:solidFill>
                    <w14:schemeClr w14:val="tx1"/>
                  </w14:solidFill>
                </w14:textFill>
              </w:rPr>
              <w:t>p2</w:t>
            </w:r>
            <w:r>
              <w:rPr>
                <w:rFonts w:cs="Times New Roman"/>
                <w:color w:val="000000" w:themeColor="text1"/>
                <w14:textFill>
                  <w14:solidFill>
                    <w14:schemeClr w14:val="tx1"/>
                  </w14:solidFill>
                </w14:textFill>
              </w:rPr>
              <w:t>。若声源所在室内声场为近似扩散声场，则室外的倍频带声压级可按以下公式近似求出：</w:t>
            </w:r>
          </w:p>
          <w:p w14:paraId="6DAAC282">
            <w:pPr>
              <w:adjustRightInd w:val="0"/>
              <w:snapToGrid w:val="0"/>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p2</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p1</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m:t>
                </m:r>
                <m:d>
                  <m:dPr>
                    <m:ctrlPr>
                      <w:rPr>
                        <w:rFonts w:ascii="Cambria Math" w:hAnsi="Cambria Math" w:cs="Times New Roman"/>
                        <w:i/>
                        <w:color w:val="000000" w:themeColor="text1"/>
                        <w14:textFill>
                          <w14:solidFill>
                            <w14:schemeClr w14:val="tx1"/>
                          </w14:solidFill>
                        </w14:textFill>
                      </w:rPr>
                    </m:ctrlPr>
                  </m:dPr>
                  <m:e>
                    <m:r>
                      <m:rPr/>
                      <w:rPr>
                        <w:rFonts w:ascii="Cambria Math" w:hAnsi="Cambria Math" w:cs="Times New Roman"/>
                        <w:color w:val="000000" w:themeColor="text1"/>
                        <w14:textFill>
                          <w14:solidFill>
                            <w14:schemeClr w14:val="tx1"/>
                          </w14:solidFill>
                        </w14:textFill>
                      </w:rPr>
                      <m:t>TL+6</m:t>
                    </m:r>
                    <m:ctrlPr>
                      <w:rPr>
                        <w:rFonts w:ascii="Cambria Math" w:hAnsi="Cambria Math" w:cs="Times New Roman"/>
                        <w:i/>
                        <w:color w:val="000000" w:themeColor="text1"/>
                        <w14:textFill>
                          <w14:solidFill>
                            <w14:schemeClr w14:val="tx1"/>
                          </w14:solidFill>
                        </w14:textFill>
                      </w:rPr>
                    </m:ctrlPr>
                  </m:e>
                </m:d>
              </m:oMath>
            </m:oMathPara>
          </w:p>
          <w:p w14:paraId="4D6C76B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166D214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w:t>
            </w:r>
            <w:r>
              <w:rPr>
                <w:rFonts w:cs="Times New Roman"/>
                <w:color w:val="000000" w:themeColor="text1"/>
                <w14:textFill>
                  <w14:solidFill>
                    <w14:schemeClr w14:val="tx1"/>
                  </w14:solidFill>
                </w14:textFill>
              </w:rPr>
              <w:t>—靠近开口处（或窗户）室内某倍频带的声压级或A声级，dB；</w:t>
            </w:r>
          </w:p>
          <w:p w14:paraId="3BCB06F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p2</w:t>
            </w:r>
            <w:r>
              <w:rPr>
                <w:rFonts w:cs="Times New Roman"/>
                <w:color w:val="000000" w:themeColor="text1"/>
                <w14:textFill>
                  <w14:solidFill>
                    <w14:schemeClr w14:val="tx1"/>
                  </w14:solidFill>
                </w14:textFill>
              </w:rPr>
              <w:t>—靠近开口处（或窗户）室外某倍频带的声压级或A声级，dB；</w:t>
            </w:r>
          </w:p>
          <w:p w14:paraId="0A98A76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TL—隔墙（或窗户）倍频带或A声级的隔声量，dB。</w:t>
            </w:r>
          </w:p>
          <w:p w14:paraId="62F81D1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②某一室内声源靠近围护结构处产生的倍频带声压级或A声级</w:t>
            </w:r>
          </w:p>
          <w:p w14:paraId="3219B12C">
            <w:pPr>
              <w:adjustRightInd w:val="0"/>
              <w:snapToGrid w:val="0"/>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p1</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w</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+10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i/>
                        <w:color w:val="000000" w:themeColor="text1"/>
                        <w14:textFill>
                          <w14:solidFill>
                            <w14:schemeClr w14:val="tx1"/>
                          </w14:solidFill>
                        </w14:textFill>
                      </w:rPr>
                    </m:ctrlPr>
                  </m:fName>
                  <m:e>
                    <m:d>
                      <m:dPr>
                        <m:ctrlPr>
                          <w:rPr>
                            <w:rFonts w:ascii="Cambria Math" w:hAnsi="Cambria Math" w:cs="Times New Roman"/>
                            <w:i/>
                            <w:color w:val="000000" w:themeColor="text1"/>
                            <w14:textFill>
                              <w14:solidFill>
                                <w14:schemeClr w14:val="tx1"/>
                              </w14:solidFill>
                            </w14:textFill>
                          </w:rPr>
                        </m:ctrlPr>
                      </m:dPr>
                      <m:e>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Q</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4π</m:t>
                            </m:r>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i/>
                                <w:color w:val="000000" w:themeColor="text1"/>
                                <w14:textFill>
                                  <w14:solidFill>
                                    <w14:schemeClr w14:val="tx1"/>
                                  </w14:solidFill>
                                </w14:textFill>
                              </w:rPr>
                            </m:ctrlPr>
                          </m:den>
                        </m:f>
                        <m:r>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4</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den>
                        </m:f>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func>
              </m:oMath>
            </m:oMathPara>
          </w:p>
          <w:p w14:paraId="3CDFF2C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7DBFD99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w:t>
            </w:r>
            <w:r>
              <w:rPr>
                <w:rFonts w:cs="Times New Roman"/>
                <w:color w:val="000000" w:themeColor="text1"/>
                <w14:textFill>
                  <w14:solidFill>
                    <w14:schemeClr w14:val="tx1"/>
                  </w14:solidFill>
                </w14:textFill>
              </w:rPr>
              <w:t>—靠近开口处（或窗户）室内某倍频带的声压级或A声级，dB；</w:t>
            </w:r>
          </w:p>
          <w:p w14:paraId="7FBE287C">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w</w:t>
            </w:r>
            <w:r>
              <w:rPr>
                <w:rFonts w:cs="Times New Roman"/>
                <w:color w:val="000000" w:themeColor="text1"/>
                <w14:textFill>
                  <w14:solidFill>
                    <w14:schemeClr w14:val="tx1"/>
                  </w14:solidFill>
                </w14:textFill>
              </w:rPr>
              <w:t>—靠近开口处（或窗户）室内某倍频带的声压级或A声级，dB；</w:t>
            </w:r>
          </w:p>
          <w:p w14:paraId="0BC174B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Q—指向性因数，通常对无指向性声源，当声源放在房间中心时，Q=1；当放在一面墙的中心时，Q=2；当放在两面墙夹角处时，Q=4；当放在三面墙夹角处时，Q=8；</w:t>
            </w:r>
          </w:p>
          <w:p w14:paraId="316BF5A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R—房间常数，R=Sa/（1-a），S为房间内表面面积，m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；a为平均吸声系数；</w:t>
            </w:r>
          </w:p>
          <w:p w14:paraId="6225B99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r—声源到靠近围护结构某点处的距离，m。</w:t>
            </w:r>
          </w:p>
          <w:p w14:paraId="32CB4D7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③户外声传播衰减公式</w:t>
            </w:r>
          </w:p>
          <w:p w14:paraId="67B34736">
            <w:pPr>
              <w:adjustRightInd w:val="0"/>
              <w:snapToGrid w:val="0"/>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sub>
                </m:sSub>
                <m:d>
                  <m:dPr>
                    <m:ctrlPr>
                      <w:rPr>
                        <w:rFonts w:ascii="Cambria Math" w:hAnsi="Cambria Math" w:cs="Times New Roman"/>
                        <w:i/>
                        <w:color w:val="000000" w:themeColor="text1"/>
                        <w14:textFill>
                          <w14:solidFill>
                            <w14:schemeClr w14:val="tx1"/>
                          </w14:solidFill>
                        </w14:textFill>
                      </w:rPr>
                    </m:ctrlPr>
                  </m:d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d>
                <m:r>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sub>
                </m:sSub>
                <m:d>
                  <m:dPr>
                    <m:ctrlPr>
                      <w:rPr>
                        <w:rFonts w:ascii="Cambria Math" w:hAnsi="Cambria Math" w:cs="Times New Roman"/>
                        <w:i/>
                        <w:color w:val="000000" w:themeColor="text1"/>
                        <w14:textFill>
                          <w14:solidFill>
                            <w14:schemeClr w14:val="tx1"/>
                          </w14:solidFill>
                        </w14:textFill>
                      </w:rPr>
                    </m:ctrlPr>
                  </m:dPr>
                  <m:e>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0</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e>
                </m:d>
                <m:r>
                  <m:rPr/>
                  <w:rPr>
                    <w:rFonts w:ascii="Cambria Math" w:hAnsi="Cambria Math" w:cs="Times New Roman"/>
                    <w:color w:val="000000" w:themeColor="text1"/>
                    <w14:textFill>
                      <w14:solidFill>
                        <w14:schemeClr w14:val="tx1"/>
                      </w14:solidFill>
                    </w14:textFill>
                  </w:rPr>
                  <m:t>−20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i/>
                        <w:color w:val="000000" w:themeColor="text1"/>
                        <w14:textFill>
                          <w14:solidFill>
                            <w14:schemeClr w14:val="tx1"/>
                          </w14:solidFill>
                        </w14:textFill>
                      </w:rPr>
                    </m:ctrlPr>
                  </m:fName>
                  <m:e>
                    <m:d>
                      <m:dPr>
                        <m:ctrlPr>
                          <w:rPr>
                            <w:rFonts w:ascii="Cambria Math" w:hAnsi="Cambria Math" w:cs="Times New Roman"/>
                            <w:i/>
                            <w:color w:val="000000" w:themeColor="text1"/>
                            <w14:textFill>
                              <w14:solidFill>
                                <w14:schemeClr w14:val="tx1"/>
                              </w14:solidFill>
                            </w14:textFill>
                          </w:rPr>
                        </m:ctrlPr>
                      </m:dPr>
                      <m:e>
                        <m:f>
                          <m:fPr>
                            <m:type m:val="skw"/>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0</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den>
                        </m:f>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func>
              </m:oMath>
            </m:oMathPara>
          </w:p>
          <w:p w14:paraId="0B0335E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3DA36C7B">
            <w:pPr>
              <w:adjustRightInd w:val="0"/>
              <w:snapToGrid w:val="0"/>
              <w:ind w:firstLine="480"/>
              <w:rPr>
                <w:rFonts w:cs="Times New Roman"/>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sub>
              </m:sSub>
              <m:d>
                <m:dPr>
                  <m:ctrlPr>
                    <w:rPr>
                      <w:rFonts w:ascii="Cambria Math" w:hAnsi="Cambria Math" w:cs="Times New Roman"/>
                      <w:i/>
                      <w:color w:val="000000" w:themeColor="text1"/>
                      <w14:textFill>
                        <w14:solidFill>
                          <w14:schemeClr w14:val="tx1"/>
                        </w14:solidFill>
                      </w14:textFill>
                    </w:rPr>
                  </m:ctrlPr>
                </m:d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—预测点处声压级，dB；</w:t>
            </w:r>
          </w:p>
          <w:p w14:paraId="73A700AD">
            <w:pPr>
              <w:adjustRightInd w:val="0"/>
              <w:snapToGrid w:val="0"/>
              <w:ind w:firstLine="480"/>
              <w:rPr>
                <w:rFonts w:cs="Times New Roman"/>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sub>
              </m:sSub>
              <m:d>
                <m:dPr>
                  <m:ctrlPr>
                    <w:rPr>
                      <w:rFonts w:ascii="Cambria Math" w:hAnsi="Cambria Math" w:cs="Times New Roman"/>
                      <w:i/>
                      <w:color w:val="000000" w:themeColor="text1"/>
                      <w14:textFill>
                        <w14:solidFill>
                          <w14:schemeClr w14:val="tx1"/>
                        </w14:solidFill>
                      </w14:textFill>
                    </w:rPr>
                  </m:ctrlPr>
                </m:dPr>
                <m:e>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0</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—参考位置</w:t>
            </w: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0</m:t>
                  </m:r>
                  <m:ctrlPr>
                    <w:rPr>
                      <w:rFonts w:ascii="Cambria Math" w:hAnsi="Cambria Math" w:cs="Times New Roman"/>
                      <w:i/>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处的声压级，dB；</w:t>
            </w:r>
          </w:p>
          <w:p w14:paraId="42F0EAA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r—预测点距离声源的距离，m；</w:t>
            </w:r>
          </w:p>
          <w:p w14:paraId="5FCC0B0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—参考位置距离声源的距离，1m。</w:t>
            </w:r>
          </w:p>
          <w:p w14:paraId="51D33C0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④噪声源对预测点产生的贡献值公式</w:t>
            </w:r>
          </w:p>
          <w:p w14:paraId="59BCD66B">
            <w:pPr>
              <w:adjustRightInd w:val="0"/>
              <w:snapToGrid w:val="0"/>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eqg</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=10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i/>
                        <w:color w:val="000000" w:themeColor="text1"/>
                        <w14:textFill>
                          <w14:solidFill>
                            <w14:schemeClr w14:val="tx1"/>
                          </w14:solidFill>
                        </w14:textFill>
                      </w:rPr>
                    </m:ctrlPr>
                  </m:fName>
                  <m:e>
                    <m:d>
                      <m:dPr>
                        <m:begChr m:val="["/>
                        <m:endChr m:val="]"/>
                        <m:ctrlPr>
                          <w:rPr>
                            <w:rFonts w:ascii="Cambria Math" w:hAnsi="Cambria Math" w:cs="Times New Roman"/>
                            <w:i/>
                            <w:color w:val="000000" w:themeColor="text1"/>
                            <w14:textFill>
                              <w14:solidFill>
                                <w14:schemeClr w14:val="tx1"/>
                              </w14:solidFill>
                            </w14:textFill>
                          </w:rPr>
                        </m:ctrlPr>
                      </m:dPr>
                      <m:e>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1</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T</m:t>
                            </m:r>
                            <m:ctrlPr>
                              <w:rPr>
                                <w:rFonts w:ascii="Cambria Math" w:hAnsi="Cambria Math" w:cs="Times New Roman"/>
                                <w:i/>
                                <w:color w:val="000000" w:themeColor="text1"/>
                                <w14:textFill>
                                  <w14:solidFill>
                                    <w14:schemeClr w14:val="tx1"/>
                                  </w14:solidFill>
                                </w14:textFill>
                              </w:rPr>
                            </m:ctrlPr>
                          </m:den>
                        </m:f>
                        <m:d>
                          <m:dPr>
                            <m:ctrlPr>
                              <w:rPr>
                                <w:rFonts w:ascii="Cambria Math" w:hAnsi="Cambria Math" w:cs="Times New Roman"/>
                                <w:i/>
                                <w:color w:val="000000" w:themeColor="text1"/>
                                <w14:textFill>
                                  <w14:solidFill>
                                    <w14:schemeClr w14:val="tx1"/>
                                  </w14:solidFill>
                                </w14:textFill>
                              </w:rPr>
                            </m:ctrlPr>
                          </m:dPr>
                          <m:e>
                            <m:nary>
                              <m:naryPr>
                                <m:chr m:val="∑"/>
                                <m:limLoc m:val="undOvr"/>
                                <m:ctrlPr>
                                  <w:rPr>
                                    <w:rFonts w:ascii="Cambria Math" w:hAnsi="Cambria Math" w:cs="Times New Roman"/>
                                    <w:i/>
                                    <w:color w:val="000000" w:themeColor="text1"/>
                                    <w14:textFill>
                                      <w14:solidFill>
                                        <w14:schemeClr w14:val="tx1"/>
                                      </w14:solidFill>
                                    </w14:textFill>
                                  </w:rPr>
                                </m:ctrlPr>
                              </m:naryPr>
                              <m:sub>
                                <m:r>
                                  <m:rPr/>
                                  <w:rPr>
                                    <w:rFonts w:ascii="Cambria Math" w:hAnsi="Cambria Math" w:cs="Times New Roman"/>
                                    <w:color w:val="000000" w:themeColor="text1"/>
                                    <w14:textFill>
                                      <w14:solidFill>
                                        <w14:schemeClr w14:val="tx1"/>
                                      </w14:solidFill>
                                    </w14:textFill>
                                  </w:rPr>
                                  <m:t>i=1</m:t>
                                </m:r>
                                <m:ctrlPr>
                                  <w:rPr>
                                    <w:rFonts w:ascii="Cambria Math" w:hAnsi="Cambria Math" w:cs="Times New Roman"/>
                                    <w:i/>
                                    <w:color w:val="000000" w:themeColor="text1"/>
                                    <w14:textFill>
                                      <w14:solidFill>
                                        <w14:schemeClr w14:val="tx1"/>
                                      </w14:solidFill>
                                    </w14:textFill>
                                  </w:rPr>
                                </m:ctrlPr>
                              </m:sub>
                              <m:sup>
                                <m:r>
                                  <m:rPr/>
                                  <w:rPr>
                                    <w:rFonts w:ascii="Cambria Math" w:hAnsi="Cambria Math" w:cs="Times New Roman"/>
                                    <w:color w:val="000000" w:themeColor="text1"/>
                                    <w14:textFill>
                                      <w14:solidFill>
                                        <w14:schemeClr w14:val="tx1"/>
                                      </w14:solidFill>
                                    </w14:textFill>
                                  </w:rPr>
                                  <m:t>N</m:t>
                                </m:r>
                                <m:ctrlPr>
                                  <w:rPr>
                                    <w:rFonts w:ascii="Cambria Math" w:hAnsi="Cambria Math" w:cs="Times New Roman"/>
                                    <w:i/>
                                    <w:color w:val="000000" w:themeColor="text1"/>
                                    <w14:textFill>
                                      <w14:solidFill>
                                        <w14:schemeClr w14:val="tx1"/>
                                      </w14:solidFill>
                                    </w14:textFill>
                                  </w:rPr>
                                </m:ctrlPr>
                              </m:sup>
                              <m:e>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t</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i</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e>
                            </m:nary>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Ai</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sup>
                            </m:sSup>
                            <m:r>
                              <m:rPr/>
                              <w:rPr>
                                <w:rFonts w:ascii="Cambria Math" w:hAnsi="Cambria Math" w:cs="Times New Roman"/>
                                <w:color w:val="000000" w:themeColor="text1"/>
                                <w14:textFill>
                                  <w14:solidFill>
                                    <w14:schemeClr w14:val="tx1"/>
                                  </w14:solidFill>
                                </w14:textFill>
                              </w:rPr>
                              <m:t>+</m:t>
                            </m:r>
                            <m:nary>
                              <m:naryPr>
                                <m:chr m:val="∑"/>
                                <m:limLoc m:val="undOvr"/>
                                <m:ctrlPr>
                                  <w:rPr>
                                    <w:rFonts w:ascii="Cambria Math" w:hAnsi="Cambria Math" w:cs="Times New Roman"/>
                                    <w:i/>
                                    <w:color w:val="000000" w:themeColor="text1"/>
                                    <w14:textFill>
                                      <w14:solidFill>
                                        <w14:schemeClr w14:val="tx1"/>
                                      </w14:solidFill>
                                    </w14:textFill>
                                  </w:rPr>
                                </m:ctrlPr>
                              </m:naryPr>
                              <m:sub>
                                <m:r>
                                  <m:rPr/>
                                  <w:rPr>
                                    <w:rFonts w:ascii="Cambria Math" w:hAnsi="Cambria Math" w:cs="Times New Roman"/>
                                    <w:color w:val="000000" w:themeColor="text1"/>
                                    <w14:textFill>
                                      <w14:solidFill>
                                        <w14:schemeClr w14:val="tx1"/>
                                      </w14:solidFill>
                                    </w14:textFill>
                                  </w:rPr>
                                  <m:t>j=1</m:t>
                                </m:r>
                                <m:ctrlPr>
                                  <w:rPr>
                                    <w:rFonts w:ascii="Cambria Math" w:hAnsi="Cambria Math" w:cs="Times New Roman"/>
                                    <w:i/>
                                    <w:color w:val="000000" w:themeColor="text1"/>
                                    <w14:textFill>
                                      <w14:solidFill>
                                        <w14:schemeClr w14:val="tx1"/>
                                      </w14:solidFill>
                                    </w14:textFill>
                                  </w:rPr>
                                </m:ctrlPr>
                              </m:sub>
                              <m:sup>
                                <m:r>
                                  <m:rPr/>
                                  <w:rPr>
                                    <w:rFonts w:ascii="Cambria Math" w:hAnsi="Cambria Math" w:cs="Times New Roman"/>
                                    <w:color w:val="000000" w:themeColor="text1"/>
                                    <w14:textFill>
                                      <w14:solidFill>
                                        <w14:schemeClr w14:val="tx1"/>
                                      </w14:solidFill>
                                    </w14:textFill>
                                  </w:rPr>
                                  <m:t>M</m:t>
                                </m:r>
                                <m:ctrlPr>
                                  <w:rPr>
                                    <w:rFonts w:ascii="Cambria Math" w:hAnsi="Cambria Math" w:cs="Times New Roman"/>
                                    <w:i/>
                                    <w:color w:val="000000" w:themeColor="text1"/>
                                    <w14:textFill>
                                      <w14:solidFill>
                                        <w14:schemeClr w14:val="tx1"/>
                                      </w14:solidFill>
                                    </w14:textFill>
                                  </w:rPr>
                                </m:ctrlPr>
                              </m:sup>
                              <m:e>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t</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j</m:t>
                                    </m:r>
                                    <m:ctrlPr>
                                      <w:rPr>
                                        <w:rFonts w:ascii="Cambria Math" w:hAnsi="Cambria Math" w:cs="Times New Roman"/>
                                        <w:i/>
                                        <w:color w:val="000000" w:themeColor="text1"/>
                                        <w14:textFill>
                                          <w14:solidFill>
                                            <w14:schemeClr w14:val="tx1"/>
                                          </w14:solidFill>
                                        </w14:textFill>
                                      </w:rPr>
                                    </m:ctrlPr>
                                  </m:sub>
                                </m:sSub>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Aj</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i/>
                                    <w:color w:val="000000" w:themeColor="text1"/>
                                    <w14:textFill>
                                      <w14:solidFill>
                                        <w14:schemeClr w14:val="tx1"/>
                                      </w14:solidFill>
                                    </w14:textFill>
                                  </w:rPr>
                                </m:ctrlPr>
                              </m:e>
                            </m:nary>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d>
                    <m:ctrlPr>
                      <w:rPr>
                        <w:rFonts w:ascii="Cambria Math" w:hAnsi="Cambria Math" w:cs="Times New Roman"/>
                        <w:i/>
                        <w:color w:val="000000" w:themeColor="text1"/>
                        <w14:textFill>
                          <w14:solidFill>
                            <w14:schemeClr w14:val="tx1"/>
                          </w14:solidFill>
                        </w14:textFill>
                      </w:rPr>
                    </m:ctrlPr>
                  </m:e>
                </m:func>
              </m:oMath>
            </m:oMathPara>
          </w:p>
          <w:p w14:paraId="0AD0705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50401359">
            <w:pPr>
              <w:adjustRightInd w:val="0"/>
              <w:snapToGrid w:val="0"/>
              <w:ind w:firstLine="480"/>
              <w:rPr>
                <w:rFonts w:cs="Times New Roman"/>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eqg</m:t>
                  </m:r>
                  <m:ctrlPr>
                    <w:rPr>
                      <w:rFonts w:ascii="Cambria Math" w:hAnsi="Cambria Math" w:cs="Times New Roman"/>
                      <w:i/>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—建设项目声源在预测点产生的噪声贡献值，dB；</w:t>
            </w:r>
          </w:p>
          <w:p w14:paraId="44823AAC">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T—用于计算等效声级的时间，s；</w:t>
            </w:r>
          </w:p>
          <w:p w14:paraId="3298A38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N—室外声源个数；</w:t>
            </w:r>
          </w:p>
          <w:p w14:paraId="10FB37A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—在T时间内i声源工作时间，s；</w:t>
            </w:r>
          </w:p>
          <w:p w14:paraId="457519C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Ai</w:t>
            </w:r>
            <w:r>
              <w:rPr>
                <w:rFonts w:cs="Times New Roman"/>
                <w:color w:val="000000" w:themeColor="text1"/>
                <w14:textFill>
                  <w14:solidFill>
                    <w14:schemeClr w14:val="tx1"/>
                  </w14:solidFill>
                </w14:textFill>
              </w:rPr>
              <w:t>—i声源在预测点产生的等效连续A声级，dB；</w:t>
            </w:r>
          </w:p>
          <w:p w14:paraId="24B128C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M—等效室外声源个数；</w:t>
            </w:r>
          </w:p>
          <w:p w14:paraId="4DA72C4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r>
              <w:rPr>
                <w:rFonts w:cs="Times New Roman"/>
                <w:color w:val="000000" w:themeColor="text1"/>
                <w:vertAlign w:val="subscript"/>
                <w14:textFill>
                  <w14:solidFill>
                    <w14:schemeClr w14:val="tx1"/>
                  </w14:solidFill>
                </w14:textFill>
              </w:rPr>
              <w:t>j</w:t>
            </w:r>
            <w:r>
              <w:rPr>
                <w:rFonts w:cs="Times New Roman"/>
                <w:color w:val="000000" w:themeColor="text1"/>
                <w14:textFill>
                  <w14:solidFill>
                    <w14:schemeClr w14:val="tx1"/>
                  </w14:solidFill>
                </w14:textFill>
              </w:rPr>
              <w:t>—在T时间内j声源工作时间，s；</w:t>
            </w:r>
          </w:p>
          <w:p w14:paraId="093E577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Aj</w:t>
            </w:r>
            <w:r>
              <w:rPr>
                <w:rFonts w:cs="Times New Roman"/>
                <w:color w:val="000000" w:themeColor="text1"/>
                <w14:textFill>
                  <w14:solidFill>
                    <w14:schemeClr w14:val="tx1"/>
                  </w14:solidFill>
                </w14:textFill>
              </w:rPr>
              <w:t>—j声源在预测点产生的等效连续A声级，dB。</w:t>
            </w:r>
          </w:p>
          <w:p w14:paraId="20F43AE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厂界噪声预测见下表。</w:t>
            </w:r>
          </w:p>
          <w:p w14:paraId="661D78D2">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5</w:t>
            </w:r>
            <w:r>
              <w:rPr>
                <w:rFonts w:cs="Times New Roman"/>
                <w:color w:val="000000" w:themeColor="text1"/>
                <w14:textFill>
                  <w14:solidFill>
                    <w14:schemeClr w14:val="tx1"/>
                  </w14:solidFill>
                </w14:textFill>
              </w:rPr>
              <w:t xml:space="preserve"> 各预测点噪声预测结果表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766"/>
              <w:gridCol w:w="2340"/>
              <w:gridCol w:w="1740"/>
              <w:gridCol w:w="1456"/>
            </w:tblGrid>
            <w:tr w14:paraId="64A25C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tcBorders>
                    <w:tl2br w:val="nil"/>
                    <w:tr2bl w:val="nil"/>
                  </w:tcBorders>
                  <w:vAlign w:val="center"/>
                </w:tcPr>
                <w:p w14:paraId="2796BB3A">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766" w:type="dxa"/>
                  <w:tcBorders>
                    <w:tl2br w:val="nil"/>
                    <w:tr2bl w:val="nil"/>
                  </w:tcBorders>
                  <w:vAlign w:val="center"/>
                </w:tcPr>
                <w:p w14:paraId="45573C16">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预测点位置</w:t>
                  </w:r>
                </w:p>
              </w:tc>
              <w:tc>
                <w:tcPr>
                  <w:tcW w:w="2340" w:type="dxa"/>
                  <w:tcBorders>
                    <w:tl2br w:val="nil"/>
                    <w:tr2bl w:val="nil"/>
                  </w:tcBorders>
                  <w:vAlign w:val="center"/>
                </w:tcPr>
                <w:p w14:paraId="3A5726B9">
                  <w:pPr>
                    <w:adjustRightInd w:val="0"/>
                    <w:snapToGrid w:val="0"/>
                    <w:spacing w:line="240" w:lineRule="auto"/>
                    <w:ind w:firstLine="0" w:firstLineChars="0"/>
                    <w:jc w:val="center"/>
                    <w:rPr>
                      <w:rFonts w:hint="default" w:eastAsia="宋体" w:cs="Times New Roman"/>
                      <w:b/>
                      <w:bCs/>
                      <w:color w:val="0000FF"/>
                      <w:sz w:val="21"/>
                      <w:szCs w:val="21"/>
                      <w:lang w:val="en-US" w:eastAsia="zh-CN"/>
                    </w:rPr>
                  </w:pPr>
                  <w:r>
                    <w:rPr>
                      <w:rFonts w:cs="Times New Roman"/>
                      <w:b/>
                      <w:bCs/>
                      <w:color w:val="000000" w:themeColor="text1"/>
                      <w:sz w:val="21"/>
                      <w:szCs w:val="21"/>
                      <w14:textFill>
                        <w14:solidFill>
                          <w14:schemeClr w14:val="tx1"/>
                        </w14:solidFill>
                      </w14:textFill>
                    </w:rPr>
                    <w:t>贡献值</w:t>
                  </w:r>
                  <w:r>
                    <w:rPr>
                      <w:rFonts w:hint="eastAsia" w:cs="Times New Roman"/>
                      <w:b/>
                      <w:bCs/>
                      <w:color w:val="000000" w:themeColor="text1"/>
                      <w:sz w:val="21"/>
                      <w:szCs w:val="21"/>
                      <w14:textFill>
                        <w14:solidFill>
                          <w14:schemeClr w14:val="tx1"/>
                        </w14:solidFill>
                      </w14:textFill>
                    </w:rPr>
                    <w:t>dB(A)</w:t>
                  </w:r>
                </w:p>
              </w:tc>
              <w:tc>
                <w:tcPr>
                  <w:tcW w:w="1740" w:type="dxa"/>
                  <w:tcBorders>
                    <w:left w:val="single" w:color="000000" w:sz="4" w:space="0"/>
                    <w:right w:val="single" w:color="000000" w:sz="4" w:space="0"/>
                    <w:tl2br w:val="nil"/>
                    <w:tr2bl w:val="nil"/>
                  </w:tcBorders>
                  <w:vAlign w:val="center"/>
                </w:tcPr>
                <w:p w14:paraId="5C9E43CF">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标准值</w:t>
                  </w:r>
                </w:p>
              </w:tc>
              <w:tc>
                <w:tcPr>
                  <w:tcW w:w="1456" w:type="dxa"/>
                  <w:tcBorders>
                    <w:left w:val="single" w:color="000000" w:sz="4" w:space="0"/>
                    <w:tl2br w:val="nil"/>
                    <w:tr2bl w:val="nil"/>
                  </w:tcBorders>
                  <w:vAlign w:val="center"/>
                </w:tcPr>
                <w:p w14:paraId="61DA8D2C">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达标情况</w:t>
                  </w:r>
                </w:p>
              </w:tc>
            </w:tr>
            <w:tr w14:paraId="5043B7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tcBorders>
                    <w:tl2br w:val="nil"/>
                    <w:tr2bl w:val="nil"/>
                  </w:tcBorders>
                  <w:vAlign w:val="center"/>
                </w:tcPr>
                <w:p w14:paraId="545038D6">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766" w:type="dxa"/>
                  <w:tcBorders>
                    <w:tl2br w:val="nil"/>
                    <w:tr2bl w:val="nil"/>
                  </w:tcBorders>
                  <w:vAlign w:val="center"/>
                </w:tcPr>
                <w:p w14:paraId="01117DE0">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项目东厂界</w:t>
                  </w:r>
                </w:p>
              </w:tc>
              <w:tc>
                <w:tcPr>
                  <w:tcW w:w="2340" w:type="dxa"/>
                  <w:tcBorders>
                    <w:tl2br w:val="nil"/>
                    <w:tr2bl w:val="nil"/>
                  </w:tcBorders>
                  <w:vAlign w:val="center"/>
                </w:tcPr>
                <w:p w14:paraId="45639CFC">
                  <w:pPr>
                    <w:adjustRightInd w:val="0"/>
                    <w:snapToGrid w:val="0"/>
                    <w:spacing w:line="240" w:lineRule="auto"/>
                    <w:ind w:firstLine="0" w:firstLineChars="0"/>
                    <w:jc w:val="center"/>
                    <w:rPr>
                      <w:rFonts w:hint="eastAsia" w:cs="Times New Roman"/>
                      <w:color w:val="0000FF"/>
                      <w:sz w:val="21"/>
                      <w:szCs w:val="21"/>
                    </w:rPr>
                  </w:pPr>
                  <w:r>
                    <w:rPr>
                      <w:rFonts w:hint="eastAsia" w:cs="Times New Roman"/>
                      <w:color w:val="000000" w:themeColor="text1"/>
                      <w:sz w:val="21"/>
                      <w:szCs w:val="21"/>
                      <w14:textFill>
                        <w14:solidFill>
                          <w14:schemeClr w14:val="tx1"/>
                        </w14:solidFill>
                      </w14:textFill>
                    </w:rPr>
                    <w:t>43.8</w:t>
                  </w:r>
                </w:p>
              </w:tc>
              <w:tc>
                <w:tcPr>
                  <w:tcW w:w="1740" w:type="dxa"/>
                  <w:vMerge w:val="restart"/>
                  <w:tcBorders>
                    <w:left w:val="single" w:color="000000" w:sz="4" w:space="0"/>
                    <w:right w:val="single" w:color="000000" w:sz="4" w:space="0"/>
                    <w:tl2br w:val="nil"/>
                    <w:tr2bl w:val="nil"/>
                  </w:tcBorders>
                  <w:vAlign w:val="center"/>
                </w:tcPr>
                <w:p w14:paraId="429D7732">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昼间65dB(A)</w:t>
                  </w:r>
                </w:p>
              </w:tc>
              <w:tc>
                <w:tcPr>
                  <w:tcW w:w="1456" w:type="dxa"/>
                  <w:tcBorders>
                    <w:left w:val="single" w:color="000000" w:sz="4" w:space="0"/>
                    <w:tl2br w:val="nil"/>
                    <w:tr2bl w:val="nil"/>
                  </w:tcBorders>
                  <w:vAlign w:val="center"/>
                </w:tcPr>
                <w:p w14:paraId="29F7A96A">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0C39EA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tcBorders>
                    <w:tl2br w:val="nil"/>
                    <w:tr2bl w:val="nil"/>
                  </w:tcBorders>
                  <w:vAlign w:val="center"/>
                </w:tcPr>
                <w:p w14:paraId="66C31D65">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1766" w:type="dxa"/>
                  <w:tcBorders>
                    <w:tl2br w:val="nil"/>
                    <w:tr2bl w:val="nil"/>
                  </w:tcBorders>
                  <w:vAlign w:val="center"/>
                </w:tcPr>
                <w:p w14:paraId="6CD9F614">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项目南厂界</w:t>
                  </w:r>
                </w:p>
              </w:tc>
              <w:tc>
                <w:tcPr>
                  <w:tcW w:w="2340" w:type="dxa"/>
                  <w:tcBorders>
                    <w:tl2br w:val="nil"/>
                    <w:tr2bl w:val="nil"/>
                  </w:tcBorders>
                  <w:vAlign w:val="center"/>
                </w:tcPr>
                <w:p w14:paraId="3DA69C7C">
                  <w:pPr>
                    <w:adjustRightInd w:val="0"/>
                    <w:snapToGrid w:val="0"/>
                    <w:spacing w:line="240" w:lineRule="auto"/>
                    <w:ind w:firstLine="0" w:firstLineChars="0"/>
                    <w:jc w:val="center"/>
                    <w:rPr>
                      <w:rFonts w:hint="eastAsia" w:cs="Times New Roman"/>
                      <w:color w:val="0000FF"/>
                      <w:sz w:val="21"/>
                      <w:szCs w:val="21"/>
                    </w:rPr>
                  </w:pPr>
                  <w:r>
                    <w:rPr>
                      <w:rFonts w:hint="eastAsia" w:cs="Times New Roman"/>
                      <w:color w:val="000000" w:themeColor="text1"/>
                      <w:sz w:val="21"/>
                      <w:szCs w:val="21"/>
                      <w14:textFill>
                        <w14:solidFill>
                          <w14:schemeClr w14:val="tx1"/>
                        </w14:solidFill>
                      </w14:textFill>
                    </w:rPr>
                    <w:t>45.4</w:t>
                  </w:r>
                </w:p>
              </w:tc>
              <w:tc>
                <w:tcPr>
                  <w:tcW w:w="1740" w:type="dxa"/>
                  <w:vMerge w:val="continue"/>
                  <w:tcBorders>
                    <w:left w:val="single" w:color="000000" w:sz="4" w:space="0"/>
                    <w:right w:val="single" w:color="000000" w:sz="4" w:space="0"/>
                    <w:tl2br w:val="nil"/>
                    <w:tr2bl w:val="nil"/>
                  </w:tcBorders>
                  <w:vAlign w:val="center"/>
                </w:tcPr>
                <w:p w14:paraId="2DF2206C">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56" w:type="dxa"/>
                  <w:tcBorders>
                    <w:left w:val="single" w:color="000000" w:sz="4" w:space="0"/>
                    <w:tl2br w:val="nil"/>
                    <w:tr2bl w:val="nil"/>
                  </w:tcBorders>
                  <w:vAlign w:val="center"/>
                </w:tcPr>
                <w:p w14:paraId="2787F25E">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360A4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tcBorders>
                    <w:tl2br w:val="nil"/>
                    <w:tr2bl w:val="nil"/>
                  </w:tcBorders>
                  <w:vAlign w:val="center"/>
                </w:tcPr>
                <w:p w14:paraId="04E453B2">
                  <w:pPr>
                    <w:adjustRightInd w:val="0"/>
                    <w:snapToGrid w:val="0"/>
                    <w:spacing w:line="240" w:lineRule="auto"/>
                    <w:ind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766" w:type="dxa"/>
                  <w:tcBorders>
                    <w:tl2br w:val="nil"/>
                    <w:tr2bl w:val="nil"/>
                  </w:tcBorders>
                  <w:shd w:val="clear" w:color="auto" w:fill="auto"/>
                  <w:vAlign w:val="center"/>
                </w:tcPr>
                <w:p w14:paraId="5F6A7850">
                  <w:pPr>
                    <w:adjustRightInd w:val="0"/>
                    <w:snapToGrid w:val="0"/>
                    <w:spacing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cs="Times New Roman"/>
                      <w:color w:val="000000" w:themeColor="text1"/>
                      <w:sz w:val="21"/>
                      <w:szCs w:val="21"/>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西厂界</w:t>
                  </w:r>
                </w:p>
              </w:tc>
              <w:tc>
                <w:tcPr>
                  <w:tcW w:w="2340" w:type="dxa"/>
                  <w:tcBorders>
                    <w:tl2br w:val="nil"/>
                    <w:tr2bl w:val="nil"/>
                  </w:tcBorders>
                  <w:shd w:val="clear" w:color="auto" w:fill="auto"/>
                  <w:vAlign w:val="center"/>
                </w:tcPr>
                <w:p w14:paraId="659DA667">
                  <w:pPr>
                    <w:adjustRightInd w:val="0"/>
                    <w:snapToGrid w:val="0"/>
                    <w:spacing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42.6</w:t>
                  </w:r>
                </w:p>
              </w:tc>
              <w:tc>
                <w:tcPr>
                  <w:tcW w:w="1740" w:type="dxa"/>
                  <w:vMerge w:val="continue"/>
                  <w:tcBorders>
                    <w:left w:val="single" w:color="000000" w:sz="4" w:space="0"/>
                    <w:right w:val="single" w:color="000000" w:sz="4" w:space="0"/>
                    <w:tl2br w:val="nil"/>
                    <w:tr2bl w:val="nil"/>
                  </w:tcBorders>
                  <w:vAlign w:val="center"/>
                </w:tcPr>
                <w:p w14:paraId="22438920">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56" w:type="dxa"/>
                  <w:tcBorders>
                    <w:left w:val="single" w:color="000000" w:sz="4" w:space="0"/>
                    <w:tl2br w:val="nil"/>
                    <w:tr2bl w:val="nil"/>
                  </w:tcBorders>
                  <w:vAlign w:val="center"/>
                </w:tcPr>
                <w:p w14:paraId="1BE9E174">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2B55E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tcBorders>
                    <w:tl2br w:val="nil"/>
                    <w:tr2bl w:val="nil"/>
                  </w:tcBorders>
                  <w:vAlign w:val="center"/>
                </w:tcPr>
                <w:p w14:paraId="4C282716">
                  <w:pPr>
                    <w:adjustRightInd w:val="0"/>
                    <w:snapToGrid w:val="0"/>
                    <w:spacing w:line="240" w:lineRule="auto"/>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766" w:type="dxa"/>
                  <w:tcBorders>
                    <w:tl2br w:val="nil"/>
                    <w:tr2bl w:val="nil"/>
                  </w:tcBorders>
                  <w:shd w:val="clear" w:color="auto" w:fill="auto"/>
                  <w:vAlign w:val="center"/>
                </w:tcPr>
                <w:p w14:paraId="4AF5188D">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项目北厂界</w:t>
                  </w:r>
                </w:p>
              </w:tc>
              <w:tc>
                <w:tcPr>
                  <w:tcW w:w="2340" w:type="dxa"/>
                  <w:tcBorders>
                    <w:tl2br w:val="nil"/>
                    <w:tr2bl w:val="nil"/>
                  </w:tcBorders>
                  <w:shd w:val="clear" w:color="auto" w:fill="auto"/>
                  <w:vAlign w:val="center"/>
                </w:tcPr>
                <w:p w14:paraId="445AF130">
                  <w:pPr>
                    <w:adjustRightInd w:val="0"/>
                    <w:snapToGrid w:val="0"/>
                    <w:spacing w:line="240" w:lineRule="auto"/>
                    <w:ind w:firstLine="0" w:firstLineChars="0"/>
                    <w:jc w:val="center"/>
                    <w:rPr>
                      <w:rFonts w:hint="eastAsia" w:cs="Times New Roman"/>
                      <w:color w:val="0000FF"/>
                      <w:sz w:val="21"/>
                      <w:szCs w:val="21"/>
                    </w:rPr>
                  </w:pPr>
                  <w:r>
                    <w:rPr>
                      <w:rFonts w:hint="eastAsia" w:cs="Times New Roman"/>
                      <w:color w:val="000000" w:themeColor="text1"/>
                      <w:sz w:val="21"/>
                      <w:szCs w:val="21"/>
                      <w14:textFill>
                        <w14:solidFill>
                          <w14:schemeClr w14:val="tx1"/>
                        </w14:solidFill>
                      </w14:textFill>
                    </w:rPr>
                    <w:t>41.5</w:t>
                  </w:r>
                </w:p>
              </w:tc>
              <w:tc>
                <w:tcPr>
                  <w:tcW w:w="1740" w:type="dxa"/>
                  <w:vMerge w:val="continue"/>
                  <w:tcBorders>
                    <w:left w:val="single" w:color="000000" w:sz="4" w:space="0"/>
                    <w:right w:val="single" w:color="000000" w:sz="4" w:space="0"/>
                    <w:tl2br w:val="nil"/>
                    <w:tr2bl w:val="nil"/>
                  </w:tcBorders>
                  <w:vAlign w:val="center"/>
                </w:tcPr>
                <w:p w14:paraId="476AC520">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56" w:type="dxa"/>
                  <w:tcBorders>
                    <w:left w:val="single" w:color="000000" w:sz="4" w:space="0"/>
                    <w:tl2br w:val="nil"/>
                    <w:tr2bl w:val="nil"/>
                  </w:tcBorders>
                  <w:vAlign w:val="center"/>
                </w:tcPr>
                <w:p w14:paraId="67487FFE">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bl>
          <w:p w14:paraId="7B8234F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由预测结果可知，项目在采取环评提出的噪声治理措施后，</w:t>
            </w:r>
            <w:r>
              <w:rPr>
                <w:rFonts w:hint="eastAsia" w:cs="Times New Roman"/>
                <w:color w:val="000000" w:themeColor="text1"/>
                <w:lang w:val="en-US" w:eastAsia="zh-CN"/>
                <w14:textFill>
                  <w14:solidFill>
                    <w14:schemeClr w14:val="tx1"/>
                  </w14:solidFill>
                </w14:textFill>
              </w:rPr>
              <w:t>项目</w:t>
            </w:r>
            <w:r>
              <w:rPr>
                <w:rFonts w:cs="Times New Roman"/>
                <w:color w:val="000000" w:themeColor="text1"/>
                <w14:textFill>
                  <w14:solidFill>
                    <w14:schemeClr w14:val="tx1"/>
                  </w14:solidFill>
                </w14:textFill>
              </w:rPr>
              <w:t>厂界噪声贡献值均低于《工业企业厂界环境噪声排放标准》（GB 12348-2008）3类标准限值，对周围环境造成的影响较小。</w:t>
            </w:r>
          </w:p>
          <w:p w14:paraId="1F9A378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（3）噪声监测计划</w:t>
            </w:r>
          </w:p>
          <w:p w14:paraId="1734592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根据《排污许可证申请与核发技术规范 工业噪声》（HJ 1301-2023），噪声监测指标及频次</w:t>
            </w:r>
            <w:r>
              <w:rPr>
                <w:rFonts w:hint="eastAsia" w:cs="Times New Roman"/>
                <w:color w:val="000000" w:themeColor="text1"/>
                <w:lang w:val="en-US" w:eastAsia="zh-CN"/>
                <w14:textFill>
                  <w14:solidFill>
                    <w14:schemeClr w14:val="tx1"/>
                  </w14:solidFill>
                </w14:textFill>
              </w:rPr>
              <w:t>如下表所示</w:t>
            </w:r>
            <w:r>
              <w:rPr>
                <w:rFonts w:cs="Times New Roman"/>
                <w:color w:val="000000" w:themeColor="text1"/>
                <w14:textFill>
                  <w14:solidFill>
                    <w14:schemeClr w14:val="tx1"/>
                  </w14:solidFill>
                </w14:textFill>
              </w:rPr>
              <w:t>。</w:t>
            </w:r>
          </w:p>
          <w:p w14:paraId="075A0A7F">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表4-1</w:t>
            </w:r>
            <w:r>
              <w:rPr>
                <w:rFonts w:hint="eastAsia" w:cs="Times New Roman"/>
                <w:color w:val="000000" w:themeColor="text1"/>
                <w:lang w:val="en-US" w:eastAsia="zh-CN"/>
                <w14:textFill>
                  <w14:solidFill>
                    <w14:schemeClr w14:val="tx1"/>
                  </w14:solidFill>
                </w14:textFill>
              </w:rPr>
              <w:t>6</w:t>
            </w:r>
            <w:r>
              <w:rPr>
                <w:rFonts w:cs="Times New Roman"/>
                <w:color w:val="000000" w:themeColor="text1"/>
                <w14:textFill>
                  <w14:solidFill>
                    <w14:schemeClr w14:val="tx1"/>
                  </w14:solidFill>
                </w14:textFill>
              </w:rPr>
              <w:t xml:space="preserve"> 本项目噪声监测情况一览表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545"/>
              <w:gridCol w:w="1710"/>
              <w:gridCol w:w="1125"/>
              <w:gridCol w:w="2888"/>
            </w:tblGrid>
            <w:tr w14:paraId="4AFCC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59FCCCD2">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45" w:type="dxa"/>
                  <w:tcBorders>
                    <w:tl2br w:val="nil"/>
                    <w:tr2bl w:val="nil"/>
                  </w:tcBorders>
                  <w:vAlign w:val="center"/>
                </w:tcPr>
                <w:p w14:paraId="084AE906">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监测点位</w:t>
                  </w:r>
                </w:p>
              </w:tc>
              <w:tc>
                <w:tcPr>
                  <w:tcW w:w="1710" w:type="dxa"/>
                  <w:tcBorders>
                    <w:tl2br w:val="nil"/>
                    <w:tr2bl w:val="nil"/>
                  </w:tcBorders>
                  <w:vAlign w:val="center"/>
                </w:tcPr>
                <w:p w14:paraId="3CA810B7">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监测项目</w:t>
                  </w:r>
                </w:p>
              </w:tc>
              <w:tc>
                <w:tcPr>
                  <w:tcW w:w="1125" w:type="dxa"/>
                  <w:tcBorders>
                    <w:tl2br w:val="nil"/>
                    <w:tr2bl w:val="nil"/>
                  </w:tcBorders>
                  <w:vAlign w:val="center"/>
                </w:tcPr>
                <w:p w14:paraId="45D27EFE">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频次</w:t>
                  </w:r>
                </w:p>
              </w:tc>
              <w:tc>
                <w:tcPr>
                  <w:tcW w:w="2888" w:type="dxa"/>
                  <w:tcBorders>
                    <w:tl2br w:val="nil"/>
                    <w:tr2bl w:val="nil"/>
                  </w:tcBorders>
                  <w:vAlign w:val="center"/>
                </w:tcPr>
                <w:p w14:paraId="1322601F">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执行标准</w:t>
                  </w:r>
                </w:p>
              </w:tc>
            </w:tr>
            <w:tr w14:paraId="7DC0EF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0DE1C94A">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45" w:type="dxa"/>
                  <w:tcBorders>
                    <w:tl2br w:val="nil"/>
                    <w:tr2bl w:val="nil"/>
                  </w:tcBorders>
                  <w:vAlign w:val="center"/>
                </w:tcPr>
                <w:p w14:paraId="2362CA90">
                  <w:pPr>
                    <w:adjustRightInd w:val="0"/>
                    <w:snapToGrid w:val="0"/>
                    <w:spacing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东、南、西、北厂界</w:t>
                  </w:r>
                </w:p>
              </w:tc>
              <w:tc>
                <w:tcPr>
                  <w:tcW w:w="1710" w:type="dxa"/>
                  <w:tcBorders>
                    <w:tl2br w:val="nil"/>
                    <w:tr2bl w:val="nil"/>
                  </w:tcBorders>
                  <w:vAlign w:val="center"/>
                </w:tcPr>
                <w:p w14:paraId="4D66BAD6">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等效连续A声级</w:t>
                  </w:r>
                </w:p>
              </w:tc>
              <w:tc>
                <w:tcPr>
                  <w:tcW w:w="1125" w:type="dxa"/>
                  <w:tcBorders>
                    <w:tl2br w:val="nil"/>
                    <w:tr2bl w:val="nil"/>
                  </w:tcBorders>
                  <w:vAlign w:val="center"/>
                </w:tcPr>
                <w:p w14:paraId="5383E65C">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1次/季度</w:t>
                  </w:r>
                </w:p>
              </w:tc>
              <w:tc>
                <w:tcPr>
                  <w:tcW w:w="2888" w:type="dxa"/>
                  <w:tcBorders>
                    <w:tl2br w:val="nil"/>
                    <w:tr2bl w:val="nil"/>
                  </w:tcBorders>
                  <w:vAlign w:val="center"/>
                </w:tcPr>
                <w:p w14:paraId="7654C54E">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《工业企业厂界环境噪声排放标准》（GB12348-2008）中3类标准</w:t>
                  </w:r>
                </w:p>
              </w:tc>
            </w:tr>
          </w:tbl>
          <w:p w14:paraId="4EB68BE1">
            <w:pPr>
              <w:adjustRightInd w:val="0"/>
              <w:snapToGrid w:val="0"/>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4、固体废物环境影响分析</w:t>
            </w:r>
          </w:p>
          <w:p w14:paraId="510F15E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（1）固体废物产生情况分析</w:t>
            </w:r>
          </w:p>
          <w:p w14:paraId="1FF4882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本项目产生的固体废物包括生活垃圾、一般工业固体废物和危险废物。</w:t>
            </w:r>
          </w:p>
          <w:p w14:paraId="4B13CC4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1）生活垃圾</w:t>
            </w:r>
          </w:p>
          <w:p w14:paraId="41CE6F8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本项目劳动定员</w:t>
            </w:r>
            <w:r>
              <w:rPr>
                <w:rFonts w:hint="eastAsia" w:cs="Times New Roman"/>
                <w:color w:val="000000" w:themeColor="text1"/>
                <w:lang w:val="en-US" w:eastAsia="zh-CN"/>
                <w14:textFill>
                  <w14:solidFill>
                    <w14:schemeClr w14:val="tx1"/>
                  </w14:solidFill>
                </w14:textFill>
              </w:rPr>
              <w:t>60</w:t>
            </w:r>
            <w:r>
              <w:rPr>
                <w:rFonts w:cs="Times New Roman"/>
                <w:color w:val="000000" w:themeColor="text1"/>
                <w14:textFill>
                  <w14:solidFill>
                    <w14:schemeClr w14:val="tx1"/>
                  </w14:solidFill>
                </w14:textFill>
              </w:rPr>
              <w:t>人，参照《排放源统计调查产排污核算方法和系数手册》和环境影响工程师培训教材《社会区域类环境影响评价培训教材》中推荐的生活垃圾产污系数，取0.5kg/人·d，则生活垃圾产生量0.0</w:t>
            </w:r>
            <w:r>
              <w:rPr>
                <w:rFonts w:hint="eastAsia" w:cs="Times New Roman"/>
                <w:color w:val="000000" w:themeColor="text1"/>
                <w:lang w:val="en-US" w:eastAsia="zh-CN"/>
                <w14:textFill>
                  <w14:solidFill>
                    <w14:schemeClr w14:val="tx1"/>
                  </w14:solidFill>
                </w14:textFill>
              </w:rPr>
              <w:t>3</w:t>
            </w:r>
            <w:r>
              <w:rPr>
                <w:rFonts w:cs="Times New Roman"/>
                <w:color w:val="000000" w:themeColor="text1"/>
                <w14:textFill>
                  <w14:solidFill>
                    <w14:schemeClr w14:val="tx1"/>
                  </w14:solidFill>
                </w14:textFill>
              </w:rPr>
              <w:t>t/d（</w:t>
            </w:r>
            <w:r>
              <w:rPr>
                <w:rFonts w:hint="eastAsia" w:cs="Times New Roman"/>
                <w:color w:val="000000" w:themeColor="text1"/>
                <w:lang w:val="en-US" w:eastAsia="zh-CN"/>
                <w14:textFill>
                  <w14:solidFill>
                    <w14:schemeClr w14:val="tx1"/>
                  </w14:solidFill>
                </w14:textFill>
              </w:rPr>
              <w:t>7.5</w:t>
            </w:r>
            <w:r>
              <w:rPr>
                <w:rFonts w:cs="Times New Roman"/>
                <w:color w:val="000000" w:themeColor="text1"/>
                <w14:textFill>
                  <w14:solidFill>
                    <w14:schemeClr w14:val="tx1"/>
                  </w14:solidFill>
                </w14:textFill>
              </w:rPr>
              <w:t>t/a），生活垃圾定点收集，定期由当地环卫部门收集清运。</w:t>
            </w:r>
          </w:p>
          <w:p w14:paraId="4768B1D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2）一般工业固体废物</w:t>
            </w:r>
          </w:p>
          <w:p w14:paraId="49AB52D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本项目一般工业固体废物主要包括：</w:t>
            </w:r>
            <w:r>
              <w:rPr>
                <w:rFonts w:hint="eastAsia" w:cs="Times New Roman"/>
                <w:color w:val="000000" w:themeColor="text1"/>
                <w:lang w:val="en-US" w:eastAsia="zh-CN"/>
                <w14:textFill>
                  <w14:solidFill>
                    <w14:schemeClr w14:val="tx1"/>
                  </w14:solidFill>
                </w14:textFill>
              </w:rPr>
              <w:t>废包装物、</w:t>
            </w:r>
            <w:r>
              <w:rPr>
                <w:rFonts w:cs="Times New Roman"/>
                <w:color w:val="000000" w:themeColor="text1"/>
                <w14:textFill>
                  <w14:solidFill>
                    <w14:schemeClr w14:val="tx1"/>
                  </w14:solidFill>
                </w14:textFill>
              </w:rPr>
              <w:t>废样品、试验残留样品、废布袋。</w:t>
            </w:r>
          </w:p>
          <w:p w14:paraId="5BD46FA6">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①</w:t>
            </w:r>
            <w:r>
              <w:rPr>
                <w:rFonts w:hint="eastAsia" w:cs="Times New Roman"/>
                <w:color w:val="000000" w:themeColor="text1"/>
                <w:lang w:val="en-US" w:eastAsia="zh-CN"/>
                <w14:textFill>
                  <w14:solidFill>
                    <w14:schemeClr w14:val="tx1"/>
                  </w14:solidFill>
                </w14:textFill>
              </w:rPr>
              <w:t>废包装物</w:t>
            </w:r>
          </w:p>
          <w:p w14:paraId="0AF48A57">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项目试剂、样品等包装过程中会产生废包装物，根据建设单位提供资料，废包装物产生量约为0.5t/a，收集后外售至废品回收站。</w:t>
            </w:r>
          </w:p>
          <w:p w14:paraId="7E5ADD1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②废样品</w:t>
            </w:r>
          </w:p>
          <w:p w14:paraId="2F0B898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项目实验前样品前处理、实验后留样结束会产生废样品，根据</w:t>
            </w:r>
            <w:r>
              <w:rPr>
                <w:rFonts w:hint="eastAsia" w:cs="Times New Roman"/>
                <w:color w:val="000000" w:themeColor="text1"/>
                <w:lang w:val="en-US" w:eastAsia="zh-CN"/>
                <w14:textFill>
                  <w14:solidFill>
                    <w14:schemeClr w14:val="tx1"/>
                  </w14:solidFill>
                </w14:textFill>
              </w:rPr>
              <w:t>建设单位提供的资料</w:t>
            </w:r>
            <w:r>
              <w:rPr>
                <w:rFonts w:cs="Times New Roman"/>
                <w:color w:val="000000" w:themeColor="text1"/>
                <w14:textFill>
                  <w14:solidFill>
                    <w14:schemeClr w14:val="tx1"/>
                  </w14:solidFill>
                </w14:textFill>
              </w:rPr>
              <w:t>约</w:t>
            </w:r>
            <w:r>
              <w:rPr>
                <w:rFonts w:hint="eastAsia" w:cs="Times New Roman"/>
                <w:color w:val="000000" w:themeColor="text1"/>
                <w:lang w:val="en-US" w:eastAsia="zh-CN"/>
                <w14:textFill>
                  <w14:solidFill>
                    <w14:schemeClr w14:val="tx1"/>
                  </w14:solidFill>
                </w14:textFill>
              </w:rPr>
              <w:t>1.5</w:t>
            </w:r>
            <w:r>
              <w:rPr>
                <w:rFonts w:cs="Times New Roman"/>
                <w:color w:val="000000" w:themeColor="text1"/>
                <w14:textFill>
                  <w14:solidFill>
                    <w14:schemeClr w14:val="tx1"/>
                  </w14:solidFill>
                </w14:textFill>
              </w:rPr>
              <w:t>t/a，统一收集后委托</w:t>
            </w:r>
            <w:r>
              <w:rPr>
                <w:rFonts w:hint="eastAsia" w:cs="Times New Roman"/>
                <w:color w:val="000000" w:themeColor="text1"/>
                <w14:textFill>
                  <w14:solidFill>
                    <w14:schemeClr w14:val="tx1"/>
                  </w14:solidFill>
                </w14:textFill>
              </w:rPr>
              <w:t>一般工业固体废物</w:t>
            </w:r>
            <w:r>
              <w:rPr>
                <w:rFonts w:cs="Times New Roman"/>
                <w:color w:val="000000" w:themeColor="text1"/>
                <w14:textFill>
                  <w14:solidFill>
                    <w14:schemeClr w14:val="tx1"/>
                  </w14:solidFill>
                </w14:textFill>
              </w:rPr>
              <w:t>回收单位处置。</w:t>
            </w:r>
          </w:p>
          <w:p w14:paraId="31A97A1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③试验残留样品</w:t>
            </w:r>
          </w:p>
          <w:p w14:paraId="0C7E04F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项目样品燃烧过程中会产生一定量的试验残留样品，根据</w:t>
            </w:r>
            <w:r>
              <w:rPr>
                <w:rFonts w:hint="eastAsia" w:cs="Times New Roman"/>
                <w:color w:val="000000" w:themeColor="text1"/>
                <w:lang w:val="en-US" w:eastAsia="zh-CN"/>
                <w14:textFill>
                  <w14:solidFill>
                    <w14:schemeClr w14:val="tx1"/>
                  </w14:solidFill>
                </w14:textFill>
              </w:rPr>
              <w:t>建设单位提供的资料</w:t>
            </w:r>
            <w:r>
              <w:rPr>
                <w:rFonts w:cs="Times New Roman"/>
                <w:color w:val="000000" w:themeColor="text1"/>
                <w14:textFill>
                  <w14:solidFill>
                    <w14:schemeClr w14:val="tx1"/>
                  </w14:solidFill>
                </w14:textFill>
              </w:rPr>
              <w:t>约</w:t>
            </w:r>
            <w:r>
              <w:rPr>
                <w:rFonts w:hint="eastAsia" w:cs="Times New Roman"/>
                <w:color w:val="000000" w:themeColor="text1"/>
                <w:lang w:val="en-US" w:eastAsia="zh-CN"/>
                <w14:textFill>
                  <w14:solidFill>
                    <w14:schemeClr w14:val="tx1"/>
                  </w14:solidFill>
                </w14:textFill>
              </w:rPr>
              <w:t>0.2</w:t>
            </w:r>
            <w:r>
              <w:rPr>
                <w:rFonts w:cs="Times New Roman"/>
                <w:color w:val="000000" w:themeColor="text1"/>
                <w14:textFill>
                  <w14:solidFill>
                    <w14:schemeClr w14:val="tx1"/>
                  </w14:solidFill>
                </w14:textFill>
              </w:rPr>
              <w:t>t/a，统一收集后委托</w:t>
            </w:r>
            <w:r>
              <w:rPr>
                <w:rFonts w:hint="eastAsia" w:cs="Times New Roman"/>
                <w:color w:val="000000" w:themeColor="text1"/>
                <w14:textFill>
                  <w14:solidFill>
                    <w14:schemeClr w14:val="tx1"/>
                  </w14:solidFill>
                </w14:textFill>
              </w:rPr>
              <w:t>一般工业固体废物</w:t>
            </w:r>
            <w:r>
              <w:rPr>
                <w:rFonts w:cs="Times New Roman"/>
                <w:color w:val="000000" w:themeColor="text1"/>
                <w14:textFill>
                  <w14:solidFill>
                    <w14:schemeClr w14:val="tx1"/>
                  </w14:solidFill>
                </w14:textFill>
              </w:rPr>
              <w:t>回收单位处置。</w:t>
            </w:r>
          </w:p>
          <w:p w14:paraId="3680C4EA">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④</w:t>
            </w:r>
            <w:r>
              <w:rPr>
                <w:rFonts w:cs="Times New Roman"/>
                <w:color w:val="000000" w:themeColor="text1"/>
                <w14:textFill>
                  <w14:solidFill>
                    <w14:schemeClr w14:val="tx1"/>
                  </w14:solidFill>
                </w14:textFill>
              </w:rPr>
              <w:t>废布袋</w:t>
            </w:r>
          </w:p>
          <w:p w14:paraId="226936B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项目废气处理设施布袋除尘器运营过程中会产生废布袋，布袋除尘器由生产厂家进行维护，1年1次，根据</w:t>
            </w:r>
            <w:r>
              <w:rPr>
                <w:rFonts w:hint="eastAsia" w:cs="Times New Roman"/>
                <w:color w:val="000000" w:themeColor="text1"/>
                <w:lang w:val="en-US" w:eastAsia="zh-CN"/>
                <w14:textFill>
                  <w14:solidFill>
                    <w14:schemeClr w14:val="tx1"/>
                  </w14:solidFill>
                </w14:textFill>
              </w:rPr>
              <w:t>建设单位提供的资料，</w:t>
            </w:r>
            <w:r>
              <w:rPr>
                <w:rFonts w:cs="Times New Roman"/>
                <w:color w:val="000000" w:themeColor="text1"/>
                <w14:textFill>
                  <w14:solidFill>
                    <w14:schemeClr w14:val="tx1"/>
                  </w14:solidFill>
                </w14:textFill>
              </w:rPr>
              <w:t>废布袋产生量约为</w:t>
            </w:r>
            <w:r>
              <w:rPr>
                <w:rFonts w:hint="eastAsia" w:cs="Times New Roman"/>
                <w:color w:val="000000" w:themeColor="text1"/>
                <w:lang w:val="en-US" w:eastAsia="zh-CN"/>
                <w14:textFill>
                  <w14:solidFill>
                    <w14:schemeClr w14:val="tx1"/>
                  </w14:solidFill>
                </w14:textFill>
              </w:rPr>
              <w:t>0.10</w:t>
            </w:r>
            <w:r>
              <w:rPr>
                <w:rFonts w:cs="Times New Roman"/>
                <w:color w:val="000000" w:themeColor="text1"/>
                <w14:textFill>
                  <w14:solidFill>
                    <w14:schemeClr w14:val="tx1"/>
                  </w14:solidFill>
                </w14:textFill>
              </w:rPr>
              <w:t>t/a，统一收集后由生产厂家回收处置。</w:t>
            </w:r>
          </w:p>
          <w:p w14:paraId="34E6C95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3）危险废物</w:t>
            </w:r>
          </w:p>
          <w:p w14:paraId="6EBE08F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本项目产生的危险废物主要为废活性炭</w:t>
            </w:r>
            <w:r>
              <w:rPr>
                <w:rFonts w:hint="eastAsia" w:cs="Times New Roman"/>
                <w:color w:val="000000" w:themeColor="text1"/>
                <w:lang w:val="en-US" w:eastAsia="zh-CN"/>
                <w14:textFill>
                  <w14:solidFill>
                    <w14:schemeClr w14:val="tx1"/>
                  </w14:solidFill>
                </w14:textFill>
              </w:rPr>
              <w:t>、检测废液（前两遍器皿清洗废水）、废试剂瓶、废一次性耗材（沾染试剂的废一次性吸头、一次性手套、废一次性口罩等）</w:t>
            </w:r>
            <w:r>
              <w:rPr>
                <w:rFonts w:cs="Times New Roman"/>
                <w:color w:val="000000" w:themeColor="text1"/>
                <w14:textFill>
                  <w14:solidFill>
                    <w14:schemeClr w14:val="tx1"/>
                  </w14:solidFill>
                </w14:textFill>
              </w:rPr>
              <w:t>。</w:t>
            </w:r>
          </w:p>
          <w:p w14:paraId="0D4502FB">
            <w:pPr>
              <w:adjustRightInd w:val="0"/>
              <w:snapToGrid w:val="0"/>
              <w:ind w:firstLine="48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活性炭：根据《活性炭手册》，按1kg活性炭吸附0.3kg非甲烷总烃计，本项目活性炭吸附装置处理废气污染物量约为0.049t/a，则每年所需活性炭量为0.163t/a。本项目活性炭吸附装置一次性填充量约100kg/次。根据《实验室挥发性有机物污染防治技术规范》（DB11/T1736-2020）（2020年10月1日实施）“吸附介质更换周期为每半年1次”。本项目活性炭每半年更换一次，本项目活性炭填装量及更换频次满足要求，因此本项目废活性炭产生量约为0.249t/a。</w:t>
            </w:r>
          </w:p>
          <w:p w14:paraId="4FB85E6C">
            <w:pPr>
              <w:adjustRightInd w:val="0"/>
              <w:snapToGrid w:val="0"/>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检测废液：根据水平衡及建设单位提供资料，产生量约为0.80t/a。</w:t>
            </w:r>
          </w:p>
          <w:p w14:paraId="39E7FA12">
            <w:pPr>
              <w:adjustRightInd w:val="0"/>
              <w:snapToGrid w:val="0"/>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废试剂瓶：企业检测过程中会产生废试剂瓶，产生量约为0.01t/a。</w:t>
            </w:r>
          </w:p>
          <w:p w14:paraId="7425B4E1">
            <w:pPr>
              <w:adjustRightInd w:val="0"/>
              <w:snapToGrid w:val="0"/>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废一次性耗材：根据建设单位提供资料，年产生量约为0.1t/a。</w:t>
            </w:r>
          </w:p>
          <w:p w14:paraId="30C0CC0E">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危险废物暂存于</w:t>
            </w:r>
            <w:r>
              <w:rPr>
                <w:rFonts w:hint="eastAsia" w:cs="Times New Roman"/>
                <w:color w:val="000000" w:themeColor="text1"/>
                <w:lang w:val="en-US" w:eastAsia="zh-CN"/>
                <w14:textFill>
                  <w14:solidFill>
                    <w14:schemeClr w14:val="tx1"/>
                  </w14:solidFill>
                </w14:textFill>
              </w:rPr>
              <w:t>危险废物暂存间</w:t>
            </w:r>
            <w:r>
              <w:rPr>
                <w:rFonts w:hint="eastAsia" w:cs="Times New Roman"/>
                <w:color w:val="000000" w:themeColor="text1"/>
                <w14:textFill>
                  <w14:solidFill>
                    <w14:schemeClr w14:val="tx1"/>
                  </w14:solidFill>
                </w14:textFill>
              </w:rPr>
              <w:t>，定期委托给有资质的单位进行处置。</w:t>
            </w:r>
          </w:p>
          <w:p w14:paraId="49EBB590">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7</w:t>
            </w:r>
            <w:r>
              <w:rPr>
                <w:rFonts w:cs="Times New Roman"/>
                <w:color w:val="000000" w:themeColor="text1"/>
                <w14:textFill>
                  <w14:solidFill>
                    <w14:schemeClr w14:val="tx1"/>
                  </w14:solidFill>
                </w14:textFill>
              </w:rPr>
              <w:t xml:space="preserve"> 本项目危险废物产生情况一览表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3"/>
              <w:gridCol w:w="644"/>
              <w:gridCol w:w="765"/>
              <w:gridCol w:w="1140"/>
              <w:gridCol w:w="735"/>
              <w:gridCol w:w="690"/>
              <w:gridCol w:w="630"/>
              <w:gridCol w:w="600"/>
              <w:gridCol w:w="615"/>
              <w:gridCol w:w="1651"/>
            </w:tblGrid>
            <w:tr w14:paraId="67E4E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dxa"/>
                  <w:tcBorders>
                    <w:tl2br w:val="nil"/>
                    <w:tr2bl w:val="nil"/>
                  </w:tcBorders>
                  <w:vAlign w:val="center"/>
                </w:tcPr>
                <w:p w14:paraId="5C819621">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序号</w:t>
                  </w:r>
                </w:p>
              </w:tc>
              <w:tc>
                <w:tcPr>
                  <w:tcW w:w="644" w:type="dxa"/>
                  <w:tcBorders>
                    <w:tl2br w:val="nil"/>
                    <w:tr2bl w:val="nil"/>
                  </w:tcBorders>
                  <w:vAlign w:val="center"/>
                </w:tcPr>
                <w:p w14:paraId="7835A1A2">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名称</w:t>
                  </w:r>
                </w:p>
              </w:tc>
              <w:tc>
                <w:tcPr>
                  <w:tcW w:w="765" w:type="dxa"/>
                  <w:tcBorders>
                    <w:tl2br w:val="nil"/>
                    <w:tr2bl w:val="nil"/>
                  </w:tcBorders>
                  <w:vAlign w:val="center"/>
                </w:tcPr>
                <w:p w14:paraId="14800AE2">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代码</w:t>
                  </w:r>
                </w:p>
              </w:tc>
              <w:tc>
                <w:tcPr>
                  <w:tcW w:w="1140" w:type="dxa"/>
                  <w:tcBorders>
                    <w:tl2br w:val="nil"/>
                    <w:tr2bl w:val="nil"/>
                  </w:tcBorders>
                  <w:vAlign w:val="center"/>
                </w:tcPr>
                <w:p w14:paraId="21A388A2">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废物代码</w:t>
                  </w:r>
                </w:p>
              </w:tc>
              <w:tc>
                <w:tcPr>
                  <w:tcW w:w="735" w:type="dxa"/>
                  <w:tcBorders>
                    <w:tl2br w:val="nil"/>
                    <w:tr2bl w:val="nil"/>
                  </w:tcBorders>
                  <w:vAlign w:val="center"/>
                </w:tcPr>
                <w:p w14:paraId="0D6AAA92">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产生量t/a</w:t>
                  </w:r>
                </w:p>
              </w:tc>
              <w:tc>
                <w:tcPr>
                  <w:tcW w:w="690" w:type="dxa"/>
                  <w:tcBorders>
                    <w:tl2br w:val="nil"/>
                    <w:tr2bl w:val="nil"/>
                  </w:tcBorders>
                  <w:vAlign w:val="center"/>
                </w:tcPr>
                <w:p w14:paraId="13D54311">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产生工序</w:t>
                  </w:r>
                </w:p>
              </w:tc>
              <w:tc>
                <w:tcPr>
                  <w:tcW w:w="630" w:type="dxa"/>
                  <w:tcBorders>
                    <w:tl2br w:val="nil"/>
                    <w:tr2bl w:val="nil"/>
                  </w:tcBorders>
                  <w:vAlign w:val="center"/>
                </w:tcPr>
                <w:p w14:paraId="5AEA55FB">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形态</w:t>
                  </w:r>
                </w:p>
              </w:tc>
              <w:tc>
                <w:tcPr>
                  <w:tcW w:w="600" w:type="dxa"/>
                  <w:tcBorders>
                    <w:tl2br w:val="nil"/>
                    <w:tr2bl w:val="nil"/>
                  </w:tcBorders>
                  <w:vAlign w:val="center"/>
                </w:tcPr>
                <w:p w14:paraId="66E7EDA8">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产废周期</w:t>
                  </w:r>
                </w:p>
              </w:tc>
              <w:tc>
                <w:tcPr>
                  <w:tcW w:w="615" w:type="dxa"/>
                  <w:tcBorders>
                    <w:tl2br w:val="nil"/>
                    <w:tr2bl w:val="nil"/>
                  </w:tcBorders>
                  <w:vAlign w:val="center"/>
                </w:tcPr>
                <w:p w14:paraId="170143F5">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危险特性</w:t>
                  </w:r>
                </w:p>
              </w:tc>
              <w:tc>
                <w:tcPr>
                  <w:tcW w:w="1651" w:type="dxa"/>
                  <w:tcBorders>
                    <w:tl2br w:val="nil"/>
                    <w:tr2bl w:val="nil"/>
                  </w:tcBorders>
                  <w:vAlign w:val="center"/>
                </w:tcPr>
                <w:p w14:paraId="66EF4BB9">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污染防治措施</w:t>
                  </w:r>
                </w:p>
              </w:tc>
            </w:tr>
            <w:tr w14:paraId="1359E2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dxa"/>
                  <w:tcBorders>
                    <w:top w:val="single" w:color="000000" w:sz="4" w:space="0"/>
                    <w:bottom w:val="single" w:color="000000" w:sz="4" w:space="0"/>
                    <w:tl2br w:val="nil"/>
                    <w:tr2bl w:val="nil"/>
                  </w:tcBorders>
                  <w:vAlign w:val="center"/>
                </w:tcPr>
                <w:p w14:paraId="10AED555">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1</w:t>
                  </w:r>
                </w:p>
              </w:tc>
              <w:tc>
                <w:tcPr>
                  <w:tcW w:w="644" w:type="dxa"/>
                  <w:tcBorders>
                    <w:top w:val="single" w:color="000000" w:sz="4" w:space="0"/>
                    <w:bottom w:val="single" w:color="000000" w:sz="4" w:space="0"/>
                    <w:tl2br w:val="nil"/>
                    <w:tr2bl w:val="nil"/>
                  </w:tcBorders>
                  <w:vAlign w:val="center"/>
                </w:tcPr>
                <w:p w14:paraId="3C7961C5">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废活性炭</w:t>
                  </w:r>
                </w:p>
              </w:tc>
              <w:tc>
                <w:tcPr>
                  <w:tcW w:w="765" w:type="dxa"/>
                  <w:tcBorders>
                    <w:tl2br w:val="nil"/>
                    <w:tr2bl w:val="nil"/>
                  </w:tcBorders>
                  <w:vAlign w:val="center"/>
                </w:tcPr>
                <w:p w14:paraId="2EFDB993">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HW49</w:t>
                  </w:r>
                </w:p>
              </w:tc>
              <w:tc>
                <w:tcPr>
                  <w:tcW w:w="1140" w:type="dxa"/>
                  <w:tcBorders>
                    <w:tl2br w:val="nil"/>
                    <w:tr2bl w:val="nil"/>
                  </w:tcBorders>
                  <w:vAlign w:val="center"/>
                </w:tcPr>
                <w:p w14:paraId="00C2CFAC">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900-039-49</w:t>
                  </w:r>
                </w:p>
              </w:tc>
              <w:tc>
                <w:tcPr>
                  <w:tcW w:w="735" w:type="dxa"/>
                  <w:tcBorders>
                    <w:tl2br w:val="nil"/>
                    <w:tr2bl w:val="nil"/>
                  </w:tcBorders>
                  <w:vAlign w:val="center"/>
                </w:tcPr>
                <w:p w14:paraId="2390592D">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0.249</w:t>
                  </w:r>
                </w:p>
              </w:tc>
              <w:tc>
                <w:tcPr>
                  <w:tcW w:w="690" w:type="dxa"/>
                  <w:tcBorders>
                    <w:tl2br w:val="nil"/>
                    <w:tr2bl w:val="nil"/>
                  </w:tcBorders>
                  <w:vAlign w:val="center"/>
                </w:tcPr>
                <w:p w14:paraId="71891198">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废气治理</w:t>
                  </w:r>
                </w:p>
              </w:tc>
              <w:tc>
                <w:tcPr>
                  <w:tcW w:w="630" w:type="dxa"/>
                  <w:tcBorders>
                    <w:tl2br w:val="nil"/>
                    <w:tr2bl w:val="nil"/>
                  </w:tcBorders>
                  <w:vAlign w:val="center"/>
                </w:tcPr>
                <w:p w14:paraId="1D11625F">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固态</w:t>
                  </w:r>
                </w:p>
              </w:tc>
              <w:tc>
                <w:tcPr>
                  <w:tcW w:w="600" w:type="dxa"/>
                  <w:tcBorders>
                    <w:tl2br w:val="nil"/>
                    <w:tr2bl w:val="nil"/>
                  </w:tcBorders>
                  <w:vAlign w:val="center"/>
                </w:tcPr>
                <w:p w14:paraId="321EDECD">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1年</w:t>
                  </w:r>
                </w:p>
              </w:tc>
              <w:tc>
                <w:tcPr>
                  <w:tcW w:w="615" w:type="dxa"/>
                  <w:tcBorders>
                    <w:tl2br w:val="nil"/>
                    <w:tr2bl w:val="nil"/>
                  </w:tcBorders>
                  <w:vAlign w:val="center"/>
                </w:tcPr>
                <w:p w14:paraId="1446246A">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T</w:t>
                  </w:r>
                </w:p>
              </w:tc>
              <w:tc>
                <w:tcPr>
                  <w:tcW w:w="1651" w:type="dxa"/>
                  <w:vMerge w:val="restart"/>
                  <w:tcBorders>
                    <w:tl2br w:val="nil"/>
                    <w:tr2bl w:val="nil"/>
                  </w:tcBorders>
                  <w:vAlign w:val="center"/>
                </w:tcPr>
                <w:p w14:paraId="1DFB55C5">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危险废物暂存间</w:t>
                  </w:r>
                  <w:r>
                    <w:rPr>
                      <w:rFonts w:cs="Times New Roman"/>
                      <w:color w:val="000000" w:themeColor="text1"/>
                      <w:spacing w:val="-10"/>
                      <w:sz w:val="21"/>
                      <w:szCs w:val="21"/>
                      <w14:textFill>
                        <w14:solidFill>
                          <w14:schemeClr w14:val="tx1"/>
                        </w14:solidFill>
                      </w14:textFill>
                    </w:rPr>
                    <w:t>暂存，定期委托有资质的危废单位处置</w:t>
                  </w:r>
                </w:p>
              </w:tc>
            </w:tr>
            <w:tr w14:paraId="72C29C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dxa"/>
                  <w:tcBorders>
                    <w:top w:val="single" w:color="000000" w:sz="4" w:space="0"/>
                    <w:bottom w:val="single" w:color="000000" w:sz="4" w:space="0"/>
                    <w:tl2br w:val="nil"/>
                    <w:tr2bl w:val="nil"/>
                  </w:tcBorders>
                  <w:vAlign w:val="center"/>
                </w:tcPr>
                <w:p w14:paraId="4748E59D">
                  <w:pPr>
                    <w:adjustRightInd w:val="0"/>
                    <w:snapToGrid w:val="0"/>
                    <w:spacing w:line="240" w:lineRule="auto"/>
                    <w:ind w:firstLine="0" w:firstLineChars="0"/>
                    <w:jc w:val="center"/>
                    <w:rPr>
                      <w:rFonts w:hint="eastAsia"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2</w:t>
                  </w:r>
                </w:p>
              </w:tc>
              <w:tc>
                <w:tcPr>
                  <w:tcW w:w="644" w:type="dxa"/>
                  <w:tcBorders>
                    <w:top w:val="single" w:color="000000" w:sz="4" w:space="0"/>
                    <w:bottom w:val="single" w:color="000000" w:sz="4" w:space="0"/>
                    <w:tl2br w:val="nil"/>
                    <w:tr2bl w:val="nil"/>
                  </w:tcBorders>
                  <w:vAlign w:val="center"/>
                </w:tcPr>
                <w:p w14:paraId="354E4234">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检测废液</w:t>
                  </w:r>
                </w:p>
              </w:tc>
              <w:tc>
                <w:tcPr>
                  <w:tcW w:w="765" w:type="dxa"/>
                  <w:tcBorders>
                    <w:tl2br w:val="nil"/>
                    <w:tr2bl w:val="nil"/>
                  </w:tcBorders>
                  <w:vAlign w:val="center"/>
                </w:tcPr>
                <w:p w14:paraId="5024CF5D">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HW49</w:t>
                  </w:r>
                </w:p>
              </w:tc>
              <w:tc>
                <w:tcPr>
                  <w:tcW w:w="1140" w:type="dxa"/>
                  <w:tcBorders>
                    <w:tl2br w:val="nil"/>
                    <w:tr2bl w:val="nil"/>
                  </w:tcBorders>
                  <w:vAlign w:val="center"/>
                </w:tcPr>
                <w:p w14:paraId="33386A5F">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900-0</w:t>
                  </w:r>
                  <w:r>
                    <w:rPr>
                      <w:rFonts w:hint="eastAsia" w:cs="Times New Roman"/>
                      <w:color w:val="000000" w:themeColor="text1"/>
                      <w:spacing w:val="-10"/>
                      <w:sz w:val="21"/>
                      <w:szCs w:val="21"/>
                      <w:lang w:val="en-US" w:eastAsia="zh-CN"/>
                      <w14:textFill>
                        <w14:solidFill>
                          <w14:schemeClr w14:val="tx1"/>
                        </w14:solidFill>
                      </w14:textFill>
                    </w:rPr>
                    <w:t>47</w:t>
                  </w:r>
                  <w:r>
                    <w:rPr>
                      <w:rFonts w:cs="Times New Roman"/>
                      <w:color w:val="000000" w:themeColor="text1"/>
                      <w:spacing w:val="-10"/>
                      <w:sz w:val="21"/>
                      <w:szCs w:val="21"/>
                      <w14:textFill>
                        <w14:solidFill>
                          <w14:schemeClr w14:val="tx1"/>
                        </w14:solidFill>
                      </w14:textFill>
                    </w:rPr>
                    <w:t>-49</w:t>
                  </w:r>
                </w:p>
              </w:tc>
              <w:tc>
                <w:tcPr>
                  <w:tcW w:w="735" w:type="dxa"/>
                  <w:tcBorders>
                    <w:tl2br w:val="nil"/>
                    <w:tr2bl w:val="nil"/>
                  </w:tcBorders>
                  <w:vAlign w:val="center"/>
                </w:tcPr>
                <w:p w14:paraId="23BF2CD6">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0.80</w:t>
                  </w:r>
                </w:p>
              </w:tc>
              <w:tc>
                <w:tcPr>
                  <w:tcW w:w="690" w:type="dxa"/>
                  <w:tcBorders>
                    <w:tl2br w:val="nil"/>
                    <w:tr2bl w:val="nil"/>
                  </w:tcBorders>
                  <w:vAlign w:val="center"/>
                </w:tcPr>
                <w:p w14:paraId="372F74FB">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热值试验</w:t>
                  </w:r>
                </w:p>
              </w:tc>
              <w:tc>
                <w:tcPr>
                  <w:tcW w:w="630" w:type="dxa"/>
                  <w:tcBorders>
                    <w:tl2br w:val="nil"/>
                    <w:tr2bl w:val="nil"/>
                  </w:tcBorders>
                  <w:vAlign w:val="center"/>
                </w:tcPr>
                <w:p w14:paraId="4B4F9261">
                  <w:pPr>
                    <w:adjustRightInd w:val="0"/>
                    <w:snapToGrid w:val="0"/>
                    <w:spacing w:line="240" w:lineRule="auto"/>
                    <w:ind w:firstLine="0" w:firstLineChars="0"/>
                    <w:jc w:val="center"/>
                    <w:rPr>
                      <w:rFonts w:hint="eastAsia"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液态</w:t>
                  </w:r>
                </w:p>
              </w:tc>
              <w:tc>
                <w:tcPr>
                  <w:tcW w:w="600" w:type="dxa"/>
                  <w:tcBorders>
                    <w:tl2br w:val="nil"/>
                    <w:tr2bl w:val="nil"/>
                  </w:tcBorders>
                  <w:shd w:val="clear" w:color="auto" w:fill="auto"/>
                  <w:vAlign w:val="center"/>
                </w:tcPr>
                <w:p w14:paraId="561A36A3">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cs="Times New Roman"/>
                      <w:color w:val="000000" w:themeColor="text1"/>
                      <w:spacing w:val="-10"/>
                      <w:sz w:val="21"/>
                      <w:szCs w:val="21"/>
                      <w14:textFill>
                        <w14:solidFill>
                          <w14:schemeClr w14:val="tx1"/>
                        </w14:solidFill>
                      </w14:textFill>
                    </w:rPr>
                    <w:t>1年</w:t>
                  </w:r>
                </w:p>
              </w:tc>
              <w:tc>
                <w:tcPr>
                  <w:tcW w:w="615" w:type="dxa"/>
                  <w:tcBorders>
                    <w:tl2br w:val="nil"/>
                    <w:tr2bl w:val="nil"/>
                  </w:tcBorders>
                  <w:shd w:val="clear" w:color="auto" w:fill="auto"/>
                  <w:vAlign w:val="center"/>
                </w:tcPr>
                <w:p w14:paraId="7C2CA96C">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cs="Times New Roman"/>
                      <w:color w:val="000000" w:themeColor="text1"/>
                      <w:spacing w:val="-10"/>
                      <w:sz w:val="21"/>
                      <w:szCs w:val="21"/>
                      <w14:textFill>
                        <w14:solidFill>
                          <w14:schemeClr w14:val="tx1"/>
                        </w14:solidFill>
                      </w14:textFill>
                    </w:rPr>
                    <w:t>T</w:t>
                  </w:r>
                </w:p>
              </w:tc>
              <w:tc>
                <w:tcPr>
                  <w:tcW w:w="1651" w:type="dxa"/>
                  <w:vMerge w:val="continue"/>
                  <w:tcBorders>
                    <w:tl2br w:val="nil"/>
                    <w:tr2bl w:val="nil"/>
                  </w:tcBorders>
                  <w:vAlign w:val="center"/>
                </w:tcPr>
                <w:p w14:paraId="5A212D78">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r>
            <w:tr w14:paraId="3FD89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dxa"/>
                  <w:tcBorders>
                    <w:top w:val="single" w:color="000000" w:sz="4" w:space="0"/>
                    <w:bottom w:val="single" w:color="000000" w:sz="4" w:space="0"/>
                    <w:tl2br w:val="nil"/>
                    <w:tr2bl w:val="nil"/>
                  </w:tcBorders>
                  <w:vAlign w:val="center"/>
                </w:tcPr>
                <w:p w14:paraId="1B997EFC">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3</w:t>
                  </w:r>
                </w:p>
              </w:tc>
              <w:tc>
                <w:tcPr>
                  <w:tcW w:w="644" w:type="dxa"/>
                  <w:tcBorders>
                    <w:top w:val="single" w:color="000000" w:sz="4" w:space="0"/>
                    <w:bottom w:val="single" w:color="000000" w:sz="4" w:space="0"/>
                    <w:tl2br w:val="nil"/>
                    <w:tr2bl w:val="nil"/>
                  </w:tcBorders>
                  <w:vAlign w:val="center"/>
                </w:tcPr>
                <w:p w14:paraId="460E1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废试剂瓶</w:t>
                  </w:r>
                </w:p>
              </w:tc>
              <w:tc>
                <w:tcPr>
                  <w:tcW w:w="765" w:type="dxa"/>
                  <w:tcBorders>
                    <w:tl2br w:val="nil"/>
                    <w:tr2bl w:val="nil"/>
                  </w:tcBorders>
                  <w:vAlign w:val="center"/>
                </w:tcPr>
                <w:p w14:paraId="6C939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HW49</w:t>
                  </w:r>
                </w:p>
              </w:tc>
              <w:tc>
                <w:tcPr>
                  <w:tcW w:w="1140" w:type="dxa"/>
                  <w:tcBorders>
                    <w:tl2br w:val="nil"/>
                    <w:tr2bl w:val="nil"/>
                  </w:tcBorders>
                  <w:vAlign w:val="center"/>
                </w:tcPr>
                <w:p w14:paraId="0EA2A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900-041-49</w:t>
                  </w:r>
                </w:p>
              </w:tc>
              <w:tc>
                <w:tcPr>
                  <w:tcW w:w="735" w:type="dxa"/>
                  <w:tcBorders>
                    <w:tl2br w:val="nil"/>
                    <w:tr2bl w:val="nil"/>
                  </w:tcBorders>
                  <w:vAlign w:val="center"/>
                </w:tcPr>
                <w:p w14:paraId="6D20C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0.01</w:t>
                  </w:r>
                </w:p>
              </w:tc>
              <w:tc>
                <w:tcPr>
                  <w:tcW w:w="690" w:type="dxa"/>
                  <w:tcBorders>
                    <w:tl2br w:val="nil"/>
                    <w:tr2bl w:val="nil"/>
                  </w:tcBorders>
                  <w:vAlign w:val="center"/>
                </w:tcPr>
                <w:p w14:paraId="7830EB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检测过程</w:t>
                  </w:r>
                </w:p>
              </w:tc>
              <w:tc>
                <w:tcPr>
                  <w:tcW w:w="630" w:type="dxa"/>
                  <w:tcBorders>
                    <w:tl2br w:val="nil"/>
                    <w:tr2bl w:val="nil"/>
                  </w:tcBorders>
                  <w:vAlign w:val="center"/>
                </w:tcPr>
                <w:p w14:paraId="58034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固</w:t>
                  </w:r>
                </w:p>
              </w:tc>
              <w:tc>
                <w:tcPr>
                  <w:tcW w:w="600" w:type="dxa"/>
                  <w:tcBorders>
                    <w:tl2br w:val="nil"/>
                    <w:tr2bl w:val="nil"/>
                  </w:tcBorders>
                  <w:shd w:val="clear" w:color="auto" w:fill="auto"/>
                  <w:vAlign w:val="center"/>
                </w:tcPr>
                <w:p w14:paraId="4B9D5B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每日</w:t>
                  </w:r>
                </w:p>
              </w:tc>
              <w:tc>
                <w:tcPr>
                  <w:tcW w:w="615" w:type="dxa"/>
                  <w:tcBorders>
                    <w:tl2br w:val="nil"/>
                    <w:tr2bl w:val="nil"/>
                  </w:tcBorders>
                  <w:shd w:val="clear" w:color="auto" w:fill="auto"/>
                  <w:vAlign w:val="center"/>
                </w:tcPr>
                <w:p w14:paraId="4E545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T/In</w:t>
                  </w:r>
                </w:p>
              </w:tc>
              <w:tc>
                <w:tcPr>
                  <w:tcW w:w="1651" w:type="dxa"/>
                  <w:vMerge w:val="continue"/>
                  <w:tcBorders>
                    <w:tl2br w:val="nil"/>
                    <w:tr2bl w:val="nil"/>
                  </w:tcBorders>
                  <w:vAlign w:val="center"/>
                </w:tcPr>
                <w:p w14:paraId="3E4E5225">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r>
            <w:tr w14:paraId="4B960F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dxa"/>
                  <w:tcBorders>
                    <w:top w:val="single" w:color="000000" w:sz="4" w:space="0"/>
                    <w:tl2br w:val="nil"/>
                    <w:tr2bl w:val="nil"/>
                  </w:tcBorders>
                  <w:vAlign w:val="center"/>
                </w:tcPr>
                <w:p w14:paraId="09D16820">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4</w:t>
                  </w:r>
                </w:p>
              </w:tc>
              <w:tc>
                <w:tcPr>
                  <w:tcW w:w="644" w:type="dxa"/>
                  <w:tcBorders>
                    <w:top w:val="single" w:color="000000" w:sz="4" w:space="0"/>
                    <w:tl2br w:val="nil"/>
                    <w:tr2bl w:val="nil"/>
                  </w:tcBorders>
                  <w:vAlign w:val="center"/>
                </w:tcPr>
                <w:p w14:paraId="2D3CE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废一次性耗材</w:t>
                  </w:r>
                </w:p>
              </w:tc>
              <w:tc>
                <w:tcPr>
                  <w:tcW w:w="765" w:type="dxa"/>
                  <w:tcBorders>
                    <w:tl2br w:val="nil"/>
                    <w:tr2bl w:val="nil"/>
                  </w:tcBorders>
                  <w:vAlign w:val="center"/>
                </w:tcPr>
                <w:p w14:paraId="19813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HW49</w:t>
                  </w:r>
                </w:p>
              </w:tc>
              <w:tc>
                <w:tcPr>
                  <w:tcW w:w="1140" w:type="dxa"/>
                  <w:tcBorders>
                    <w:tl2br w:val="nil"/>
                    <w:tr2bl w:val="nil"/>
                  </w:tcBorders>
                  <w:vAlign w:val="center"/>
                </w:tcPr>
                <w:p w14:paraId="6AE527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900-041-49</w:t>
                  </w:r>
                </w:p>
              </w:tc>
              <w:tc>
                <w:tcPr>
                  <w:tcW w:w="735" w:type="dxa"/>
                  <w:tcBorders>
                    <w:tl2br w:val="nil"/>
                    <w:tr2bl w:val="nil"/>
                  </w:tcBorders>
                  <w:vAlign w:val="center"/>
                </w:tcPr>
                <w:p w14:paraId="6CB35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0.10</w:t>
                  </w:r>
                </w:p>
              </w:tc>
              <w:tc>
                <w:tcPr>
                  <w:tcW w:w="690" w:type="dxa"/>
                  <w:tcBorders>
                    <w:tl2br w:val="nil"/>
                    <w:tr2bl w:val="nil"/>
                  </w:tcBorders>
                  <w:vAlign w:val="center"/>
                </w:tcPr>
                <w:p w14:paraId="47D41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检测过程</w:t>
                  </w:r>
                </w:p>
              </w:tc>
              <w:tc>
                <w:tcPr>
                  <w:tcW w:w="630" w:type="dxa"/>
                  <w:tcBorders>
                    <w:tl2br w:val="nil"/>
                    <w:tr2bl w:val="nil"/>
                  </w:tcBorders>
                  <w:vAlign w:val="center"/>
                </w:tcPr>
                <w:p w14:paraId="7FDA3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固</w:t>
                  </w:r>
                </w:p>
              </w:tc>
              <w:tc>
                <w:tcPr>
                  <w:tcW w:w="600" w:type="dxa"/>
                  <w:tcBorders>
                    <w:tl2br w:val="nil"/>
                    <w:tr2bl w:val="nil"/>
                  </w:tcBorders>
                  <w:shd w:val="clear" w:color="auto" w:fill="auto"/>
                  <w:vAlign w:val="center"/>
                </w:tcPr>
                <w:p w14:paraId="5C9FD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每日</w:t>
                  </w:r>
                </w:p>
              </w:tc>
              <w:tc>
                <w:tcPr>
                  <w:tcW w:w="615" w:type="dxa"/>
                  <w:tcBorders>
                    <w:tl2br w:val="nil"/>
                    <w:tr2bl w:val="nil"/>
                  </w:tcBorders>
                  <w:shd w:val="clear" w:color="auto" w:fill="auto"/>
                  <w:vAlign w:val="center"/>
                </w:tcPr>
                <w:p w14:paraId="0F79F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cs="Times New Roman"/>
                      <w:color w:val="000000" w:themeColor="text1"/>
                      <w:spacing w:val="-10"/>
                      <w:sz w:val="21"/>
                      <w:szCs w:val="21"/>
                      <w14:textFill>
                        <w14:solidFill>
                          <w14:schemeClr w14:val="tx1"/>
                        </w14:solidFill>
                      </w14:textFill>
                    </w:rPr>
                  </w:pPr>
                  <w:r>
                    <w:rPr>
                      <w:rFonts w:hint="eastAsia"/>
                      <w:b w:val="0"/>
                      <w:bCs w:val="0"/>
                      <w:spacing w:val="-10"/>
                      <w:sz w:val="21"/>
                      <w:szCs w:val="21"/>
                      <w:highlight w:val="none"/>
                      <w:vertAlign w:val="baseline"/>
                      <w:lang w:val="en-US" w:eastAsia="zh-CN"/>
                    </w:rPr>
                    <w:t>T/In</w:t>
                  </w:r>
                </w:p>
              </w:tc>
              <w:tc>
                <w:tcPr>
                  <w:tcW w:w="1651" w:type="dxa"/>
                  <w:vMerge w:val="continue"/>
                  <w:tcBorders>
                    <w:tl2br w:val="nil"/>
                    <w:tr2bl w:val="nil"/>
                  </w:tcBorders>
                  <w:vAlign w:val="center"/>
                </w:tcPr>
                <w:p w14:paraId="001FED50">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r>
          </w:tbl>
          <w:p w14:paraId="391F88B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（2）固体废物贮存要求</w:t>
            </w:r>
          </w:p>
          <w:p w14:paraId="4DFB32B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1）一般工业固体废物贮存要求</w:t>
            </w:r>
          </w:p>
          <w:p w14:paraId="5F46E21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一般工业固体废物贮存满足防渗漏、防雨淋、防扬尘等环境保护要求。</w:t>
            </w:r>
          </w:p>
          <w:p w14:paraId="0EFAD8E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2）危险废物贮存要求</w:t>
            </w:r>
          </w:p>
          <w:p w14:paraId="0309551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建设单位运营期产生的危险废物严格按照《危险废物贮存污染控制标准》（GB18597-2023）相关要求进行管理、处置。建设单位</w:t>
            </w:r>
            <w:r>
              <w:rPr>
                <w:rFonts w:hint="eastAsia" w:cs="Times New Roman"/>
                <w:color w:val="000000" w:themeColor="text1"/>
                <w:lang w:val="en-US" w:eastAsia="zh-CN"/>
                <w14:textFill>
                  <w14:solidFill>
                    <w14:schemeClr w14:val="tx1"/>
                  </w14:solidFill>
                </w14:textFill>
              </w:rPr>
              <w:t>在试验室东</w:t>
            </w:r>
            <w:r>
              <w:rPr>
                <w:rFonts w:cs="Times New Roman"/>
                <w:color w:val="000000" w:themeColor="text1"/>
                <w14:textFill>
                  <w14:solidFill>
                    <w14:schemeClr w14:val="tx1"/>
                  </w14:solidFill>
                </w14:textFill>
              </w:rPr>
              <w:t>南侧设有专门的</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，具备防风、防雨、防晒等功能，危废库地面敷设至少2mm厚、渗透系数≤10</w:t>
            </w:r>
            <w:r>
              <w:rPr>
                <w:rFonts w:cs="Times New Roman"/>
                <w:color w:val="000000" w:themeColor="text1"/>
                <w:vertAlign w:val="superscript"/>
                <w14:textFill>
                  <w14:solidFill>
                    <w14:schemeClr w14:val="tx1"/>
                  </w14:solidFill>
                </w14:textFill>
              </w:rPr>
              <w:t>-10</w:t>
            </w:r>
            <w:r>
              <w:rPr>
                <w:rFonts w:cs="Times New Roman"/>
                <w:color w:val="000000" w:themeColor="text1"/>
                <w14:textFill>
                  <w14:solidFill>
                    <w14:schemeClr w14:val="tx1"/>
                  </w14:solidFill>
                </w14:textFill>
              </w:rPr>
              <w:t>cm/s的人工防渗材料。项目装运危险废物的容器应根据危险废物的不同特性而设计或购买，不易破损、变形、老化，能有效地防止渗漏、扩散。装有危险废物的容器必须贴有标签，在标签上详细标明危险废物的名称、重量、成分、特性以及发生泄漏、扩散污染事故时的应急措施和补救方法；</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存放两种及以上不相容危险废物时，应分不同区域暂存。</w:t>
            </w:r>
          </w:p>
          <w:p w14:paraId="73D87AA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危险废物贮存场所（</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）基本情况见下表。</w:t>
            </w:r>
          </w:p>
          <w:p w14:paraId="68156426">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8</w:t>
            </w:r>
            <w:r>
              <w:rPr>
                <w:rFonts w:cs="Times New Roman"/>
                <w:color w:val="000000" w:themeColor="text1"/>
                <w14:textFill>
                  <w14:solidFill>
                    <w14:schemeClr w14:val="tx1"/>
                  </w14:solidFill>
                </w14:textFill>
              </w:rPr>
              <w:t xml:space="preserve"> 危险废物贮存场所基本情况一览表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55"/>
              <w:gridCol w:w="1050"/>
              <w:gridCol w:w="1395"/>
              <w:gridCol w:w="765"/>
              <w:gridCol w:w="840"/>
              <w:gridCol w:w="825"/>
              <w:gridCol w:w="885"/>
              <w:gridCol w:w="863"/>
            </w:tblGrid>
            <w:tr w14:paraId="3A821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tcBorders>
                    <w:tl2br w:val="nil"/>
                    <w:tr2bl w:val="nil"/>
                  </w:tcBorders>
                  <w:vAlign w:val="center"/>
                </w:tcPr>
                <w:p w14:paraId="12054FD4">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序号</w:t>
                  </w:r>
                </w:p>
              </w:tc>
              <w:tc>
                <w:tcPr>
                  <w:tcW w:w="855" w:type="dxa"/>
                  <w:tcBorders>
                    <w:tl2br w:val="nil"/>
                    <w:tr2bl w:val="nil"/>
                  </w:tcBorders>
                  <w:vAlign w:val="center"/>
                </w:tcPr>
                <w:p w14:paraId="46051F53">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贮存</w:t>
                  </w:r>
                </w:p>
                <w:p w14:paraId="5157A92B">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场所</w:t>
                  </w:r>
                </w:p>
              </w:tc>
              <w:tc>
                <w:tcPr>
                  <w:tcW w:w="1050" w:type="dxa"/>
                  <w:tcBorders>
                    <w:tl2br w:val="nil"/>
                    <w:tr2bl w:val="nil"/>
                  </w:tcBorders>
                  <w:vAlign w:val="center"/>
                </w:tcPr>
                <w:p w14:paraId="40F75BB2">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危险废物名称</w:t>
                  </w:r>
                </w:p>
              </w:tc>
              <w:tc>
                <w:tcPr>
                  <w:tcW w:w="1395" w:type="dxa"/>
                  <w:tcBorders>
                    <w:tl2br w:val="nil"/>
                    <w:tr2bl w:val="nil"/>
                  </w:tcBorders>
                  <w:vAlign w:val="center"/>
                </w:tcPr>
                <w:p w14:paraId="6437E60F">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危险废物类别</w:t>
                  </w:r>
                </w:p>
              </w:tc>
              <w:tc>
                <w:tcPr>
                  <w:tcW w:w="765" w:type="dxa"/>
                  <w:tcBorders>
                    <w:tl2br w:val="nil"/>
                    <w:tr2bl w:val="nil"/>
                  </w:tcBorders>
                  <w:vAlign w:val="center"/>
                </w:tcPr>
                <w:p w14:paraId="4E44B29B">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位置</w:t>
                  </w:r>
                </w:p>
              </w:tc>
              <w:tc>
                <w:tcPr>
                  <w:tcW w:w="840" w:type="dxa"/>
                  <w:tcBorders>
                    <w:tl2br w:val="nil"/>
                    <w:tr2bl w:val="nil"/>
                  </w:tcBorders>
                  <w:vAlign w:val="center"/>
                </w:tcPr>
                <w:p w14:paraId="3975662D">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建筑</w:t>
                  </w:r>
                </w:p>
                <w:p w14:paraId="1AD62C7D">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面积</w:t>
                  </w:r>
                </w:p>
              </w:tc>
              <w:tc>
                <w:tcPr>
                  <w:tcW w:w="825" w:type="dxa"/>
                  <w:tcBorders>
                    <w:tl2br w:val="nil"/>
                    <w:tr2bl w:val="nil"/>
                  </w:tcBorders>
                  <w:vAlign w:val="center"/>
                </w:tcPr>
                <w:p w14:paraId="3383FFCA">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最大贮存能力</w:t>
                  </w:r>
                </w:p>
              </w:tc>
              <w:tc>
                <w:tcPr>
                  <w:tcW w:w="885" w:type="dxa"/>
                  <w:tcBorders>
                    <w:tl2br w:val="nil"/>
                    <w:tr2bl w:val="nil"/>
                  </w:tcBorders>
                  <w:vAlign w:val="center"/>
                </w:tcPr>
                <w:p w14:paraId="7DB02298">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贮存</w:t>
                  </w:r>
                </w:p>
                <w:p w14:paraId="734BF34E">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方式</w:t>
                  </w:r>
                </w:p>
              </w:tc>
              <w:tc>
                <w:tcPr>
                  <w:tcW w:w="863" w:type="dxa"/>
                  <w:tcBorders>
                    <w:tl2br w:val="nil"/>
                    <w:tr2bl w:val="nil"/>
                  </w:tcBorders>
                  <w:vAlign w:val="center"/>
                </w:tcPr>
                <w:p w14:paraId="25C29428">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贮存</w:t>
                  </w:r>
                </w:p>
                <w:p w14:paraId="26558301">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周期</w:t>
                  </w:r>
                </w:p>
              </w:tc>
            </w:tr>
            <w:tr w14:paraId="26807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45" w:type="dxa"/>
                  <w:tcBorders>
                    <w:tl2br w:val="nil"/>
                    <w:tr2bl w:val="nil"/>
                  </w:tcBorders>
                  <w:vAlign w:val="center"/>
                </w:tcPr>
                <w:p w14:paraId="1383F96A">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1</w:t>
                  </w:r>
                </w:p>
              </w:tc>
              <w:tc>
                <w:tcPr>
                  <w:tcW w:w="855" w:type="dxa"/>
                  <w:vMerge w:val="restart"/>
                  <w:tcBorders>
                    <w:tl2br w:val="nil"/>
                    <w:tr2bl w:val="nil"/>
                  </w:tcBorders>
                  <w:vAlign w:val="center"/>
                </w:tcPr>
                <w:p w14:paraId="048A848A">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危险废物暂存间</w:t>
                  </w:r>
                </w:p>
              </w:tc>
              <w:tc>
                <w:tcPr>
                  <w:tcW w:w="1050" w:type="dxa"/>
                  <w:tcBorders>
                    <w:tl2br w:val="nil"/>
                    <w:tr2bl w:val="nil"/>
                  </w:tcBorders>
                  <w:shd w:val="clear" w:color="auto" w:fill="auto"/>
                  <w:vAlign w:val="center"/>
                </w:tcPr>
                <w:p w14:paraId="7A4DA730">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HW49</w:t>
                  </w:r>
                </w:p>
              </w:tc>
              <w:tc>
                <w:tcPr>
                  <w:tcW w:w="1395" w:type="dxa"/>
                  <w:tcBorders>
                    <w:tl2br w:val="nil"/>
                    <w:tr2bl w:val="nil"/>
                  </w:tcBorders>
                  <w:shd w:val="clear" w:color="auto" w:fill="auto"/>
                  <w:vAlign w:val="center"/>
                </w:tcPr>
                <w:p w14:paraId="3C066598">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废活性炭</w:t>
                  </w:r>
                </w:p>
                <w:p w14:paraId="4D490E6D">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900-039-49</w:t>
                  </w:r>
                </w:p>
              </w:tc>
              <w:tc>
                <w:tcPr>
                  <w:tcW w:w="765" w:type="dxa"/>
                  <w:vMerge w:val="restart"/>
                  <w:tcBorders>
                    <w:tl2br w:val="nil"/>
                    <w:tr2bl w:val="nil"/>
                  </w:tcBorders>
                  <w:vAlign w:val="center"/>
                </w:tcPr>
                <w:p w14:paraId="0B94A24D">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3层</w:t>
                  </w:r>
                </w:p>
              </w:tc>
              <w:tc>
                <w:tcPr>
                  <w:tcW w:w="840" w:type="dxa"/>
                  <w:vMerge w:val="restart"/>
                  <w:tcBorders>
                    <w:tl2br w:val="nil"/>
                    <w:tr2bl w:val="nil"/>
                  </w:tcBorders>
                  <w:vAlign w:val="center"/>
                </w:tcPr>
                <w:p w14:paraId="154C035D">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4.8</w:t>
                  </w:r>
                  <w:r>
                    <w:rPr>
                      <w:rFonts w:cs="Times New Roman"/>
                      <w:color w:val="000000" w:themeColor="text1"/>
                      <w:spacing w:val="-10"/>
                      <w:sz w:val="21"/>
                      <w:szCs w:val="21"/>
                      <w14:textFill>
                        <w14:solidFill>
                          <w14:schemeClr w14:val="tx1"/>
                        </w14:solidFill>
                      </w14:textFill>
                    </w:rPr>
                    <w:t>m</w:t>
                  </w:r>
                  <w:r>
                    <w:rPr>
                      <w:rFonts w:cs="Times New Roman"/>
                      <w:color w:val="000000" w:themeColor="text1"/>
                      <w:spacing w:val="-10"/>
                      <w:sz w:val="21"/>
                      <w:szCs w:val="21"/>
                      <w:vertAlign w:val="superscript"/>
                      <w14:textFill>
                        <w14:solidFill>
                          <w14:schemeClr w14:val="tx1"/>
                        </w14:solidFill>
                      </w14:textFill>
                    </w:rPr>
                    <w:t>2</w:t>
                  </w:r>
                </w:p>
              </w:tc>
              <w:tc>
                <w:tcPr>
                  <w:tcW w:w="825" w:type="dxa"/>
                  <w:vMerge w:val="restart"/>
                  <w:tcBorders>
                    <w:tl2br w:val="nil"/>
                    <w:tr2bl w:val="nil"/>
                  </w:tcBorders>
                  <w:vAlign w:val="center"/>
                </w:tcPr>
                <w:p w14:paraId="2B334D40">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5</w:t>
                  </w:r>
                  <w:r>
                    <w:rPr>
                      <w:rFonts w:cs="Times New Roman"/>
                      <w:color w:val="000000" w:themeColor="text1"/>
                      <w:spacing w:val="-10"/>
                      <w:sz w:val="21"/>
                      <w:szCs w:val="21"/>
                      <w14:textFill>
                        <w14:solidFill>
                          <w14:schemeClr w14:val="tx1"/>
                        </w14:solidFill>
                      </w14:textFill>
                    </w:rPr>
                    <w:t>t</w:t>
                  </w:r>
                </w:p>
              </w:tc>
              <w:tc>
                <w:tcPr>
                  <w:tcW w:w="885" w:type="dxa"/>
                  <w:tcBorders>
                    <w:tl2br w:val="nil"/>
                    <w:tr2bl w:val="nil"/>
                  </w:tcBorders>
                  <w:vAlign w:val="center"/>
                </w:tcPr>
                <w:p w14:paraId="359E25B8">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箱装</w:t>
                  </w:r>
                </w:p>
              </w:tc>
              <w:tc>
                <w:tcPr>
                  <w:tcW w:w="863" w:type="dxa"/>
                  <w:tcBorders>
                    <w:tl2br w:val="nil"/>
                    <w:tr2bl w:val="nil"/>
                  </w:tcBorders>
                  <w:vAlign w:val="center"/>
                </w:tcPr>
                <w:p w14:paraId="4C0416BC">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1年</w:t>
                  </w:r>
                </w:p>
              </w:tc>
            </w:tr>
            <w:tr w14:paraId="604EA1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45" w:type="dxa"/>
                  <w:tcBorders>
                    <w:tl2br w:val="nil"/>
                    <w:tr2bl w:val="nil"/>
                  </w:tcBorders>
                  <w:vAlign w:val="center"/>
                </w:tcPr>
                <w:p w14:paraId="5079E133">
                  <w:pPr>
                    <w:adjustRightInd w:val="0"/>
                    <w:snapToGrid w:val="0"/>
                    <w:spacing w:line="240" w:lineRule="auto"/>
                    <w:ind w:firstLine="0" w:firstLineChars="0"/>
                    <w:jc w:val="center"/>
                    <w:rPr>
                      <w:rFonts w:hint="eastAsia"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2</w:t>
                  </w:r>
                </w:p>
              </w:tc>
              <w:tc>
                <w:tcPr>
                  <w:tcW w:w="855" w:type="dxa"/>
                  <w:vMerge w:val="continue"/>
                  <w:tcBorders>
                    <w:tl2br w:val="nil"/>
                    <w:tr2bl w:val="nil"/>
                  </w:tcBorders>
                  <w:vAlign w:val="center"/>
                </w:tcPr>
                <w:p w14:paraId="54B47CF1">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1050" w:type="dxa"/>
                  <w:tcBorders>
                    <w:tl2br w:val="nil"/>
                    <w:tr2bl w:val="nil"/>
                  </w:tcBorders>
                  <w:shd w:val="clear" w:color="auto" w:fill="auto"/>
                  <w:vAlign w:val="center"/>
                </w:tcPr>
                <w:p w14:paraId="46BBEA6A">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HW49</w:t>
                  </w:r>
                </w:p>
              </w:tc>
              <w:tc>
                <w:tcPr>
                  <w:tcW w:w="1395" w:type="dxa"/>
                  <w:tcBorders>
                    <w:tl2br w:val="nil"/>
                    <w:tr2bl w:val="nil"/>
                  </w:tcBorders>
                  <w:shd w:val="clear" w:color="auto" w:fill="auto"/>
                  <w:vAlign w:val="center"/>
                </w:tcPr>
                <w:p w14:paraId="3EA6C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 w:val="0"/>
                      <w:bCs w:val="0"/>
                      <w:spacing w:val="-10"/>
                      <w:sz w:val="21"/>
                      <w:szCs w:val="21"/>
                      <w:highlight w:val="none"/>
                      <w:vertAlign w:val="baseline"/>
                      <w:lang w:val="en-US" w:eastAsia="zh-CN"/>
                    </w:rPr>
                  </w:pPr>
                  <w:r>
                    <w:rPr>
                      <w:rFonts w:hint="eastAsia"/>
                      <w:b w:val="0"/>
                      <w:bCs w:val="0"/>
                      <w:spacing w:val="-10"/>
                      <w:sz w:val="21"/>
                      <w:szCs w:val="21"/>
                      <w:highlight w:val="none"/>
                      <w:vertAlign w:val="baseline"/>
                      <w:lang w:val="en-US" w:eastAsia="zh-CN"/>
                    </w:rPr>
                    <w:t>检测废液</w:t>
                  </w:r>
                </w:p>
                <w:p w14:paraId="59E7FFBE">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b w:val="0"/>
                      <w:bCs w:val="0"/>
                      <w:spacing w:val="-10"/>
                      <w:sz w:val="21"/>
                      <w:szCs w:val="21"/>
                      <w:highlight w:val="none"/>
                      <w:vertAlign w:val="baseline"/>
                      <w:lang w:val="en-US" w:eastAsia="zh-CN"/>
                    </w:rPr>
                    <w:t>900-047-49</w:t>
                  </w:r>
                </w:p>
              </w:tc>
              <w:tc>
                <w:tcPr>
                  <w:tcW w:w="765" w:type="dxa"/>
                  <w:vMerge w:val="continue"/>
                  <w:tcBorders>
                    <w:tl2br w:val="nil"/>
                    <w:tr2bl w:val="nil"/>
                  </w:tcBorders>
                  <w:vAlign w:val="center"/>
                </w:tcPr>
                <w:p w14:paraId="7441C5D1">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40" w:type="dxa"/>
                  <w:vMerge w:val="continue"/>
                  <w:tcBorders>
                    <w:tl2br w:val="nil"/>
                    <w:tr2bl w:val="nil"/>
                  </w:tcBorders>
                  <w:vAlign w:val="center"/>
                </w:tcPr>
                <w:p w14:paraId="1B81DBB4">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25" w:type="dxa"/>
                  <w:vMerge w:val="continue"/>
                  <w:tcBorders>
                    <w:tl2br w:val="nil"/>
                    <w:tr2bl w:val="nil"/>
                  </w:tcBorders>
                  <w:vAlign w:val="center"/>
                </w:tcPr>
                <w:p w14:paraId="3351EA6C">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885" w:type="dxa"/>
                  <w:tcBorders>
                    <w:tl2br w:val="nil"/>
                    <w:tr2bl w:val="nil"/>
                  </w:tcBorders>
                  <w:vAlign w:val="center"/>
                </w:tcPr>
                <w:p w14:paraId="7DAC91E8">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桶装</w:t>
                  </w:r>
                </w:p>
              </w:tc>
              <w:tc>
                <w:tcPr>
                  <w:tcW w:w="863" w:type="dxa"/>
                  <w:tcBorders>
                    <w:tl2br w:val="nil"/>
                    <w:tr2bl w:val="nil"/>
                  </w:tcBorders>
                  <w:vAlign w:val="center"/>
                </w:tcPr>
                <w:p w14:paraId="4984BB70">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1年</w:t>
                  </w:r>
                </w:p>
              </w:tc>
            </w:tr>
            <w:tr w14:paraId="197C7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45" w:type="dxa"/>
                  <w:tcBorders>
                    <w:tl2br w:val="nil"/>
                    <w:tr2bl w:val="nil"/>
                  </w:tcBorders>
                  <w:vAlign w:val="center"/>
                </w:tcPr>
                <w:p w14:paraId="41A955FE">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3</w:t>
                  </w:r>
                </w:p>
              </w:tc>
              <w:tc>
                <w:tcPr>
                  <w:tcW w:w="855" w:type="dxa"/>
                  <w:vMerge w:val="continue"/>
                  <w:tcBorders>
                    <w:tl2br w:val="nil"/>
                    <w:tr2bl w:val="nil"/>
                  </w:tcBorders>
                  <w:vAlign w:val="center"/>
                </w:tcPr>
                <w:p w14:paraId="17A3BFFD">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1050" w:type="dxa"/>
                  <w:tcBorders>
                    <w:tl2br w:val="nil"/>
                    <w:tr2bl w:val="nil"/>
                  </w:tcBorders>
                  <w:shd w:val="clear" w:color="auto" w:fill="auto"/>
                  <w:vAlign w:val="center"/>
                </w:tcPr>
                <w:p w14:paraId="59679A83">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HW49</w:t>
                  </w:r>
                </w:p>
              </w:tc>
              <w:tc>
                <w:tcPr>
                  <w:tcW w:w="1395" w:type="dxa"/>
                  <w:tcBorders>
                    <w:tl2br w:val="nil"/>
                    <w:tr2bl w:val="nil"/>
                  </w:tcBorders>
                  <w:shd w:val="clear"/>
                  <w:vAlign w:val="center"/>
                </w:tcPr>
                <w:p w14:paraId="76A5B0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 w:val="0"/>
                      <w:bCs w:val="0"/>
                      <w:spacing w:val="-10"/>
                      <w:sz w:val="21"/>
                      <w:szCs w:val="21"/>
                      <w:highlight w:val="none"/>
                      <w:vertAlign w:val="baseline"/>
                      <w:lang w:val="en-US" w:eastAsia="zh-CN"/>
                    </w:rPr>
                  </w:pPr>
                  <w:r>
                    <w:rPr>
                      <w:rFonts w:hint="eastAsia"/>
                      <w:b w:val="0"/>
                      <w:bCs w:val="0"/>
                      <w:spacing w:val="-10"/>
                      <w:sz w:val="21"/>
                      <w:szCs w:val="21"/>
                      <w:highlight w:val="none"/>
                      <w:vertAlign w:val="baseline"/>
                      <w:lang w:val="en-US" w:eastAsia="zh-CN"/>
                    </w:rPr>
                    <w:t>废试剂瓶</w:t>
                  </w:r>
                </w:p>
                <w:p w14:paraId="5CDA79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spacing w:val="-10"/>
                      <w:kern w:val="2"/>
                      <w:sz w:val="21"/>
                      <w:szCs w:val="21"/>
                      <w:highlight w:val="none"/>
                      <w:vertAlign w:val="baseline"/>
                      <w:lang w:val="en-US" w:eastAsia="zh-CN" w:bidi="ar-SA"/>
                    </w:rPr>
                  </w:pPr>
                  <w:r>
                    <w:rPr>
                      <w:rFonts w:hint="eastAsia"/>
                      <w:b w:val="0"/>
                      <w:bCs w:val="0"/>
                      <w:spacing w:val="-10"/>
                      <w:sz w:val="21"/>
                      <w:szCs w:val="21"/>
                      <w:highlight w:val="none"/>
                      <w:vertAlign w:val="baseline"/>
                      <w:lang w:val="en-US" w:eastAsia="zh-CN"/>
                    </w:rPr>
                    <w:t>900-041-49</w:t>
                  </w:r>
                </w:p>
              </w:tc>
              <w:tc>
                <w:tcPr>
                  <w:tcW w:w="765" w:type="dxa"/>
                  <w:vMerge w:val="continue"/>
                  <w:tcBorders>
                    <w:tl2br w:val="nil"/>
                    <w:tr2bl w:val="nil"/>
                  </w:tcBorders>
                  <w:vAlign w:val="center"/>
                </w:tcPr>
                <w:p w14:paraId="7BCD8DAF">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40" w:type="dxa"/>
                  <w:vMerge w:val="continue"/>
                  <w:tcBorders>
                    <w:tl2br w:val="nil"/>
                    <w:tr2bl w:val="nil"/>
                  </w:tcBorders>
                  <w:vAlign w:val="center"/>
                </w:tcPr>
                <w:p w14:paraId="2444679C">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25" w:type="dxa"/>
                  <w:vMerge w:val="continue"/>
                  <w:tcBorders>
                    <w:tl2br w:val="nil"/>
                    <w:tr2bl w:val="nil"/>
                  </w:tcBorders>
                  <w:vAlign w:val="center"/>
                </w:tcPr>
                <w:p w14:paraId="72859565">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885" w:type="dxa"/>
                  <w:tcBorders>
                    <w:tl2br w:val="nil"/>
                    <w:tr2bl w:val="nil"/>
                  </w:tcBorders>
                  <w:vAlign w:val="center"/>
                </w:tcPr>
                <w:p w14:paraId="563B6841">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cs="Times New Roman"/>
                      <w:color w:val="000000" w:themeColor="text1"/>
                      <w:spacing w:val="-10"/>
                      <w:sz w:val="21"/>
                      <w:szCs w:val="21"/>
                      <w14:textFill>
                        <w14:solidFill>
                          <w14:schemeClr w14:val="tx1"/>
                        </w14:solidFill>
                      </w14:textFill>
                    </w:rPr>
                    <w:t>箱装</w:t>
                  </w:r>
                </w:p>
              </w:tc>
              <w:tc>
                <w:tcPr>
                  <w:tcW w:w="863" w:type="dxa"/>
                  <w:tcBorders>
                    <w:tl2br w:val="nil"/>
                    <w:tr2bl w:val="nil"/>
                  </w:tcBorders>
                  <w:vAlign w:val="center"/>
                </w:tcPr>
                <w:p w14:paraId="797CCC66">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1年</w:t>
                  </w:r>
                </w:p>
              </w:tc>
            </w:tr>
            <w:tr w14:paraId="52F573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45" w:type="dxa"/>
                  <w:tcBorders>
                    <w:tl2br w:val="nil"/>
                    <w:tr2bl w:val="nil"/>
                  </w:tcBorders>
                  <w:vAlign w:val="center"/>
                </w:tcPr>
                <w:p w14:paraId="37F827DF">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4</w:t>
                  </w:r>
                </w:p>
              </w:tc>
              <w:tc>
                <w:tcPr>
                  <w:tcW w:w="855" w:type="dxa"/>
                  <w:vMerge w:val="continue"/>
                  <w:tcBorders>
                    <w:tl2br w:val="nil"/>
                    <w:tr2bl w:val="nil"/>
                  </w:tcBorders>
                  <w:vAlign w:val="center"/>
                </w:tcPr>
                <w:p w14:paraId="6C405790">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1050" w:type="dxa"/>
                  <w:tcBorders>
                    <w:tl2br w:val="nil"/>
                    <w:tr2bl w:val="nil"/>
                  </w:tcBorders>
                  <w:shd w:val="clear" w:color="auto" w:fill="auto"/>
                  <w:vAlign w:val="center"/>
                </w:tcPr>
                <w:p w14:paraId="3E737A10">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HW49</w:t>
                  </w:r>
                </w:p>
              </w:tc>
              <w:tc>
                <w:tcPr>
                  <w:tcW w:w="1395" w:type="dxa"/>
                  <w:tcBorders>
                    <w:tl2br w:val="nil"/>
                    <w:tr2bl w:val="nil"/>
                  </w:tcBorders>
                  <w:shd w:val="clear"/>
                  <w:vAlign w:val="center"/>
                </w:tcPr>
                <w:p w14:paraId="4531F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 w:val="0"/>
                      <w:bCs w:val="0"/>
                      <w:spacing w:val="-10"/>
                      <w:sz w:val="21"/>
                      <w:szCs w:val="21"/>
                      <w:highlight w:val="none"/>
                      <w:vertAlign w:val="baseline"/>
                      <w:lang w:val="en-US" w:eastAsia="zh-CN"/>
                    </w:rPr>
                  </w:pPr>
                  <w:r>
                    <w:rPr>
                      <w:rFonts w:hint="eastAsia"/>
                      <w:b w:val="0"/>
                      <w:bCs w:val="0"/>
                      <w:spacing w:val="-10"/>
                      <w:sz w:val="21"/>
                      <w:szCs w:val="21"/>
                      <w:highlight w:val="none"/>
                      <w:vertAlign w:val="baseline"/>
                      <w:lang w:val="en-US" w:eastAsia="zh-CN"/>
                    </w:rPr>
                    <w:t>废一次性耗材</w:t>
                  </w:r>
                </w:p>
                <w:p w14:paraId="14FE1A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spacing w:val="-10"/>
                      <w:kern w:val="2"/>
                      <w:sz w:val="21"/>
                      <w:szCs w:val="21"/>
                      <w:highlight w:val="none"/>
                      <w:vertAlign w:val="baseline"/>
                      <w:lang w:val="en-US" w:eastAsia="zh-CN" w:bidi="ar-SA"/>
                    </w:rPr>
                  </w:pPr>
                  <w:r>
                    <w:rPr>
                      <w:rFonts w:hint="eastAsia"/>
                      <w:b w:val="0"/>
                      <w:bCs w:val="0"/>
                      <w:spacing w:val="-10"/>
                      <w:sz w:val="21"/>
                      <w:szCs w:val="21"/>
                      <w:highlight w:val="none"/>
                      <w:vertAlign w:val="baseline"/>
                      <w:lang w:val="en-US" w:eastAsia="zh-CN"/>
                    </w:rPr>
                    <w:t>900-041-49</w:t>
                  </w:r>
                </w:p>
              </w:tc>
              <w:tc>
                <w:tcPr>
                  <w:tcW w:w="765" w:type="dxa"/>
                  <w:vMerge w:val="continue"/>
                  <w:tcBorders>
                    <w:tl2br w:val="nil"/>
                    <w:tr2bl w:val="nil"/>
                  </w:tcBorders>
                  <w:vAlign w:val="center"/>
                </w:tcPr>
                <w:p w14:paraId="1A7F95EF">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40" w:type="dxa"/>
                  <w:vMerge w:val="continue"/>
                  <w:tcBorders>
                    <w:tl2br w:val="nil"/>
                    <w:tr2bl w:val="nil"/>
                  </w:tcBorders>
                  <w:vAlign w:val="center"/>
                </w:tcPr>
                <w:p w14:paraId="601CD583">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p>
              </w:tc>
              <w:tc>
                <w:tcPr>
                  <w:tcW w:w="825" w:type="dxa"/>
                  <w:vMerge w:val="continue"/>
                  <w:tcBorders>
                    <w:tl2br w:val="nil"/>
                    <w:tr2bl w:val="nil"/>
                  </w:tcBorders>
                  <w:vAlign w:val="center"/>
                </w:tcPr>
                <w:p w14:paraId="7982B468">
                  <w:pPr>
                    <w:adjustRightInd w:val="0"/>
                    <w:snapToGrid w:val="0"/>
                    <w:spacing w:line="240" w:lineRule="auto"/>
                    <w:ind w:firstLine="0" w:firstLineChars="0"/>
                    <w:jc w:val="center"/>
                    <w:rPr>
                      <w:rFonts w:hint="eastAsia" w:cs="Times New Roman"/>
                      <w:color w:val="000000" w:themeColor="text1"/>
                      <w:spacing w:val="-10"/>
                      <w:sz w:val="21"/>
                      <w:szCs w:val="21"/>
                      <w14:textFill>
                        <w14:solidFill>
                          <w14:schemeClr w14:val="tx1"/>
                        </w14:solidFill>
                      </w14:textFill>
                    </w:rPr>
                  </w:pPr>
                </w:p>
              </w:tc>
              <w:tc>
                <w:tcPr>
                  <w:tcW w:w="885" w:type="dxa"/>
                  <w:tcBorders>
                    <w:tl2br w:val="nil"/>
                    <w:tr2bl w:val="nil"/>
                  </w:tcBorders>
                  <w:vAlign w:val="center"/>
                </w:tcPr>
                <w:p w14:paraId="3C5A5697">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cs="Times New Roman"/>
                      <w:color w:val="000000" w:themeColor="text1"/>
                      <w:spacing w:val="-10"/>
                      <w:sz w:val="21"/>
                      <w:szCs w:val="21"/>
                      <w14:textFill>
                        <w14:solidFill>
                          <w14:schemeClr w14:val="tx1"/>
                        </w14:solidFill>
                      </w14:textFill>
                    </w:rPr>
                    <w:t>箱装</w:t>
                  </w:r>
                </w:p>
              </w:tc>
              <w:tc>
                <w:tcPr>
                  <w:tcW w:w="863" w:type="dxa"/>
                  <w:tcBorders>
                    <w:tl2br w:val="nil"/>
                    <w:tr2bl w:val="nil"/>
                  </w:tcBorders>
                  <w:vAlign w:val="center"/>
                </w:tcPr>
                <w:p w14:paraId="225A102F">
                  <w:pPr>
                    <w:adjustRightInd w:val="0"/>
                    <w:snapToGrid w:val="0"/>
                    <w:spacing w:line="240" w:lineRule="auto"/>
                    <w:ind w:firstLine="0" w:firstLineChars="0"/>
                    <w:jc w:val="center"/>
                    <w:rPr>
                      <w:rFonts w:hint="eastAsia"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1年</w:t>
                  </w:r>
                </w:p>
              </w:tc>
            </w:tr>
          </w:tbl>
          <w:p w14:paraId="4C448C0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（3）危险废物环境影响分析</w:t>
            </w:r>
          </w:p>
          <w:p w14:paraId="7C94353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本项目危险废物主分类收集，由专人将危险废物放入</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内暂存，</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由专人负责管理，进出危险废物应做好台账，危险废物定期由相应处理资质单位负责运输与处置。</w:t>
            </w:r>
          </w:p>
          <w:p w14:paraId="2A78A25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1）贮存场所环境影响分析</w:t>
            </w:r>
          </w:p>
          <w:p w14:paraId="516CEA0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建设单位需按照《危险废物收集、贮存、运输技术 规范》（HJ2025-2012）、《危险废物贮存污染控制标准》（GB18597-2023）进行危险废物的收集及贮存，具体做法包括：不同的危险废物分类收集存放，设置独立的</w:t>
            </w:r>
            <w:r>
              <w:rPr>
                <w:rFonts w:hint="eastAsia" w:cs="Times New Roman"/>
                <w:color w:val="000000" w:themeColor="text1"/>
                <w14:textFill>
                  <w14:solidFill>
                    <w14:schemeClr w14:val="tx1"/>
                  </w14:solidFill>
                </w14:textFill>
              </w:rPr>
              <w:t>危险废物暂存间</w:t>
            </w:r>
            <w:r>
              <w:rPr>
                <w:rFonts w:cs="Times New Roman"/>
                <w:color w:val="000000" w:themeColor="text1"/>
                <w14:textFill>
                  <w14:solidFill>
                    <w14:schemeClr w14:val="tx1"/>
                  </w14:solidFill>
                </w14:textFill>
              </w:rPr>
              <w:t>，并进行防风、防雨、防晒、防泄漏处理，地面进行硬化处理，各种危废分类单独存放，采取相应的防渗措施和渗漏收集措施，设置环保标志牌等，在采取严格防治措施的前提下，本项目危险废物贮存场所不会造成不利环境影响。</w:t>
            </w:r>
          </w:p>
          <w:p w14:paraId="6C024BB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2）运输过程的环境影响分析</w:t>
            </w:r>
          </w:p>
          <w:p w14:paraId="73F2962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本项目危险废物产生及贮存场所</w:t>
            </w:r>
            <w:r>
              <w:rPr>
                <w:rFonts w:hint="eastAsia" w:cs="Times New Roman"/>
                <w:color w:val="000000" w:themeColor="text1"/>
                <w:lang w:val="en-US" w:eastAsia="zh-CN"/>
                <w14:textFill>
                  <w14:solidFill>
                    <w14:schemeClr w14:val="tx1"/>
                  </w14:solidFill>
                </w14:textFill>
              </w:rPr>
              <w:t>均位于本项目厂界室内，室内</w:t>
            </w:r>
            <w:r>
              <w:rPr>
                <w:rFonts w:cs="Times New Roman"/>
                <w:color w:val="000000" w:themeColor="text1"/>
                <w14:textFill>
                  <w14:solidFill>
                    <w14:schemeClr w14:val="tx1"/>
                  </w14:solidFill>
                </w14:textFill>
              </w:rPr>
              <w:t>地面</w:t>
            </w:r>
            <w:r>
              <w:rPr>
                <w:rFonts w:hint="eastAsia" w:cs="Times New Roman"/>
                <w:color w:val="000000" w:themeColor="text1"/>
                <w:lang w:val="en-US" w:eastAsia="zh-CN"/>
                <w14:textFill>
                  <w14:solidFill>
                    <w14:schemeClr w14:val="tx1"/>
                  </w14:solidFill>
                </w14:textFill>
              </w:rPr>
              <w:t>均</w:t>
            </w:r>
            <w:r>
              <w:rPr>
                <w:rFonts w:cs="Times New Roman"/>
                <w:color w:val="000000" w:themeColor="text1"/>
                <w14:textFill>
                  <w14:solidFill>
                    <w14:schemeClr w14:val="tx1"/>
                  </w14:solidFill>
                </w14:textFill>
              </w:rPr>
              <w:t>采取硬化和防腐防渗措施，因此，危险废物从产生环节</w:t>
            </w:r>
            <w:r>
              <w:rPr>
                <w:rFonts w:hint="eastAsia" w:cs="Times New Roman"/>
                <w:color w:val="000000" w:themeColor="text1"/>
                <w:lang w:val="en-US" w:eastAsia="zh-CN"/>
                <w14:textFill>
                  <w14:solidFill>
                    <w14:schemeClr w14:val="tx1"/>
                  </w14:solidFill>
                </w14:textFill>
              </w:rPr>
              <w:t>转运至危险废物暂存间</w:t>
            </w:r>
            <w:r>
              <w:rPr>
                <w:rFonts w:cs="Times New Roman"/>
                <w:color w:val="000000" w:themeColor="text1"/>
                <w14:textFill>
                  <w14:solidFill>
                    <w14:schemeClr w14:val="tx1"/>
                  </w14:solidFill>
                </w14:textFill>
              </w:rPr>
              <w:t>的过程中产生散落和泄漏会得到有效控制，不会对周边环境敏感点及地下水环境产生不利影响。</w:t>
            </w:r>
          </w:p>
          <w:p w14:paraId="342B060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3）委托利用或处置的环境影响分析</w:t>
            </w:r>
          </w:p>
          <w:p w14:paraId="6BECB03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危险废物委托具有相应处理资质的危险废物处置单位进行处理，危险废物处置单位应持有《危险废物经营许可证》。建设单位与有资质单位签订处置协议，并设专人管理，加强对危险废物分类收集、贮存、转移的管理，确保危险废物得到合理处置。</w:t>
            </w:r>
          </w:p>
          <w:p w14:paraId="35B8F80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综上所述，项目产生的固体废物均能得到妥善处置，处置途径可行，不会对环境造成二次污染。</w:t>
            </w:r>
          </w:p>
          <w:p w14:paraId="18D6DC26">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5、地下水、土壤环境影响分析</w:t>
            </w:r>
          </w:p>
          <w:p w14:paraId="238B327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项目生活污水经化粪池处理后排入市政管网，最终排入</w:t>
            </w:r>
            <w:r>
              <w:rPr>
                <w:rFonts w:hint="eastAsia" w:cs="Times New Roman"/>
                <w:color w:val="000000" w:themeColor="text1"/>
                <w:lang w:eastAsia="zh-CN"/>
                <w14:textFill>
                  <w14:solidFill>
                    <w14:schemeClr w14:val="tx1"/>
                  </w14:solidFill>
                </w14:textFill>
              </w:rPr>
              <w:t>北京轻纺服装产业基地应急污水处理站</w:t>
            </w:r>
            <w:r>
              <w:rPr>
                <w:rFonts w:cs="Times New Roman"/>
                <w:color w:val="000000" w:themeColor="text1"/>
                <w14:textFill>
                  <w14:solidFill>
                    <w14:schemeClr w14:val="tx1"/>
                  </w14:solidFill>
                </w14:textFill>
              </w:rPr>
              <w:t>处理。项目产生的一般工业固体废物统一收集后由物资部门回收再利用。危险废物暂存于危险废物暂存间，定期交由有资质单位处理，不外排。生活垃圾统一收集后，交环卫部门定期清运。由上述分析，在正常工况下，项目不会对土壤和地下水造成影响，项目暂不制定地下水及土壤跟踪监测计划。本项目经营场所范围内地面进行防渗处理，其中危险废物暂存间渗透系数小于10</w:t>
            </w:r>
            <w:r>
              <w:rPr>
                <w:rFonts w:cs="Times New Roman"/>
                <w:color w:val="000000" w:themeColor="text1"/>
                <w:vertAlign w:val="superscript"/>
                <w14:textFill>
                  <w14:solidFill>
                    <w14:schemeClr w14:val="tx1"/>
                  </w14:solidFill>
                </w14:textFill>
              </w:rPr>
              <w:t>-10</w:t>
            </w:r>
            <w:r>
              <w:rPr>
                <w:rFonts w:cs="Times New Roman"/>
                <w:color w:val="000000" w:themeColor="text1"/>
                <w14:textFill>
                  <w14:solidFill>
                    <w14:schemeClr w14:val="tx1"/>
                  </w14:solidFill>
                </w14:textFill>
              </w:rPr>
              <w:t>cm/s，其他区域渗透系数小于10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cm/s。综上，本项目在落实好防渗工作的前提下，对地下水、土壤环境影响较小。</w:t>
            </w:r>
          </w:p>
          <w:p w14:paraId="17DEA606">
            <w:pPr>
              <w:adjustRightInd w:val="0"/>
              <w:snapToGrid w:val="0"/>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6、环境风险影响分析</w:t>
            </w:r>
          </w:p>
          <w:p w14:paraId="2A02F8FF">
            <w:pPr>
              <w:pStyle w:val="11"/>
              <w:adjustRightInd/>
              <w:snapToGrid/>
              <w:spacing w:line="360" w:lineRule="auto"/>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（1）风险源调查</w:t>
            </w:r>
          </w:p>
          <w:p w14:paraId="25A4914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 169-2018）、《企业突发环境事件风险分级方法》（HJ941-2018）及《危险化学品重大危险源辨识》（GB18218-2018）等相关资料，并结合本项目原辅材料及工艺分析，本项目风险物质调查结果如下。</w:t>
            </w:r>
          </w:p>
          <w:p w14:paraId="37749357">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9</w:t>
            </w:r>
            <w:r>
              <w:rPr>
                <w:rFonts w:cs="Times New Roman"/>
                <w:color w:val="000000" w:themeColor="text1"/>
                <w14:textFill>
                  <w14:solidFill>
                    <w14:schemeClr w14:val="tx1"/>
                  </w14:solidFill>
                </w14:textFill>
              </w:rPr>
              <w:t xml:space="preserve"> 项目临界量Q值确定表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96"/>
              <w:gridCol w:w="2250"/>
              <w:gridCol w:w="1440"/>
              <w:gridCol w:w="1065"/>
              <w:gridCol w:w="1163"/>
            </w:tblGrid>
            <w:tr w14:paraId="01134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07AAADDC">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序号</w:t>
                  </w:r>
                </w:p>
              </w:tc>
              <w:tc>
                <w:tcPr>
                  <w:tcW w:w="1396" w:type="dxa"/>
                  <w:tcBorders>
                    <w:tl2br w:val="nil"/>
                    <w:tr2bl w:val="nil"/>
                  </w:tcBorders>
                  <w:vAlign w:val="center"/>
                </w:tcPr>
                <w:p w14:paraId="3A5D9615">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名称</w:t>
                  </w:r>
                </w:p>
              </w:tc>
              <w:tc>
                <w:tcPr>
                  <w:tcW w:w="2250" w:type="dxa"/>
                  <w:tcBorders>
                    <w:tl2br w:val="nil"/>
                    <w:tr2bl w:val="nil"/>
                  </w:tcBorders>
                  <w:vAlign w:val="center"/>
                </w:tcPr>
                <w:p w14:paraId="799BAD6E">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判定依据</w:t>
                  </w:r>
                </w:p>
              </w:tc>
              <w:tc>
                <w:tcPr>
                  <w:tcW w:w="1440" w:type="dxa"/>
                  <w:tcBorders>
                    <w:tl2br w:val="nil"/>
                    <w:tr2bl w:val="nil"/>
                  </w:tcBorders>
                  <w:vAlign w:val="center"/>
                </w:tcPr>
                <w:p w14:paraId="72781FD6">
                  <w:pPr>
                    <w:adjustRightInd w:val="0"/>
                    <w:snapToGrid w:val="0"/>
                    <w:spacing w:line="240" w:lineRule="auto"/>
                    <w:ind w:firstLine="0" w:firstLineChars="0"/>
                    <w:jc w:val="center"/>
                    <w:rPr>
                      <w:rFonts w:hint="default" w:eastAsia="宋体" w:cs="Times New Roman"/>
                      <w:b/>
                      <w:bCs/>
                      <w:color w:val="000000" w:themeColor="text1"/>
                      <w:spacing w:val="-10"/>
                      <w:sz w:val="21"/>
                      <w:szCs w:val="21"/>
                      <w:lang w:val="en-US" w:eastAsia="zh-CN"/>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最大存储量</w:t>
                  </w:r>
                  <w:r>
                    <w:rPr>
                      <w:rFonts w:hint="eastAsia" w:cs="Times New Roman"/>
                      <w:b/>
                      <w:bCs/>
                      <w:color w:val="000000" w:themeColor="text1"/>
                      <w:spacing w:val="-10"/>
                      <w:sz w:val="21"/>
                      <w:szCs w:val="21"/>
                      <w:lang w:val="en-US" w:eastAsia="zh-CN"/>
                      <w14:textFill>
                        <w14:solidFill>
                          <w14:schemeClr w14:val="tx1"/>
                        </w14:solidFill>
                      </w14:textFill>
                    </w:rPr>
                    <w:t>kg</w:t>
                  </w:r>
                </w:p>
              </w:tc>
              <w:tc>
                <w:tcPr>
                  <w:tcW w:w="1065" w:type="dxa"/>
                  <w:tcBorders>
                    <w:tl2br w:val="nil"/>
                    <w:tr2bl w:val="nil"/>
                  </w:tcBorders>
                  <w:vAlign w:val="center"/>
                </w:tcPr>
                <w:p w14:paraId="5F083E2C">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临界量t</w:t>
                  </w:r>
                </w:p>
              </w:tc>
              <w:tc>
                <w:tcPr>
                  <w:tcW w:w="1163" w:type="dxa"/>
                  <w:tcBorders>
                    <w:tl2br w:val="nil"/>
                    <w:tr2bl w:val="nil"/>
                  </w:tcBorders>
                  <w:vAlign w:val="center"/>
                </w:tcPr>
                <w:p w14:paraId="2B639D4E">
                  <w:pPr>
                    <w:adjustRightInd w:val="0"/>
                    <w:snapToGrid w:val="0"/>
                    <w:spacing w:line="240" w:lineRule="auto"/>
                    <w:ind w:firstLine="0" w:firstLineChars="0"/>
                    <w:jc w:val="center"/>
                    <w:rPr>
                      <w:rFonts w:cs="Times New Roman"/>
                      <w:b/>
                      <w:bCs/>
                      <w:color w:val="000000" w:themeColor="text1"/>
                      <w:spacing w:val="-10"/>
                      <w:sz w:val="21"/>
                      <w:szCs w:val="21"/>
                      <w14:textFill>
                        <w14:solidFill>
                          <w14:schemeClr w14:val="tx1"/>
                        </w14:solidFill>
                      </w14:textFill>
                    </w:rPr>
                  </w:pPr>
                  <w:r>
                    <w:rPr>
                      <w:rFonts w:cs="Times New Roman"/>
                      <w:b/>
                      <w:bCs/>
                      <w:color w:val="000000" w:themeColor="text1"/>
                      <w:spacing w:val="-10"/>
                      <w:sz w:val="21"/>
                      <w:szCs w:val="21"/>
                      <w14:textFill>
                        <w14:solidFill>
                          <w14:schemeClr w14:val="tx1"/>
                        </w14:solidFill>
                      </w14:textFill>
                    </w:rPr>
                    <w:t>Q值</w:t>
                  </w:r>
                </w:p>
              </w:tc>
            </w:tr>
            <w:tr w14:paraId="4A73D8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1E17AB95">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1</w:t>
                  </w:r>
                </w:p>
              </w:tc>
              <w:tc>
                <w:tcPr>
                  <w:tcW w:w="1396" w:type="dxa"/>
                  <w:tcBorders>
                    <w:tl2br w:val="nil"/>
                    <w:tr2bl w:val="nil"/>
                  </w:tcBorders>
                  <w:shd w:val="clear" w:color="auto" w:fill="auto"/>
                  <w:vAlign w:val="center"/>
                </w:tcPr>
                <w:p w14:paraId="7C381F13">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甲烷</w:t>
                  </w:r>
                </w:p>
              </w:tc>
              <w:tc>
                <w:tcPr>
                  <w:tcW w:w="2250" w:type="dxa"/>
                  <w:tcBorders>
                    <w:tl2br w:val="nil"/>
                    <w:tr2bl w:val="nil"/>
                  </w:tcBorders>
                  <w:shd w:val="clear"/>
                  <w:vAlign w:val="center"/>
                </w:tcPr>
                <w:p w14:paraId="6B1E8B21">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74-82-8</w:t>
                  </w:r>
                </w:p>
              </w:tc>
              <w:tc>
                <w:tcPr>
                  <w:tcW w:w="1440" w:type="dxa"/>
                  <w:tcBorders>
                    <w:tl2br w:val="nil"/>
                    <w:tr2bl w:val="nil"/>
                  </w:tcBorders>
                  <w:shd w:val="clear"/>
                  <w:vAlign w:val="center"/>
                </w:tcPr>
                <w:p w14:paraId="2BE4CB53">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30</w:t>
                  </w:r>
                </w:p>
              </w:tc>
              <w:tc>
                <w:tcPr>
                  <w:tcW w:w="1065" w:type="dxa"/>
                  <w:tcBorders>
                    <w:tl2br w:val="nil"/>
                    <w:tr2bl w:val="nil"/>
                  </w:tcBorders>
                  <w:shd w:val="clear"/>
                  <w:vAlign w:val="center"/>
                </w:tcPr>
                <w:p w14:paraId="3ED1E620">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10</w:t>
                  </w:r>
                </w:p>
              </w:tc>
              <w:tc>
                <w:tcPr>
                  <w:tcW w:w="1163" w:type="dxa"/>
                  <w:tcBorders>
                    <w:tl2br w:val="nil"/>
                    <w:tr2bl w:val="nil"/>
                  </w:tcBorders>
                  <w:vAlign w:val="center"/>
                </w:tcPr>
                <w:p w14:paraId="73FB28BD">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0.003</w:t>
                  </w:r>
                </w:p>
              </w:tc>
            </w:tr>
            <w:tr w14:paraId="46D2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0DC486F4">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2</w:t>
                  </w:r>
                </w:p>
              </w:tc>
              <w:tc>
                <w:tcPr>
                  <w:tcW w:w="1396" w:type="dxa"/>
                  <w:tcBorders>
                    <w:tl2br w:val="nil"/>
                    <w:tr2bl w:val="nil"/>
                  </w:tcBorders>
                  <w:shd w:val="clear" w:color="auto" w:fill="auto"/>
                  <w:vAlign w:val="center"/>
                </w:tcPr>
                <w:p w14:paraId="39704CBB">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丙烷</w:t>
                  </w:r>
                </w:p>
              </w:tc>
              <w:tc>
                <w:tcPr>
                  <w:tcW w:w="2250" w:type="dxa"/>
                  <w:tcBorders>
                    <w:tl2br w:val="nil"/>
                    <w:tr2bl w:val="nil"/>
                  </w:tcBorders>
                  <w:shd w:val="clear"/>
                  <w:vAlign w:val="center"/>
                </w:tcPr>
                <w:p w14:paraId="50ED8066">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74-98-6</w:t>
                  </w:r>
                </w:p>
              </w:tc>
              <w:tc>
                <w:tcPr>
                  <w:tcW w:w="1440" w:type="dxa"/>
                  <w:tcBorders>
                    <w:tl2br w:val="nil"/>
                    <w:tr2bl w:val="nil"/>
                  </w:tcBorders>
                  <w:shd w:val="clear"/>
                  <w:vAlign w:val="center"/>
                </w:tcPr>
                <w:p w14:paraId="4DDC8B98">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150</w:t>
                  </w:r>
                </w:p>
              </w:tc>
              <w:tc>
                <w:tcPr>
                  <w:tcW w:w="1065" w:type="dxa"/>
                  <w:tcBorders>
                    <w:tl2br w:val="nil"/>
                    <w:tr2bl w:val="nil"/>
                  </w:tcBorders>
                  <w:shd w:val="clear"/>
                  <w:vAlign w:val="center"/>
                </w:tcPr>
                <w:p w14:paraId="0BE60C11">
                  <w:pPr>
                    <w:adjustRightInd w:val="0"/>
                    <w:snapToGrid w:val="0"/>
                    <w:spacing w:line="240" w:lineRule="auto"/>
                    <w:ind w:firstLine="0" w:firstLineChars="0"/>
                    <w:jc w:val="center"/>
                    <w:rPr>
                      <w:rFonts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10</w:t>
                  </w:r>
                </w:p>
              </w:tc>
              <w:tc>
                <w:tcPr>
                  <w:tcW w:w="1163" w:type="dxa"/>
                  <w:tcBorders>
                    <w:tl2br w:val="nil"/>
                    <w:tr2bl w:val="nil"/>
                  </w:tcBorders>
                  <w:vAlign w:val="center"/>
                </w:tcPr>
                <w:p w14:paraId="50FB444F">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0.015</w:t>
                  </w:r>
                </w:p>
              </w:tc>
            </w:tr>
            <w:tr w14:paraId="592079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1B3B3C61">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3</w:t>
                  </w:r>
                </w:p>
              </w:tc>
              <w:tc>
                <w:tcPr>
                  <w:tcW w:w="1396" w:type="dxa"/>
                  <w:tcBorders>
                    <w:tl2br w:val="nil"/>
                    <w:tr2bl w:val="nil"/>
                  </w:tcBorders>
                  <w:shd w:val="clear" w:color="auto" w:fill="auto"/>
                  <w:vAlign w:val="center"/>
                </w:tcPr>
                <w:p w14:paraId="616899A0">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乙醇</w:t>
                  </w:r>
                </w:p>
              </w:tc>
              <w:tc>
                <w:tcPr>
                  <w:tcW w:w="2250" w:type="dxa"/>
                  <w:tcBorders>
                    <w:tl2br w:val="nil"/>
                    <w:tr2bl w:val="nil"/>
                  </w:tcBorders>
                  <w:shd w:val="clear" w:color="auto" w:fill="auto"/>
                  <w:vAlign w:val="center"/>
                </w:tcPr>
                <w:p w14:paraId="6EC9B180">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64-17-5</w:t>
                  </w:r>
                </w:p>
              </w:tc>
              <w:tc>
                <w:tcPr>
                  <w:tcW w:w="1440" w:type="dxa"/>
                  <w:tcBorders>
                    <w:tl2br w:val="nil"/>
                    <w:tr2bl w:val="nil"/>
                  </w:tcBorders>
                  <w:shd w:val="clear" w:color="auto" w:fill="auto"/>
                  <w:vAlign w:val="center"/>
                </w:tcPr>
                <w:p w14:paraId="2FE0627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2.37</w:t>
                  </w:r>
                </w:p>
              </w:tc>
              <w:tc>
                <w:tcPr>
                  <w:tcW w:w="1065" w:type="dxa"/>
                  <w:tcBorders>
                    <w:tl2br w:val="nil"/>
                    <w:tr2bl w:val="nil"/>
                  </w:tcBorders>
                  <w:shd w:val="clear" w:color="auto" w:fill="auto"/>
                  <w:vAlign w:val="center"/>
                </w:tcPr>
                <w:p w14:paraId="5DB7554D">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500</w:t>
                  </w:r>
                </w:p>
              </w:tc>
              <w:tc>
                <w:tcPr>
                  <w:tcW w:w="1163" w:type="dxa"/>
                  <w:tcBorders>
                    <w:tl2br w:val="nil"/>
                    <w:tr2bl w:val="nil"/>
                  </w:tcBorders>
                  <w:shd w:val="clear"/>
                  <w:vAlign w:val="center"/>
                </w:tcPr>
                <w:p w14:paraId="1515FDEA">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eastAsia="宋体" w:cs="Times New Roman"/>
                      <w:color w:val="000000" w:themeColor="text1"/>
                      <w:spacing w:val="-10"/>
                      <w:kern w:val="2"/>
                      <w:sz w:val="21"/>
                      <w:szCs w:val="21"/>
                      <w:lang w:val="en-US" w:eastAsia="zh-CN" w:bidi="ar-SA"/>
                      <w14:textFill>
                        <w14:solidFill>
                          <w14:schemeClr w14:val="tx1"/>
                        </w14:solidFill>
                      </w14:textFill>
                    </w:rPr>
                    <w:t>0.000005</w:t>
                  </w:r>
                </w:p>
              </w:tc>
            </w:tr>
            <w:tr w14:paraId="4D891F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7F53DE85">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4</w:t>
                  </w:r>
                </w:p>
              </w:tc>
              <w:tc>
                <w:tcPr>
                  <w:tcW w:w="1396" w:type="dxa"/>
                  <w:tcBorders>
                    <w:tl2br w:val="nil"/>
                    <w:tr2bl w:val="nil"/>
                  </w:tcBorders>
                  <w:shd w:val="clear" w:color="auto" w:fill="auto"/>
                  <w:vAlign w:val="center"/>
                </w:tcPr>
                <w:p w14:paraId="05D82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异丁醇</w:t>
                  </w:r>
                </w:p>
              </w:tc>
              <w:tc>
                <w:tcPr>
                  <w:tcW w:w="2250" w:type="dxa"/>
                  <w:tcBorders>
                    <w:tl2br w:val="nil"/>
                    <w:tr2bl w:val="nil"/>
                  </w:tcBorders>
                  <w:shd w:val="clear" w:color="auto" w:fill="auto"/>
                  <w:vAlign w:val="center"/>
                </w:tcPr>
                <w:p w14:paraId="2FFFC580">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78-83-1</w:t>
                  </w:r>
                </w:p>
              </w:tc>
              <w:tc>
                <w:tcPr>
                  <w:tcW w:w="1440" w:type="dxa"/>
                  <w:tcBorders>
                    <w:tl2br w:val="nil"/>
                    <w:tr2bl w:val="nil"/>
                  </w:tcBorders>
                  <w:shd w:val="clear" w:color="auto" w:fill="auto"/>
                  <w:vAlign w:val="center"/>
                </w:tcPr>
                <w:p w14:paraId="5B309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1.62</w:t>
                  </w:r>
                </w:p>
              </w:tc>
              <w:tc>
                <w:tcPr>
                  <w:tcW w:w="1065" w:type="dxa"/>
                  <w:tcBorders>
                    <w:tl2br w:val="nil"/>
                    <w:tr2bl w:val="nil"/>
                  </w:tcBorders>
                  <w:shd w:val="clear" w:color="auto" w:fill="auto"/>
                  <w:vAlign w:val="center"/>
                </w:tcPr>
                <w:p w14:paraId="263FCB53">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shd w:val="clear" w:color="auto" w:fill="auto"/>
                  <w:vAlign w:val="center"/>
                </w:tcPr>
                <w:p w14:paraId="364BD70A">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t>0.000162</w:t>
                  </w:r>
                </w:p>
              </w:tc>
            </w:tr>
            <w:tr w14:paraId="0F3B8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4EB5A5A2">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5</w:t>
                  </w:r>
                </w:p>
              </w:tc>
              <w:tc>
                <w:tcPr>
                  <w:tcW w:w="1396" w:type="dxa"/>
                  <w:tcBorders>
                    <w:tl2br w:val="nil"/>
                    <w:tr2bl w:val="nil"/>
                  </w:tcBorders>
                  <w:shd w:val="clear" w:color="auto" w:fill="auto"/>
                  <w:vAlign w:val="center"/>
                </w:tcPr>
                <w:p w14:paraId="1EACA3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乙酰丙酮</w:t>
                  </w:r>
                </w:p>
              </w:tc>
              <w:tc>
                <w:tcPr>
                  <w:tcW w:w="2250" w:type="dxa"/>
                  <w:tcBorders>
                    <w:tl2br w:val="nil"/>
                    <w:tr2bl w:val="nil"/>
                  </w:tcBorders>
                  <w:shd w:val="clear"/>
                  <w:vAlign w:val="center"/>
                </w:tcPr>
                <w:p w14:paraId="6F6F126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123-54-6</w:t>
                  </w:r>
                </w:p>
              </w:tc>
              <w:tc>
                <w:tcPr>
                  <w:tcW w:w="1440" w:type="dxa"/>
                  <w:tcBorders>
                    <w:tl2br w:val="nil"/>
                    <w:tr2bl w:val="nil"/>
                  </w:tcBorders>
                  <w:shd w:val="clear" w:color="auto" w:fill="auto"/>
                  <w:vAlign w:val="center"/>
                </w:tcPr>
                <w:p w14:paraId="452C5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3.43</w:t>
                  </w:r>
                </w:p>
              </w:tc>
              <w:tc>
                <w:tcPr>
                  <w:tcW w:w="1065" w:type="dxa"/>
                  <w:tcBorders>
                    <w:tl2br w:val="nil"/>
                    <w:tr2bl w:val="nil"/>
                  </w:tcBorders>
                  <w:shd w:val="clear"/>
                  <w:vAlign w:val="center"/>
                </w:tcPr>
                <w:p w14:paraId="2FD64259">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eastAsia="宋体"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45F7E6FE">
                  <w:pPr>
                    <w:adjustRightInd w:val="0"/>
                    <w:snapToGrid w:val="0"/>
                    <w:spacing w:line="240" w:lineRule="auto"/>
                    <w:ind w:firstLine="0" w:firstLineChars="0"/>
                    <w:jc w:val="center"/>
                    <w:rPr>
                      <w:rFonts w:hint="default" w:eastAsia="宋体" w:cs="Times New Roman"/>
                      <w:color w:val="000000" w:themeColor="text1"/>
                      <w:spacing w:val="-10"/>
                      <w:sz w:val="21"/>
                      <w:szCs w:val="21"/>
                      <w:lang w:val="en-US" w:eastAsia="zh-CN"/>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0.000343</w:t>
                  </w:r>
                </w:p>
              </w:tc>
            </w:tr>
            <w:tr w14:paraId="48D9A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0F0A53E3">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6</w:t>
                  </w:r>
                </w:p>
              </w:tc>
              <w:tc>
                <w:tcPr>
                  <w:tcW w:w="1396" w:type="dxa"/>
                  <w:tcBorders>
                    <w:tl2br w:val="nil"/>
                    <w:tr2bl w:val="nil"/>
                  </w:tcBorders>
                  <w:shd w:val="clear" w:color="auto" w:fill="auto"/>
                  <w:vAlign w:val="center"/>
                </w:tcPr>
                <w:p w14:paraId="7DEB7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异丙醇</w:t>
                  </w:r>
                </w:p>
              </w:tc>
              <w:tc>
                <w:tcPr>
                  <w:tcW w:w="2250" w:type="dxa"/>
                  <w:tcBorders>
                    <w:tl2br w:val="nil"/>
                    <w:tr2bl w:val="nil"/>
                  </w:tcBorders>
                  <w:shd w:val="clear"/>
                  <w:vAlign w:val="center"/>
                </w:tcPr>
                <w:p w14:paraId="1CDCAFAA">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67-63-0</w:t>
                  </w:r>
                </w:p>
              </w:tc>
              <w:tc>
                <w:tcPr>
                  <w:tcW w:w="1440" w:type="dxa"/>
                  <w:tcBorders>
                    <w:tl2br w:val="nil"/>
                    <w:tr2bl w:val="nil"/>
                  </w:tcBorders>
                  <w:shd w:val="clear" w:color="auto" w:fill="auto"/>
                  <w:vAlign w:val="center"/>
                </w:tcPr>
                <w:p w14:paraId="6E526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0.79</w:t>
                  </w:r>
                </w:p>
              </w:tc>
              <w:tc>
                <w:tcPr>
                  <w:tcW w:w="1065" w:type="dxa"/>
                  <w:tcBorders>
                    <w:tl2br w:val="nil"/>
                    <w:tr2bl w:val="nil"/>
                  </w:tcBorders>
                  <w:shd w:val="clear"/>
                  <w:vAlign w:val="center"/>
                </w:tcPr>
                <w:p w14:paraId="25A72450">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27731565">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0.000079</w:t>
                  </w:r>
                </w:p>
              </w:tc>
            </w:tr>
            <w:tr w14:paraId="6A6C77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347C2C05">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7</w:t>
                  </w:r>
                </w:p>
              </w:tc>
              <w:tc>
                <w:tcPr>
                  <w:tcW w:w="1396" w:type="dxa"/>
                  <w:tcBorders>
                    <w:tl2br w:val="nil"/>
                    <w:tr2bl w:val="nil"/>
                  </w:tcBorders>
                  <w:shd w:val="clear" w:color="auto" w:fill="auto"/>
                  <w:vAlign w:val="center"/>
                </w:tcPr>
                <w:p w14:paraId="41817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甲醇</w:t>
                  </w:r>
                </w:p>
              </w:tc>
              <w:tc>
                <w:tcPr>
                  <w:tcW w:w="2250" w:type="dxa"/>
                  <w:tcBorders>
                    <w:tl2br w:val="nil"/>
                    <w:tr2bl w:val="nil"/>
                  </w:tcBorders>
                  <w:shd w:val="clear"/>
                  <w:vAlign w:val="center"/>
                </w:tcPr>
                <w:p w14:paraId="0BEC596D">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67-56-1</w:t>
                  </w:r>
                </w:p>
              </w:tc>
              <w:tc>
                <w:tcPr>
                  <w:tcW w:w="1440" w:type="dxa"/>
                  <w:tcBorders>
                    <w:tl2br w:val="nil"/>
                    <w:tr2bl w:val="nil"/>
                  </w:tcBorders>
                  <w:shd w:val="clear" w:color="auto" w:fill="auto"/>
                  <w:vAlign w:val="center"/>
                </w:tcPr>
                <w:p w14:paraId="7FF1A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3.95</w:t>
                  </w:r>
                </w:p>
              </w:tc>
              <w:tc>
                <w:tcPr>
                  <w:tcW w:w="1065" w:type="dxa"/>
                  <w:tcBorders>
                    <w:tl2br w:val="nil"/>
                    <w:tr2bl w:val="nil"/>
                  </w:tcBorders>
                  <w:shd w:val="clear"/>
                  <w:vAlign w:val="center"/>
                </w:tcPr>
                <w:p w14:paraId="550F0A8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44D13793">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0.000395</w:t>
                  </w:r>
                </w:p>
              </w:tc>
            </w:tr>
            <w:tr w14:paraId="6E8592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2C1480EB">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8</w:t>
                  </w:r>
                </w:p>
              </w:tc>
              <w:tc>
                <w:tcPr>
                  <w:tcW w:w="1396" w:type="dxa"/>
                  <w:tcBorders>
                    <w:tl2br w:val="nil"/>
                    <w:tr2bl w:val="nil"/>
                  </w:tcBorders>
                  <w:shd w:val="clear" w:color="auto" w:fill="auto"/>
                  <w:vAlign w:val="center"/>
                </w:tcPr>
                <w:p w14:paraId="579EA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正十四烷</w:t>
                  </w:r>
                </w:p>
              </w:tc>
              <w:tc>
                <w:tcPr>
                  <w:tcW w:w="2250" w:type="dxa"/>
                  <w:tcBorders>
                    <w:tl2br w:val="nil"/>
                    <w:tr2bl w:val="nil"/>
                  </w:tcBorders>
                  <w:shd w:val="clear"/>
                  <w:vAlign w:val="center"/>
                </w:tcPr>
                <w:p w14:paraId="511C32D3">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629-59-4</w:t>
                  </w:r>
                </w:p>
              </w:tc>
              <w:tc>
                <w:tcPr>
                  <w:tcW w:w="1440" w:type="dxa"/>
                  <w:tcBorders>
                    <w:tl2br w:val="nil"/>
                    <w:tr2bl w:val="nil"/>
                  </w:tcBorders>
                  <w:shd w:val="clear" w:color="auto" w:fill="auto"/>
                  <w:vAlign w:val="center"/>
                </w:tcPr>
                <w:p w14:paraId="2E06E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0.046</w:t>
                  </w:r>
                </w:p>
              </w:tc>
              <w:tc>
                <w:tcPr>
                  <w:tcW w:w="1065" w:type="dxa"/>
                  <w:tcBorders>
                    <w:tl2br w:val="nil"/>
                    <w:tr2bl w:val="nil"/>
                  </w:tcBorders>
                  <w:shd w:val="clear"/>
                  <w:vAlign w:val="center"/>
                </w:tcPr>
                <w:p w14:paraId="3CC35784">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58509D45">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0.000005</w:t>
                  </w:r>
                </w:p>
              </w:tc>
            </w:tr>
            <w:tr w14:paraId="1912B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13315E6A">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9</w:t>
                  </w:r>
                </w:p>
              </w:tc>
              <w:tc>
                <w:tcPr>
                  <w:tcW w:w="1396" w:type="dxa"/>
                  <w:tcBorders>
                    <w:tl2br w:val="nil"/>
                    <w:tr2bl w:val="nil"/>
                  </w:tcBorders>
                  <w:shd w:val="clear" w:color="auto" w:fill="auto"/>
                  <w:vAlign w:val="center"/>
                </w:tcPr>
                <w:p w14:paraId="71FE2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w:t>
                  </w:r>
                </w:p>
              </w:tc>
              <w:tc>
                <w:tcPr>
                  <w:tcW w:w="2250" w:type="dxa"/>
                  <w:tcBorders>
                    <w:tl2br w:val="nil"/>
                    <w:tr2bl w:val="nil"/>
                  </w:tcBorders>
                  <w:shd w:val="clear"/>
                  <w:vAlign w:val="center"/>
                </w:tcPr>
                <w:p w14:paraId="17F204FA">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7664-38-2</w:t>
                  </w:r>
                </w:p>
              </w:tc>
              <w:tc>
                <w:tcPr>
                  <w:tcW w:w="1440" w:type="dxa"/>
                  <w:tcBorders>
                    <w:tl2br w:val="nil"/>
                    <w:tr2bl w:val="nil"/>
                  </w:tcBorders>
                  <w:shd w:val="clear" w:color="auto" w:fill="auto"/>
                  <w:vAlign w:val="center"/>
                </w:tcPr>
                <w:p w14:paraId="2C927C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1.05</w:t>
                  </w:r>
                </w:p>
              </w:tc>
              <w:tc>
                <w:tcPr>
                  <w:tcW w:w="1065" w:type="dxa"/>
                  <w:tcBorders>
                    <w:tl2br w:val="nil"/>
                    <w:tr2bl w:val="nil"/>
                  </w:tcBorders>
                  <w:shd w:val="clear"/>
                  <w:vAlign w:val="center"/>
                </w:tcPr>
                <w:p w14:paraId="25865E7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5F69F141">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0.000105</w:t>
                  </w:r>
                </w:p>
              </w:tc>
            </w:tr>
            <w:tr w14:paraId="4802E5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71CDFA1F">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10</w:t>
                  </w:r>
                </w:p>
              </w:tc>
              <w:tc>
                <w:tcPr>
                  <w:tcW w:w="1396" w:type="dxa"/>
                  <w:tcBorders>
                    <w:tl2br w:val="nil"/>
                    <w:tr2bl w:val="nil"/>
                  </w:tcBorders>
                  <w:shd w:val="clear" w:color="auto" w:fill="auto"/>
                  <w:vAlign w:val="center"/>
                </w:tcPr>
                <w:p w14:paraId="2B78D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乙酸乙酯</w:t>
                  </w:r>
                </w:p>
              </w:tc>
              <w:tc>
                <w:tcPr>
                  <w:tcW w:w="2250" w:type="dxa"/>
                  <w:tcBorders>
                    <w:tl2br w:val="nil"/>
                    <w:tr2bl w:val="nil"/>
                  </w:tcBorders>
                  <w:shd w:val="clear"/>
                  <w:vAlign w:val="center"/>
                </w:tcPr>
                <w:p w14:paraId="73F90E10">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141-78-6</w:t>
                  </w:r>
                </w:p>
              </w:tc>
              <w:tc>
                <w:tcPr>
                  <w:tcW w:w="1440" w:type="dxa"/>
                  <w:tcBorders>
                    <w:tl2br w:val="nil"/>
                    <w:tr2bl w:val="nil"/>
                  </w:tcBorders>
                  <w:shd w:val="clear" w:color="auto" w:fill="auto"/>
                  <w:vAlign w:val="center"/>
                </w:tcPr>
                <w:p w14:paraId="36AB1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2.25</w:t>
                  </w:r>
                </w:p>
              </w:tc>
              <w:tc>
                <w:tcPr>
                  <w:tcW w:w="1065" w:type="dxa"/>
                  <w:tcBorders>
                    <w:tl2br w:val="nil"/>
                    <w:tr2bl w:val="nil"/>
                  </w:tcBorders>
                  <w:shd w:val="clear"/>
                  <w:vAlign w:val="center"/>
                </w:tcPr>
                <w:p w14:paraId="0E807D20">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222D6FE0">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0.000225</w:t>
                  </w:r>
                </w:p>
              </w:tc>
            </w:tr>
            <w:tr w14:paraId="1E251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2C4F3ACC">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11</w:t>
                  </w:r>
                </w:p>
              </w:tc>
              <w:tc>
                <w:tcPr>
                  <w:tcW w:w="1396" w:type="dxa"/>
                  <w:tcBorders>
                    <w:tl2br w:val="nil"/>
                    <w:tr2bl w:val="nil"/>
                  </w:tcBorders>
                  <w:shd w:val="clear" w:color="auto" w:fill="auto"/>
                  <w:vAlign w:val="center"/>
                </w:tcPr>
                <w:p w14:paraId="77134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硫酸（98%）</w:t>
                  </w:r>
                </w:p>
              </w:tc>
              <w:tc>
                <w:tcPr>
                  <w:tcW w:w="2250" w:type="dxa"/>
                  <w:tcBorders>
                    <w:tl2br w:val="nil"/>
                    <w:tr2bl w:val="nil"/>
                  </w:tcBorders>
                  <w:shd w:val="clear"/>
                  <w:vAlign w:val="center"/>
                </w:tcPr>
                <w:p w14:paraId="04427DFB">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7664-93-9</w:t>
                  </w:r>
                </w:p>
              </w:tc>
              <w:tc>
                <w:tcPr>
                  <w:tcW w:w="1440" w:type="dxa"/>
                  <w:tcBorders>
                    <w:tl2br w:val="nil"/>
                    <w:tr2bl w:val="nil"/>
                  </w:tcBorders>
                  <w:shd w:val="clear" w:color="auto" w:fill="auto"/>
                  <w:vAlign w:val="center"/>
                </w:tcPr>
                <w:p w14:paraId="6F7D4F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w:t>
                  </w:r>
                </w:p>
              </w:tc>
              <w:tc>
                <w:tcPr>
                  <w:tcW w:w="1065" w:type="dxa"/>
                  <w:tcBorders>
                    <w:tl2br w:val="nil"/>
                    <w:tr2bl w:val="nil"/>
                  </w:tcBorders>
                  <w:shd w:val="clear"/>
                  <w:vAlign w:val="center"/>
                </w:tcPr>
                <w:p w14:paraId="6CF3C7D1">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2BB9991D">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0.00009</w:t>
                  </w:r>
                </w:p>
              </w:tc>
            </w:tr>
            <w:tr w14:paraId="3595B3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1DA8B14B">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12</w:t>
                  </w:r>
                </w:p>
              </w:tc>
              <w:tc>
                <w:tcPr>
                  <w:tcW w:w="1396" w:type="dxa"/>
                  <w:tcBorders>
                    <w:tl2br w:val="nil"/>
                    <w:tr2bl w:val="nil"/>
                  </w:tcBorders>
                  <w:shd w:val="clear" w:color="auto" w:fill="auto"/>
                  <w:vAlign w:val="center"/>
                </w:tcPr>
                <w:p w14:paraId="0F44E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硝酸（98%）</w:t>
                  </w:r>
                </w:p>
              </w:tc>
              <w:tc>
                <w:tcPr>
                  <w:tcW w:w="2250" w:type="dxa"/>
                  <w:tcBorders>
                    <w:tl2br w:val="nil"/>
                    <w:tr2bl w:val="nil"/>
                  </w:tcBorders>
                  <w:shd w:val="clear"/>
                  <w:vAlign w:val="center"/>
                </w:tcPr>
                <w:p w14:paraId="522808FA">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7697-37-2</w:t>
                  </w:r>
                </w:p>
              </w:tc>
              <w:tc>
                <w:tcPr>
                  <w:tcW w:w="1440" w:type="dxa"/>
                  <w:tcBorders>
                    <w:tl2br w:val="nil"/>
                    <w:tr2bl w:val="nil"/>
                  </w:tcBorders>
                  <w:shd w:val="clear" w:color="auto" w:fill="auto"/>
                  <w:vAlign w:val="center"/>
                </w:tcPr>
                <w:p w14:paraId="5B056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w:t>
                  </w:r>
                </w:p>
              </w:tc>
              <w:tc>
                <w:tcPr>
                  <w:tcW w:w="1065" w:type="dxa"/>
                  <w:tcBorders>
                    <w:tl2br w:val="nil"/>
                    <w:tr2bl w:val="nil"/>
                  </w:tcBorders>
                  <w:shd w:val="clear"/>
                  <w:vAlign w:val="center"/>
                </w:tcPr>
                <w:p w14:paraId="44DA78AE">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7</w:t>
                  </w:r>
                </w:p>
              </w:tc>
              <w:tc>
                <w:tcPr>
                  <w:tcW w:w="1163" w:type="dxa"/>
                  <w:tcBorders>
                    <w:tl2br w:val="nil"/>
                    <w:tr2bl w:val="nil"/>
                  </w:tcBorders>
                  <w:vAlign w:val="center"/>
                </w:tcPr>
                <w:p w14:paraId="5AD39817">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0.0001</w:t>
                  </w:r>
                </w:p>
              </w:tc>
            </w:tr>
            <w:tr w14:paraId="1DD6D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4FF1952C">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13</w:t>
                  </w:r>
                </w:p>
              </w:tc>
              <w:tc>
                <w:tcPr>
                  <w:tcW w:w="1396" w:type="dxa"/>
                  <w:tcBorders>
                    <w:tl2br w:val="nil"/>
                    <w:tr2bl w:val="nil"/>
                  </w:tcBorders>
                  <w:shd w:val="clear" w:color="auto" w:fill="auto"/>
                  <w:vAlign w:val="center"/>
                </w:tcPr>
                <w:p w14:paraId="32D4E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盐酸（37%）</w:t>
                  </w:r>
                </w:p>
              </w:tc>
              <w:tc>
                <w:tcPr>
                  <w:tcW w:w="2250" w:type="dxa"/>
                  <w:tcBorders>
                    <w:tl2br w:val="nil"/>
                    <w:tr2bl w:val="nil"/>
                  </w:tcBorders>
                  <w:shd w:val="clear"/>
                  <w:vAlign w:val="center"/>
                </w:tcPr>
                <w:p w14:paraId="47FB1FA7">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7647-01-0</w:t>
                  </w:r>
                </w:p>
              </w:tc>
              <w:tc>
                <w:tcPr>
                  <w:tcW w:w="1440" w:type="dxa"/>
                  <w:tcBorders>
                    <w:tl2br w:val="nil"/>
                    <w:tr2bl w:val="nil"/>
                  </w:tcBorders>
                  <w:shd w:val="clear" w:color="auto" w:fill="auto"/>
                  <w:vAlign w:val="center"/>
                </w:tcPr>
                <w:p w14:paraId="15E976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w:t>
                  </w:r>
                </w:p>
              </w:tc>
              <w:tc>
                <w:tcPr>
                  <w:tcW w:w="1065" w:type="dxa"/>
                  <w:tcBorders>
                    <w:tl2br w:val="nil"/>
                    <w:tr2bl w:val="nil"/>
                  </w:tcBorders>
                  <w:shd w:val="clear"/>
                  <w:vAlign w:val="center"/>
                </w:tcPr>
                <w:p w14:paraId="62C8E14C">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7</w:t>
                  </w:r>
                </w:p>
              </w:tc>
              <w:tc>
                <w:tcPr>
                  <w:tcW w:w="1163" w:type="dxa"/>
                  <w:tcBorders>
                    <w:tl2br w:val="nil"/>
                    <w:tr2bl w:val="nil"/>
                  </w:tcBorders>
                  <w:vAlign w:val="center"/>
                </w:tcPr>
                <w:p w14:paraId="40B79302">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0.000029</w:t>
                  </w:r>
                </w:p>
              </w:tc>
            </w:tr>
            <w:tr w14:paraId="533B5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7C2F3455">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14</w:t>
                  </w:r>
                </w:p>
              </w:tc>
              <w:tc>
                <w:tcPr>
                  <w:tcW w:w="1396" w:type="dxa"/>
                  <w:tcBorders>
                    <w:tl2br w:val="nil"/>
                    <w:tr2bl w:val="nil"/>
                  </w:tcBorders>
                  <w:shd w:val="clear" w:color="auto" w:fill="auto"/>
                  <w:vAlign w:val="center"/>
                </w:tcPr>
                <w:p w14:paraId="5EBAE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氨水（20%）</w:t>
                  </w:r>
                </w:p>
              </w:tc>
              <w:tc>
                <w:tcPr>
                  <w:tcW w:w="2250" w:type="dxa"/>
                  <w:tcBorders>
                    <w:tl2br w:val="nil"/>
                    <w:tr2bl w:val="nil"/>
                  </w:tcBorders>
                  <w:shd w:val="clear"/>
                  <w:vAlign w:val="center"/>
                </w:tcPr>
                <w:p w14:paraId="1415B9F3">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1336-21-6</w:t>
                  </w:r>
                </w:p>
              </w:tc>
              <w:tc>
                <w:tcPr>
                  <w:tcW w:w="1440" w:type="dxa"/>
                  <w:tcBorders>
                    <w:tl2br w:val="nil"/>
                    <w:tr2bl w:val="nil"/>
                  </w:tcBorders>
                  <w:shd w:val="clear" w:color="auto" w:fill="auto"/>
                  <w:vAlign w:val="center"/>
                </w:tcPr>
                <w:p w14:paraId="178586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0.09</w:t>
                  </w:r>
                </w:p>
              </w:tc>
              <w:tc>
                <w:tcPr>
                  <w:tcW w:w="1065" w:type="dxa"/>
                  <w:tcBorders>
                    <w:tl2br w:val="nil"/>
                    <w:tr2bl w:val="nil"/>
                  </w:tcBorders>
                  <w:shd w:val="clear"/>
                  <w:vAlign w:val="center"/>
                </w:tcPr>
                <w:p w14:paraId="1BD9DF1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kern w:val="2"/>
                      <w:sz w:val="21"/>
                      <w:szCs w:val="21"/>
                      <w:lang w:val="en-US" w:eastAsia="zh-CN" w:bidi="ar-SA"/>
                      <w14:textFill>
                        <w14:solidFill>
                          <w14:schemeClr w14:val="tx1"/>
                        </w14:solidFill>
                      </w14:textFill>
                    </w:rPr>
                    <w:t>10</w:t>
                  </w:r>
                </w:p>
              </w:tc>
              <w:tc>
                <w:tcPr>
                  <w:tcW w:w="1163" w:type="dxa"/>
                  <w:tcBorders>
                    <w:tl2br w:val="nil"/>
                    <w:tr2bl w:val="nil"/>
                  </w:tcBorders>
                  <w:vAlign w:val="center"/>
                </w:tcPr>
                <w:p w14:paraId="0D1071B6">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0.000009</w:t>
                  </w:r>
                </w:p>
              </w:tc>
            </w:tr>
            <w:tr w14:paraId="7CFD0C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4B7C7F68">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15</w:t>
                  </w:r>
                </w:p>
              </w:tc>
              <w:tc>
                <w:tcPr>
                  <w:tcW w:w="1396" w:type="dxa"/>
                  <w:tcBorders>
                    <w:tl2br w:val="nil"/>
                    <w:tr2bl w:val="nil"/>
                  </w:tcBorders>
                  <w:shd w:val="clear" w:color="auto" w:fill="auto"/>
                  <w:vAlign w:val="center"/>
                </w:tcPr>
                <w:p w14:paraId="243E2DEE">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检测废液</w:t>
                  </w:r>
                </w:p>
              </w:tc>
              <w:tc>
                <w:tcPr>
                  <w:tcW w:w="2250" w:type="dxa"/>
                  <w:tcBorders>
                    <w:tl2br w:val="nil"/>
                    <w:tr2bl w:val="nil"/>
                  </w:tcBorders>
                  <w:shd w:val="clear" w:color="auto" w:fill="auto"/>
                  <w:vAlign w:val="center"/>
                </w:tcPr>
                <w:p w14:paraId="1143B4A7">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CODcr浓度</w:t>
                  </w:r>
                  <w:r>
                    <w:rPr>
                      <w:rFonts w:hint="eastAsia" w:ascii="微软雅黑" w:hAnsi="微软雅黑" w:eastAsia="微软雅黑" w:cs="微软雅黑"/>
                      <w:color w:val="000000" w:themeColor="text1"/>
                      <w:spacing w:val="-10"/>
                      <w:sz w:val="21"/>
                      <w:szCs w:val="21"/>
                      <w14:textFill>
                        <w14:solidFill>
                          <w14:schemeClr w14:val="tx1"/>
                        </w14:solidFill>
                      </w14:textFill>
                    </w:rPr>
                    <w:t>≥</w:t>
                  </w:r>
                  <w:r>
                    <w:rPr>
                      <w:rFonts w:hint="eastAsia" w:cs="Times New Roman"/>
                      <w:color w:val="000000" w:themeColor="text1"/>
                      <w:spacing w:val="-10"/>
                      <w:sz w:val="21"/>
                      <w:szCs w:val="21"/>
                      <w14:textFill>
                        <w14:solidFill>
                          <w14:schemeClr w14:val="tx1"/>
                        </w14:solidFill>
                      </w14:textFill>
                    </w:rPr>
                    <w:t>10000mg/L的有机废液</w:t>
                  </w:r>
                </w:p>
              </w:tc>
              <w:tc>
                <w:tcPr>
                  <w:tcW w:w="1440" w:type="dxa"/>
                  <w:tcBorders>
                    <w:tl2br w:val="nil"/>
                    <w:tr2bl w:val="nil"/>
                  </w:tcBorders>
                  <w:shd w:val="clear" w:color="auto" w:fill="auto"/>
                  <w:vAlign w:val="center"/>
                </w:tcPr>
                <w:p w14:paraId="581B758A">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eastAsia="宋体" w:cs="Times New Roman"/>
                      <w:color w:val="000000" w:themeColor="text1"/>
                      <w:spacing w:val="-10"/>
                      <w:sz w:val="21"/>
                      <w:szCs w:val="21"/>
                      <w:lang w:val="en-US" w:eastAsia="zh-CN"/>
                      <w14:textFill>
                        <w14:solidFill>
                          <w14:schemeClr w14:val="tx1"/>
                        </w14:solidFill>
                      </w14:textFill>
                    </w:rPr>
                    <w:t>800</w:t>
                  </w:r>
                </w:p>
              </w:tc>
              <w:tc>
                <w:tcPr>
                  <w:tcW w:w="1065" w:type="dxa"/>
                  <w:tcBorders>
                    <w:tl2br w:val="nil"/>
                    <w:tr2bl w:val="nil"/>
                  </w:tcBorders>
                  <w:shd w:val="clear" w:color="auto" w:fill="auto"/>
                  <w:vAlign w:val="center"/>
                </w:tcPr>
                <w:p w14:paraId="114D9782">
                  <w:pPr>
                    <w:adjustRightInd w:val="0"/>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lang w:val="en-US" w:eastAsia="zh-CN" w:bidi="ar-SA"/>
                      <w14:textFill>
                        <w14:solidFill>
                          <w14:schemeClr w14:val="tx1"/>
                        </w14:solidFill>
                      </w14:textFill>
                    </w:rPr>
                  </w:pPr>
                  <w:r>
                    <w:rPr>
                      <w:rFonts w:hint="eastAsia" w:cs="Times New Roman"/>
                      <w:color w:val="000000" w:themeColor="text1"/>
                      <w:spacing w:val="-10"/>
                      <w:sz w:val="21"/>
                      <w:szCs w:val="21"/>
                      <w14:textFill>
                        <w14:solidFill>
                          <w14:schemeClr w14:val="tx1"/>
                        </w14:solidFill>
                      </w14:textFill>
                    </w:rPr>
                    <w:t>10</w:t>
                  </w:r>
                </w:p>
              </w:tc>
              <w:tc>
                <w:tcPr>
                  <w:tcW w:w="1163" w:type="dxa"/>
                  <w:tcBorders>
                    <w:tl2br w:val="nil"/>
                    <w:tr2bl w:val="nil"/>
                  </w:tcBorders>
                  <w:vAlign w:val="center"/>
                </w:tcPr>
                <w:p w14:paraId="152AF854">
                  <w:pPr>
                    <w:adjustRightInd w:val="0"/>
                    <w:snapToGrid w:val="0"/>
                    <w:spacing w:line="240" w:lineRule="auto"/>
                    <w:ind w:firstLine="0" w:firstLineChars="0"/>
                    <w:jc w:val="center"/>
                    <w:rPr>
                      <w:rFonts w:hint="default"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spacing w:val="-10"/>
                      <w:sz w:val="21"/>
                      <w:szCs w:val="21"/>
                      <w:lang w:val="en-US" w:eastAsia="zh-CN"/>
                      <w14:textFill>
                        <w14:solidFill>
                          <w14:schemeClr w14:val="tx1"/>
                        </w14:solidFill>
                      </w14:textFill>
                    </w:rPr>
                    <w:t>0.08</w:t>
                  </w:r>
                </w:p>
              </w:tc>
            </w:tr>
            <w:tr w14:paraId="7F1BA7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0" w:type="dxa"/>
                  <w:gridSpan w:val="5"/>
                  <w:vAlign w:val="center"/>
                </w:tcPr>
                <w:p w14:paraId="017C6BB4">
                  <w:pPr>
                    <w:adjustRightInd w:val="0"/>
                    <w:snapToGrid w:val="0"/>
                    <w:spacing w:line="240" w:lineRule="auto"/>
                    <w:ind w:firstLine="0" w:firstLineChars="0"/>
                    <w:jc w:val="center"/>
                    <w:rPr>
                      <w:rFonts w:cs="Times New Roman"/>
                      <w:color w:val="000000" w:themeColor="text1"/>
                      <w:spacing w:val="-10"/>
                      <w:sz w:val="21"/>
                      <w:szCs w:val="21"/>
                      <w14:textFill>
                        <w14:solidFill>
                          <w14:schemeClr w14:val="tx1"/>
                        </w14:solidFill>
                      </w14:textFill>
                    </w:rPr>
                  </w:pPr>
                  <w:r>
                    <w:rPr>
                      <w:rFonts w:cs="Times New Roman"/>
                      <w:color w:val="000000" w:themeColor="text1"/>
                      <w:spacing w:val="-10"/>
                      <w:sz w:val="21"/>
                      <w:szCs w:val="21"/>
                      <w14:textFill>
                        <w14:solidFill>
                          <w14:schemeClr w14:val="tx1"/>
                        </w14:solidFill>
                      </w14:textFill>
                    </w:rPr>
                    <w:t>合计</w:t>
                  </w:r>
                </w:p>
              </w:tc>
              <w:tc>
                <w:tcPr>
                  <w:tcW w:w="1163" w:type="dxa"/>
                  <w:shd w:val="clear" w:color="auto" w:fill="auto"/>
                  <w:vAlign w:val="center"/>
                </w:tcPr>
                <w:p w14:paraId="4353AA5B">
                  <w:pPr>
                    <w:adjustRightInd w:val="0"/>
                    <w:snapToGrid w:val="0"/>
                    <w:spacing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0.0995</w:t>
                  </w:r>
                </w:p>
              </w:tc>
            </w:tr>
          </w:tbl>
          <w:p w14:paraId="3CC5FF9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由上表可知，Q=</w:t>
            </w:r>
            <w:r>
              <w:rPr>
                <w:rFonts w:hint="eastAsia" w:cs="Times New Roman"/>
                <w:color w:val="000000" w:themeColor="text1"/>
                <w:sz w:val="24"/>
                <w:szCs w:val="24"/>
                <w14:textFill>
                  <w14:solidFill>
                    <w14:schemeClr w14:val="tx1"/>
                  </w14:solidFill>
                </w14:textFill>
              </w:rPr>
              <w:t>0.0</w:t>
            </w:r>
            <w:r>
              <w:rPr>
                <w:rFonts w:hint="eastAsia" w:cs="Times New Roman"/>
                <w:color w:val="000000" w:themeColor="text1"/>
                <w:sz w:val="24"/>
                <w:szCs w:val="24"/>
                <w:lang w:val="en-US" w:eastAsia="zh-CN"/>
                <w14:textFill>
                  <w14:solidFill>
                    <w14:schemeClr w14:val="tx1"/>
                  </w14:solidFill>
                </w14:textFill>
              </w:rPr>
              <w:t>995</w:t>
            </w:r>
            <w:r>
              <w:rPr>
                <w:rFonts w:cs="Times New Roman"/>
                <w:color w:val="000000" w:themeColor="text1"/>
                <w14:textFill>
                  <w14:solidFill>
                    <w14:schemeClr w14:val="tx1"/>
                  </w14:solidFill>
                </w14:textFill>
              </w:rPr>
              <w:t>＜1，依据《建设项目环境风险评价技术导则》（HJ169-2018），当Q＜1时，该项目环境风险潜势为I，可开展简单分析，在描述</w:t>
            </w:r>
            <w:r>
              <w:rPr>
                <w:rFonts w:hint="eastAsia" w:cs="Times New Roman"/>
                <w:color w:val="000000" w:themeColor="text1"/>
                <w:lang w:val="en-US" w:eastAsia="zh-CN"/>
                <w14:textFill>
                  <w14:solidFill>
                    <w14:schemeClr w14:val="tx1"/>
                  </w14:solidFill>
                </w14:textFill>
              </w:rPr>
              <w:t>风险物质</w:t>
            </w:r>
            <w:r>
              <w:rPr>
                <w:rFonts w:cs="Times New Roman"/>
                <w:color w:val="000000" w:themeColor="text1"/>
                <w14:textFill>
                  <w14:solidFill>
                    <w14:schemeClr w14:val="tx1"/>
                  </w14:solidFill>
                </w14:textFill>
              </w:rPr>
              <w:t>、环境影响途径、环境危害后果、风险防范措施等方面给出定性的说明。</w:t>
            </w:r>
          </w:p>
          <w:p w14:paraId="597C7346">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环境影响途径及危害后果</w:t>
            </w:r>
          </w:p>
          <w:p w14:paraId="106E8C3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环境影响途径及危害后果</w:t>
            </w:r>
            <w:r>
              <w:rPr>
                <w:rFonts w:cs="Times New Roman"/>
                <w:color w:val="000000" w:themeColor="text1"/>
                <w14:textFill>
                  <w14:solidFill>
                    <w14:schemeClr w14:val="tx1"/>
                  </w14:solidFill>
                </w14:textFill>
              </w:rPr>
              <w:t>详见下表。</w:t>
            </w:r>
          </w:p>
          <w:p w14:paraId="7995FA71">
            <w:pPr>
              <w:pStyle w:val="2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20</w:t>
            </w:r>
            <w:r>
              <w:rPr>
                <w:rFonts w:cs="Times New Roman"/>
                <w:color w:val="000000" w:themeColor="text1"/>
                <w14:textFill>
                  <w14:solidFill>
                    <w14:schemeClr w14:val="tx1"/>
                  </w14:solidFill>
                </w14:textFill>
              </w:rPr>
              <w:t xml:space="preserve"> 环境影响途径</w:t>
            </w:r>
            <w:r>
              <w:rPr>
                <w:rFonts w:hint="eastAsia" w:cs="Times New Roman"/>
                <w:color w:val="000000" w:themeColor="text1"/>
                <w14:textFill>
                  <w14:solidFill>
                    <w14:schemeClr w14:val="tx1"/>
                  </w14:solidFill>
                </w14:textFill>
              </w:rPr>
              <w:t>及危害后果</w:t>
            </w:r>
            <w:r>
              <w:rPr>
                <w:rFonts w:cs="Times New Roman"/>
                <w:color w:val="000000" w:themeColor="text1"/>
                <w14:textFill>
                  <w14:solidFill>
                    <w14:schemeClr w14:val="tx1"/>
                  </w14:solidFill>
                </w14:textFill>
              </w:rPr>
              <w:t>分析表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55"/>
              <w:gridCol w:w="1525"/>
              <w:gridCol w:w="4680"/>
            </w:tblGrid>
            <w:tr w14:paraId="010EF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l2br w:val="nil"/>
                    <w:tr2bl w:val="nil"/>
                  </w:tcBorders>
                  <w:vAlign w:val="center"/>
                </w:tcPr>
                <w:p w14:paraId="0D3A6FA0">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155" w:type="dxa"/>
                  <w:tcBorders>
                    <w:tl2br w:val="nil"/>
                    <w:tr2bl w:val="nil"/>
                  </w:tcBorders>
                  <w:vAlign w:val="center"/>
                </w:tcPr>
                <w:p w14:paraId="777FA24F">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风险单元</w:t>
                  </w:r>
                </w:p>
              </w:tc>
              <w:tc>
                <w:tcPr>
                  <w:tcW w:w="1525" w:type="dxa"/>
                  <w:tcBorders>
                    <w:tl2br w:val="nil"/>
                    <w:tr2bl w:val="nil"/>
                  </w:tcBorders>
                  <w:vAlign w:val="center"/>
                </w:tcPr>
                <w:p w14:paraId="3FC7B0A0">
                  <w:pPr>
                    <w:adjustRightInd w:val="0"/>
                    <w:snapToGrid w:val="0"/>
                    <w:spacing w:line="240" w:lineRule="auto"/>
                    <w:ind w:firstLine="0" w:firstLineChars="0"/>
                    <w:jc w:val="center"/>
                    <w:rPr>
                      <w:rFonts w:hint="eastAsia" w:eastAsia="宋体"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主要</w:t>
                  </w:r>
                  <w:r>
                    <w:rPr>
                      <w:rFonts w:hint="eastAsia" w:cs="Times New Roman"/>
                      <w:b/>
                      <w:bCs/>
                      <w:color w:val="000000" w:themeColor="text1"/>
                      <w:sz w:val="21"/>
                      <w:szCs w:val="21"/>
                      <w:highlight w:val="none"/>
                      <w:lang w:val="en-US" w:eastAsia="zh-CN"/>
                      <w14:textFill>
                        <w14:solidFill>
                          <w14:schemeClr w14:val="tx1"/>
                        </w14:solidFill>
                      </w14:textFill>
                    </w:rPr>
                    <w:t>风险物质</w:t>
                  </w:r>
                </w:p>
              </w:tc>
              <w:tc>
                <w:tcPr>
                  <w:tcW w:w="4680" w:type="dxa"/>
                  <w:tcBorders>
                    <w:tl2br w:val="nil"/>
                    <w:tr2bl w:val="nil"/>
                  </w:tcBorders>
                  <w:vAlign w:val="center"/>
                </w:tcPr>
                <w:p w14:paraId="240A479A">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环境影响途径</w:t>
                  </w:r>
                  <w:r>
                    <w:rPr>
                      <w:rFonts w:hint="eastAsia" w:cs="Times New Roman"/>
                      <w:b/>
                      <w:bCs/>
                      <w:color w:val="000000" w:themeColor="text1"/>
                      <w:sz w:val="21"/>
                      <w:szCs w:val="21"/>
                      <w14:textFill>
                        <w14:solidFill>
                          <w14:schemeClr w14:val="tx1"/>
                        </w14:solidFill>
                      </w14:textFill>
                    </w:rPr>
                    <w:t>及危害后果</w:t>
                  </w:r>
                </w:p>
              </w:tc>
            </w:tr>
            <w:tr w14:paraId="706DD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l2br w:val="nil"/>
                    <w:tr2bl w:val="nil"/>
                  </w:tcBorders>
                  <w:vAlign w:val="center"/>
                </w:tcPr>
                <w:p w14:paraId="67274D67">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155" w:type="dxa"/>
                  <w:tcBorders>
                    <w:tl2br w:val="nil"/>
                    <w:tr2bl w:val="nil"/>
                  </w:tcBorders>
                  <w:vAlign w:val="center"/>
                </w:tcPr>
                <w:p w14:paraId="00C6D490">
                  <w:pPr>
                    <w:adjustRightInd w:val="0"/>
                    <w:snapToGrid w:val="0"/>
                    <w:spacing w:line="240" w:lineRule="auto"/>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试验室</w:t>
                  </w:r>
                </w:p>
              </w:tc>
              <w:tc>
                <w:tcPr>
                  <w:tcW w:w="1525" w:type="dxa"/>
                  <w:tcBorders>
                    <w:tl2br w:val="nil"/>
                    <w:tr2bl w:val="nil"/>
                  </w:tcBorders>
                  <w:vAlign w:val="center"/>
                </w:tcPr>
                <w:p w14:paraId="2DAAAFC3">
                  <w:pPr>
                    <w:adjustRightInd w:val="0"/>
                    <w:snapToGrid w:val="0"/>
                    <w:spacing w:line="240" w:lineRule="auto"/>
                    <w:ind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14:textFill>
                        <w14:solidFill>
                          <w14:schemeClr w14:val="tx1"/>
                        </w14:solidFill>
                      </w14:textFill>
                    </w:rPr>
                    <w:t>甲烷</w:t>
                  </w:r>
                  <w:r>
                    <w:rPr>
                      <w:rFonts w:hint="eastAsia" w:ascii="宋体" w:hAnsi="宋体" w:cs="宋体"/>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丙烷</w:t>
                  </w:r>
                  <w:r>
                    <w:rPr>
                      <w:rFonts w:hint="eastAsia" w:ascii="宋体" w:hAnsi="宋体" w:cs="宋体"/>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乙酸乙酯</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乙醇、检测废液等</w:t>
                  </w:r>
                </w:p>
              </w:tc>
              <w:tc>
                <w:tcPr>
                  <w:tcW w:w="4680" w:type="dxa"/>
                  <w:tcBorders>
                    <w:tl2br w:val="nil"/>
                    <w:tr2bl w:val="nil"/>
                  </w:tcBorders>
                  <w:vAlign w:val="center"/>
                </w:tcPr>
                <w:p w14:paraId="57AAECAB">
                  <w:pPr>
                    <w:adjustRightInd w:val="0"/>
                    <w:snapToGrid w:val="0"/>
                    <w:spacing w:line="240" w:lineRule="auto"/>
                    <w:ind w:firstLine="0" w:firstLineChars="0"/>
                    <w:jc w:val="both"/>
                    <w:rPr>
                      <w:rFonts w:hint="default"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甲烷、丙烷、乙醇属于易燃物质，泄露易引起火灾，</w:t>
                  </w:r>
                  <w:r>
                    <w:rPr>
                      <w:rFonts w:cs="Times New Roman"/>
                      <w:color w:val="000000" w:themeColor="text1"/>
                      <w:sz w:val="21"/>
                      <w:szCs w:val="21"/>
                      <w14:textFill>
                        <w14:solidFill>
                          <w14:schemeClr w14:val="tx1"/>
                        </w14:solidFill>
                      </w14:textFill>
                    </w:rPr>
                    <w:t>消防废水拦截、收集不及时，进入雨水系统，进而进入河流，污染地表水环境</w:t>
                  </w:r>
                  <w:r>
                    <w:rPr>
                      <w:rFonts w:hint="eastAsia" w:cs="Times New Roman"/>
                      <w:color w:val="000000" w:themeColor="text1"/>
                      <w:sz w:val="21"/>
                      <w:szCs w:val="21"/>
                      <w:lang w:val="en-US" w:eastAsia="zh-CN"/>
                      <w14:textFill>
                        <w14:solidFill>
                          <w14:schemeClr w14:val="tx1"/>
                        </w14:solidFill>
                      </w14:textFill>
                    </w:rPr>
                    <w:t>；苯甲酸、乙醇试剂</w:t>
                  </w:r>
                  <w:r>
                    <w:rPr>
                      <w:rFonts w:cs="Times New Roman"/>
                      <w:color w:val="000000" w:themeColor="text1"/>
                      <w:sz w:val="21"/>
                      <w:szCs w:val="21"/>
                      <w14:textFill>
                        <w14:solidFill>
                          <w14:schemeClr w14:val="tx1"/>
                        </w14:solidFill>
                      </w14:textFill>
                    </w:rPr>
                    <w:t>发生泄露，液体物料流出</w:t>
                  </w:r>
                  <w:r>
                    <w:rPr>
                      <w:rFonts w:hint="eastAsia" w:cs="Times New Roman"/>
                      <w:color w:val="000000" w:themeColor="text1"/>
                      <w:sz w:val="21"/>
                      <w:szCs w:val="21"/>
                      <w:lang w:val="en-US" w:eastAsia="zh-CN"/>
                      <w14:textFill>
                        <w14:solidFill>
                          <w14:schemeClr w14:val="tx1"/>
                        </w14:solidFill>
                      </w14:textFill>
                    </w:rPr>
                    <w:t>造成大气、</w:t>
                  </w:r>
                  <w:r>
                    <w:rPr>
                      <w:rFonts w:cs="Times New Roman"/>
                      <w:color w:val="000000" w:themeColor="text1"/>
                      <w:sz w:val="21"/>
                      <w:szCs w:val="21"/>
                      <w14:textFill>
                        <w14:solidFill>
                          <w14:schemeClr w14:val="tx1"/>
                        </w14:solidFill>
                      </w14:textFill>
                    </w:rPr>
                    <w:t>地表水</w:t>
                  </w:r>
                  <w:r>
                    <w:rPr>
                      <w:rFonts w:hint="eastAsia" w:cs="Times New Roman"/>
                      <w:color w:val="000000" w:themeColor="text1"/>
                      <w:sz w:val="21"/>
                      <w:szCs w:val="21"/>
                      <w:lang w:val="en-US" w:eastAsia="zh-CN"/>
                      <w14:textFill>
                        <w14:solidFill>
                          <w14:schemeClr w14:val="tx1"/>
                        </w14:solidFill>
                      </w14:textFill>
                    </w:rPr>
                    <w:t>及</w:t>
                  </w:r>
                  <w:r>
                    <w:rPr>
                      <w:rFonts w:cs="Times New Roman"/>
                      <w:color w:val="000000" w:themeColor="text1"/>
                      <w:sz w:val="21"/>
                      <w:szCs w:val="21"/>
                      <w14:textFill>
                        <w14:solidFill>
                          <w14:schemeClr w14:val="tx1"/>
                        </w14:solidFill>
                      </w14:textFill>
                    </w:rPr>
                    <w:t>土壤</w:t>
                  </w:r>
                  <w:r>
                    <w:rPr>
                      <w:rFonts w:hint="eastAsia" w:cs="Times New Roman"/>
                      <w:color w:val="000000" w:themeColor="text1"/>
                      <w:sz w:val="21"/>
                      <w:szCs w:val="21"/>
                      <w:lang w:val="en-US" w:eastAsia="zh-CN"/>
                      <w14:textFill>
                        <w14:solidFill>
                          <w14:schemeClr w14:val="tx1"/>
                        </w14:solidFill>
                      </w14:textFill>
                    </w:rPr>
                    <w:t>污染；检测废液（CODcr浓度≥10000mg/L）泄露，易造成地下水、土壤污染。</w:t>
                  </w:r>
                </w:p>
              </w:tc>
            </w:tr>
          </w:tbl>
          <w:p w14:paraId="625967E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（3）风险防范措施</w:t>
            </w:r>
            <w:r>
              <w:rPr>
                <w:rFonts w:hint="eastAsia" w:cs="Times New Roman"/>
                <w:color w:val="000000" w:themeColor="text1"/>
                <w:lang w:val="en-US" w:eastAsia="zh-CN"/>
                <w14:textFill>
                  <w14:solidFill>
                    <w14:schemeClr w14:val="tx1"/>
                  </w14:solidFill>
                </w14:textFill>
              </w:rPr>
              <w:t>要求</w:t>
            </w:r>
          </w:p>
          <w:p w14:paraId="3B7D2B0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为避免风险事故，尤其是避免风险事故发生后对环境造成严重的污染，建设单位应树立并强化环境风险意识，</w:t>
            </w:r>
            <w:r>
              <w:rPr>
                <w:rFonts w:hint="eastAsia" w:cs="Times New Roman"/>
                <w:color w:val="000000" w:themeColor="text1"/>
                <w:lang w:val="en-US" w:eastAsia="zh-CN"/>
                <w14:textFill>
                  <w14:solidFill>
                    <w14:schemeClr w14:val="tx1"/>
                  </w14:solidFill>
                </w14:textFill>
              </w:rPr>
              <w:t>增加对环境风险的防范措施，并使这些措施在实际工作中得到落实。主要包括：</w:t>
            </w:r>
          </w:p>
          <w:p w14:paraId="0178B038">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试剂存放风险防范措施</w:t>
            </w:r>
          </w:p>
          <w:p w14:paraId="6272AAF2">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建立健全管理制度，规范操作，对属于危险物质的试剂的取用流程进行严格规定，对可能发生的风险事故进行预先组织准备和应急保障。确定专职试剂管理人员，熟知本项目涉及的各类化学品的安全性质和安全管理常识。</w:t>
            </w:r>
          </w:p>
          <w:p w14:paraId="6FEDCC1C">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在满足需要的前提下，按照最小量存放试剂，所有存储试剂的容器应保持密封、试剂柜柜门应保持关闭，需要时小心取用，每次取用完后检查封闭情况。所有试剂按特性分区分类存储，不得混合摆放；标识向外，便于查看。</w:t>
            </w:r>
          </w:p>
          <w:p w14:paraId="05DDA781">
            <w:pPr>
              <w:adjustRightInd w:val="0"/>
              <w:snapToGrid w:val="0"/>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③保持阴凉通风，试剂存放区注意保持遮光、温</w:t>
            </w:r>
            <w:r>
              <w:rPr>
                <w:rFonts w:hint="default" w:ascii="Times New Roman" w:hAnsi="Times New Roman" w:cs="Times New Roman"/>
                <w:color w:val="000000" w:themeColor="text1"/>
                <w14:textFill>
                  <w14:solidFill>
                    <w14:schemeClr w14:val="tx1"/>
                  </w14:solidFill>
                </w14:textFill>
              </w:rPr>
              <w:t>度﹤30℃，</w:t>
            </w:r>
            <w:r>
              <w:rPr>
                <w:rFonts w:hint="eastAsia" w:cs="Times New Roman"/>
                <w:color w:val="000000" w:themeColor="text1"/>
                <w14:textFill>
                  <w14:solidFill>
                    <w14:schemeClr w14:val="tx1"/>
                  </w14:solidFill>
                </w14:textFill>
              </w:rPr>
              <w:t>远离火种、热源，应有醒目的防火、易燃烧等标识。实验室内严禁吸烟和使用明火。</w:t>
            </w:r>
          </w:p>
          <w:p w14:paraId="08ECE748">
            <w:pPr>
              <w:adjustRightInd w:val="0"/>
              <w:snapToGrid w:val="0"/>
              <w:ind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④发生试剂泄漏时，迅速撤离泄漏污染区人员至安全区，如果有人员受到伤害，应立即采取救治措施。将泄漏区隔离，严格限制出入。应急处理人员佩戴手套、口罩等防护装备，尽可能切断泄漏源，防止泄漏增加。小量泄漏时可用沙土或其它不燃材料吸附或吸收</w:t>
            </w:r>
            <w:r>
              <w:rPr>
                <w:rFonts w:hint="eastAsia" w:cs="Times New Roman"/>
                <w:color w:val="000000" w:themeColor="text1"/>
                <w:lang w:eastAsia="zh-CN"/>
                <w14:textFill>
                  <w14:solidFill>
                    <w14:schemeClr w14:val="tx1"/>
                  </w14:solidFill>
                </w14:textFill>
              </w:rPr>
              <w:t>。</w:t>
            </w:r>
          </w:p>
          <w:p w14:paraId="7DD9FCE3">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危险废物暂存风险防范措施</w:t>
            </w:r>
          </w:p>
          <w:p w14:paraId="2ADD808F">
            <w:pPr>
              <w:adjustRightInd w:val="0"/>
              <w:snapToGrid w:val="0"/>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危险废物应严格按照《危险废物贮存污染控制标准》（GB18597-2023）进行规范操作和管理。</w:t>
            </w:r>
          </w:p>
          <w:p w14:paraId="58929C84">
            <w:pPr>
              <w:adjustRightInd w:val="0"/>
              <w:snapToGrid w:val="0"/>
              <w:ind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①使用专有容器分类存放，存放于危险废物暂存间内，最终由有资质单位定期回收处置</w:t>
            </w:r>
            <w:r>
              <w:rPr>
                <w:rFonts w:hint="eastAsia" w:cs="Times New Roman"/>
                <w:color w:val="000000" w:themeColor="text1"/>
                <w:lang w:eastAsia="zh-CN"/>
                <w14:textFill>
                  <w14:solidFill>
                    <w14:schemeClr w14:val="tx1"/>
                  </w14:solidFill>
                </w14:textFill>
              </w:rPr>
              <w:t>。</w:t>
            </w:r>
          </w:p>
          <w:p w14:paraId="5D92AFB8">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②危险废物暂存间采取地面硬化、防渗处理，防止危险废物临时存放造成泄漏污染地下水及周围环境。</w:t>
            </w:r>
          </w:p>
          <w:p w14:paraId="34B8C953">
            <w:pPr>
              <w:adjustRightInd w:val="0"/>
              <w:snapToGrid w:val="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③危险废物运送应当使用专用车辆。</w:t>
            </w:r>
          </w:p>
          <w:p w14:paraId="54C88C02">
            <w:pPr>
              <w:adjustRightInd w:val="0"/>
              <w:snapToGrid w:val="0"/>
              <w:ind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④</w:t>
            </w:r>
            <w:r>
              <w:rPr>
                <w:rFonts w:hint="eastAsia" w:cs="Times New Roman"/>
                <w:color w:val="000000" w:themeColor="text1"/>
                <w:lang w:val="en-US" w:eastAsia="zh-CN"/>
                <w14:textFill>
                  <w14:solidFill>
                    <w14:schemeClr w14:val="tx1"/>
                  </w14:solidFill>
                </w14:textFill>
              </w:rPr>
              <w:t>定期开展环境风险隐患排查，发现问题及时处理。</w:t>
            </w:r>
          </w:p>
          <w:p w14:paraId="5177E72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通过</w:t>
            </w:r>
            <w:r>
              <w:rPr>
                <w:rFonts w:hint="eastAsia" w:cs="Times New Roman"/>
                <w:color w:val="000000" w:themeColor="text1"/>
                <w:lang w:val="en-US" w:eastAsia="zh-CN"/>
                <w14:textFill>
                  <w14:solidFill>
                    <w14:schemeClr w14:val="tx1"/>
                  </w14:solidFill>
                </w14:textFill>
              </w:rPr>
              <w:t>采取上述措施，本项目对周围的环境风险是可控的，项目环境风险水平可接受。</w:t>
            </w:r>
          </w:p>
          <w:p w14:paraId="4F8BD33A">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7、碳排放符合性分析</w:t>
            </w:r>
          </w:p>
          <w:p w14:paraId="04A0C73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根据《建设项目环境影响评价技术指南 碳排放》（DB11/T2308-2024），本项目碳排放核算情况如下：</w:t>
            </w:r>
          </w:p>
          <w:p w14:paraId="25507178">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（1）碳排放环节分析</w:t>
            </w:r>
          </w:p>
          <w:p w14:paraId="3429E6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本项目涉及碳排放环节主要为设备运行使用外购电力和试验过程使用化石燃料甲烷和丙烷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项目试验样品全部为难燃性材料，试验过程样品燃烧产生的二氧化碳忽略不计</w:t>
            </w:r>
            <w:r>
              <w:rPr>
                <w:rFonts w:hint="eastAsia"/>
                <w:color w:val="000000" w:themeColor="text1"/>
                <w14:textFill>
                  <w14:solidFill>
                    <w14:schemeClr w14:val="tx1"/>
                  </w14:solidFill>
                </w14:textFill>
              </w:rPr>
              <w:t>。</w:t>
            </w:r>
          </w:p>
          <w:p w14:paraId="7989AA04">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（2）碳排放核算</w:t>
            </w:r>
          </w:p>
          <w:p w14:paraId="728DA3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根据《二氧化碳排放核算和报告要求 其他行业》（DB11/T 1787-2020），碳排放评价核算边界包括三部分：化石燃料燃烧产生排放、消耗外购电力产生排放和消耗外购热力产生排放。项目不涉及外购热力产生排放，二氧化碳排放量主要为：消耗外购电力产生排放和化石燃料燃烧产生排放。</w:t>
            </w:r>
          </w:p>
          <w:p w14:paraId="357DF8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本项目二氧化碳排放总量等于核算边界内化石燃料燃烧、消耗外购电力产生的排放量之和，按以下公式计算：</w:t>
            </w:r>
          </w:p>
          <w:p w14:paraId="1EB05D4E">
            <w:pPr>
              <w:ind w:firstLine="2880" w:firstLineChars="1200"/>
              <w:rPr>
                <w:color w:val="000000" w:themeColor="text1"/>
                <w:vertAlign w:val="subscript"/>
                <w14:textFill>
                  <w14:solidFill>
                    <w14:schemeClr w14:val="tx1"/>
                  </w14:solidFill>
                </w14:textFill>
              </w:rPr>
            </w:pPr>
            <w:r>
              <w:rPr>
                <w:rFonts w:hint="eastAsia"/>
                <w:color w:val="000000" w:themeColor="text1"/>
                <w14:textFill>
                  <w14:solidFill>
                    <w14:schemeClr w14:val="tx1"/>
                  </w14:solidFill>
                </w14:textFill>
              </w:rPr>
              <w:t>E=E</w:t>
            </w:r>
            <w:r>
              <w:rPr>
                <w:rFonts w:hint="eastAsia"/>
                <w:color w:val="000000" w:themeColor="text1"/>
                <w:vertAlign w:val="subscript"/>
                <w14:textFill>
                  <w14:solidFill>
                    <w14:schemeClr w14:val="tx1"/>
                  </w14:solidFill>
                </w14:textFill>
              </w:rPr>
              <w:t>燃烧</w:t>
            </w:r>
            <w:r>
              <w:rPr>
                <w:rFonts w:hint="eastAsia"/>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外购电</w:t>
            </w:r>
          </w:p>
          <w:p w14:paraId="616E76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①本项目化石燃料燃烧产生的二氧化碳E</w:t>
            </w:r>
            <w:r>
              <w:rPr>
                <w:rFonts w:hint="eastAsia"/>
                <w:color w:val="000000" w:themeColor="text1"/>
                <w:vertAlign w:val="subscript"/>
                <w14:textFill>
                  <w14:solidFill>
                    <w14:schemeClr w14:val="tx1"/>
                  </w14:solidFill>
                </w14:textFill>
              </w:rPr>
              <w:t>燃烧</w:t>
            </w:r>
            <w:r>
              <w:rPr>
                <w:rFonts w:hint="eastAsia"/>
                <w:color w:val="000000" w:themeColor="text1"/>
                <w14:textFill>
                  <w14:solidFill>
                    <w14:schemeClr w14:val="tx1"/>
                  </w14:solidFill>
                </w14:textFill>
              </w:rPr>
              <w:t>按下式计算：</w:t>
            </w:r>
          </w:p>
          <w:p w14:paraId="6B57DEA3">
            <w:pPr>
              <w:ind w:firstLine="0" w:firstLineChars="0"/>
              <w:jc w:val="center"/>
              <w:rPr>
                <w:rFonts w:cs="Times New Roman"/>
                <w:color w:val="000000" w:themeColor="text1"/>
                <w14:textFill>
                  <w14:solidFill>
                    <w14:schemeClr w14:val="tx1"/>
                  </w14:solidFill>
                </w14:textFill>
              </w:rPr>
            </w:pPr>
            <w:r>
              <w:rPr>
                <w:rFonts w:hint="eastAsia"/>
                <w:color w:val="000000" w:themeColor="text1"/>
                <w:position w:val="-28"/>
                <w14:textFill>
                  <w14:solidFill>
                    <w14:schemeClr w14:val="tx1"/>
                  </w14:solidFill>
                </w14:textFill>
              </w:rPr>
              <w:object>
                <v:shape id="_x0000_i1046" o:spt="75" type="#_x0000_t75" style="height:33.75pt;width:108pt;" o:ole="t" filled="f" o:preferrelative="t" stroked="f" coordsize="21600,21600">
                  <v:path/>
                  <v:fill on="f" focussize="0,0"/>
                  <v:stroke on="f" joinstyle="miter"/>
                  <v:imagedata r:id="rId12" o:title=""/>
                  <o:lock v:ext="edit" aspectratio="t"/>
                  <w10:wrap type="none"/>
                  <w10:anchorlock/>
                </v:shape>
                <o:OLEObject Type="Embed" ProgID="Equation.KSEE3" ShapeID="_x0000_i1046" DrawAspect="Content" ObjectID="_1468075725" r:id="rId11">
                  <o:LockedField>false</o:LockedField>
                </o:OLEObject>
              </w:object>
            </w:r>
          </w:p>
          <w:p w14:paraId="085E7C7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51C97A56">
            <w:pPr>
              <w:ind w:firstLine="480"/>
              <w:rPr>
                <w:rFonts w:cs="Times New Roman"/>
                <w:color w:val="000000" w:themeColor="text1"/>
                <w14:textFill>
                  <w14:solidFill>
                    <w14:schemeClr w14:val="tx1"/>
                  </w14:solidFill>
                </w14:textFill>
              </w:rPr>
            </w:pPr>
            <w:r>
              <w:rPr>
                <w:rFonts w:hint="eastAsia"/>
                <w:color w:val="000000" w:themeColor="text1"/>
                <w:position w:val="-14"/>
                <w14:textFill>
                  <w14:solidFill>
                    <w14:schemeClr w14:val="tx1"/>
                  </w14:solidFill>
                </w14:textFill>
              </w:rPr>
              <w:object>
                <v:shape id="_x0000_i1047" o:spt="75" type="#_x0000_t75" style="height:18.75pt;width:26.25pt;" o:ole="t" filled="f" o:preferrelative="t" stroked="f" coordsize="21600,21600">
                  <v:path/>
                  <v:fill on="f" focussize="0,0"/>
                  <v:stroke on="f" joinstyle="miter"/>
                  <v:imagedata r:id="rId14" o:title=""/>
                  <o:lock v:ext="edit" aspectratio="t"/>
                  <w10:wrap type="none"/>
                  <w10:anchorlock/>
                </v:shape>
                <o:OLEObject Type="Embed" ProgID="Equation.KSEE3" ShapeID="_x0000_i1047" DrawAspect="Content" ObjectID="_1468075726" r:id="rId13">
                  <o:LockedField>false</o:LockedField>
                </o:OLEObject>
              </w:object>
            </w:r>
            <w:r>
              <w:rPr>
                <w:rFonts w:cs="Times New Roman"/>
                <w:color w:val="000000" w:themeColor="text1"/>
                <w14:textFill>
                  <w14:solidFill>
                    <w14:schemeClr w14:val="tx1"/>
                  </w14:solidFill>
                </w14:textFill>
              </w:rPr>
              <w:t>—化石燃料燃烧产生的二氧化碳排放量，单位为吨二氧化碳（tCO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w:t>
            </w:r>
          </w:p>
          <w:p w14:paraId="141D0B98">
            <w:pPr>
              <w:ind w:firstLine="480"/>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48" o:spt="75" type="#_x0000_t75" style="height:17.25pt;width:24pt;" o:ole="t" filled="f" o:preferrelative="t" stroked="f" coordsize="21600,21600">
                  <v:path/>
                  <v:fill on="f" focussize="0,0"/>
                  <v:stroke on="f" joinstyle="miter"/>
                  <v:imagedata r:id="rId16" o:title=""/>
                  <o:lock v:ext="edit" aspectratio="t"/>
                  <w10:wrap type="none"/>
                  <w10:anchorlock/>
                </v:shape>
                <o:OLEObject Type="Embed" ProgID="Equation.KSEE3" ShapeID="_x0000_i1048" DrawAspect="Content" ObjectID="_1468075727" r:id="rId15">
                  <o:LockedField>false</o:LockedField>
                </o:OLEObject>
              </w:object>
            </w:r>
            <w:r>
              <w:rPr>
                <w:rFonts w:cs="Times New Roman"/>
                <w:color w:val="000000" w:themeColor="text1"/>
                <w14:textFill>
                  <w14:solidFill>
                    <w14:schemeClr w14:val="tx1"/>
                  </w14:solidFill>
                </w14:textFill>
              </w:rPr>
              <w:t>—第i种化石燃料的活动数据，单位为吉焦(GJ)，按下式进行计算；</w:t>
            </w:r>
          </w:p>
          <w:p w14:paraId="08672548">
            <w:pPr>
              <w:ind w:firstLine="0" w:firstLineChars="0"/>
              <w:jc w:val="center"/>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49" o:spt="75" type="#_x0000_t75" style="height:17.25pt;width:90.75pt;" o:ole="t" filled="f" o:preferrelative="t" stroked="f" coordsize="21600,21600">
                  <v:path/>
                  <v:fill on="f" focussize="0,0"/>
                  <v:stroke on="f" joinstyle="miter"/>
                  <v:imagedata r:id="rId18" o:title=""/>
                  <o:lock v:ext="edit" aspectratio="t"/>
                  <w10:wrap type="none"/>
                  <w10:anchorlock/>
                </v:shape>
                <o:OLEObject Type="Embed" ProgID="Equation.KSEE3" ShapeID="_x0000_i1049" DrawAspect="Content" ObjectID="_1468075728" r:id="rId17">
                  <o:LockedField>false</o:LockedField>
                </o:OLEObject>
              </w:object>
            </w:r>
          </w:p>
          <w:p w14:paraId="37F22B3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NCVi—第i种化石燃料的平均低位发热量，对固体或液体燃料，单位为吉焦每吨（GJ/t）；对气体燃料，单位为吉焦每万标准立方米（GJ/104Nm</w:t>
            </w:r>
            <w:r>
              <w:rPr>
                <w:rFonts w:hint="eastAsia"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6CE861C1">
            <w:pPr>
              <w:ind w:firstLine="480"/>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50" o:spt="75" type="#_x0000_t75" style="height:17.25pt;width:21pt;" o:ole="t" filled="f" o:preferrelative="t" stroked="f" coordsize="21600,21600">
                  <v:path/>
                  <v:fill on="f" focussize="0,0"/>
                  <v:stroke on="f" joinstyle="miter"/>
                  <v:imagedata r:id="rId20" o:title=""/>
                  <o:lock v:ext="edit" aspectratio="t"/>
                  <w10:wrap type="none"/>
                  <w10:anchorlock/>
                </v:shape>
                <o:OLEObject Type="Embed" ProgID="Equation.KSEE3" ShapeID="_x0000_i1050" DrawAspect="Content" ObjectID="_1468075729" r:id="rId19">
                  <o:LockedField>false</o:LockedField>
                </o:OLEObject>
              </w:object>
            </w:r>
            <w:r>
              <w:rPr>
                <w:rFonts w:cs="Times New Roman"/>
                <w:color w:val="000000" w:themeColor="text1"/>
                <w14:textFill>
                  <w14:solidFill>
                    <w14:schemeClr w14:val="tx1"/>
                  </w14:solidFill>
                </w14:textFill>
              </w:rPr>
              <w:t>—第i种化石燃料的消耗量，对固体或液体燃料，单位为吨（t）；对气体燃料，单位为万标准立方米（10</w:t>
            </w:r>
            <w:r>
              <w:rPr>
                <w:rFonts w:cs="Times New Roman"/>
                <w:color w:val="000000" w:themeColor="text1"/>
                <w:vertAlign w:val="superscript"/>
                <w14:textFill>
                  <w14:solidFill>
                    <w14:schemeClr w14:val="tx1"/>
                  </w14:solidFill>
                </w14:textFill>
              </w:rPr>
              <w:t>4</w:t>
            </w:r>
            <w:r>
              <w:rPr>
                <w:rFonts w:cs="Times New Roman"/>
                <w:color w:val="000000" w:themeColor="text1"/>
                <w14:textFill>
                  <w14:solidFill>
                    <w14:schemeClr w14:val="tx1"/>
                  </w14:solidFill>
                </w14:textFill>
              </w:rPr>
              <w:t>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500DA3CB">
            <w:pPr>
              <w:ind w:firstLine="480"/>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51" o:spt="75" type="#_x0000_t75" style="height:17.25pt;width:18.75pt;" o:ole="t" filled="f" o:preferrelative="t" stroked="f" coordsize="21600,21600">
                  <v:path/>
                  <v:fill on="f" focussize="0,0"/>
                  <v:stroke on="f" joinstyle="miter"/>
                  <v:imagedata r:id="rId22" o:title=""/>
                  <o:lock v:ext="edit" aspectratio="t"/>
                  <w10:wrap type="none"/>
                  <w10:anchorlock/>
                </v:shape>
                <o:OLEObject Type="Embed" ProgID="Equation.KSEE3" ShapeID="_x0000_i1051" DrawAspect="Content" ObjectID="_1468075730" r:id="rId21">
                  <o:LockedField>false</o:LockedField>
                </o:OLEObject>
              </w:object>
            </w:r>
            <w:r>
              <w:rPr>
                <w:rFonts w:cs="Times New Roman"/>
                <w:color w:val="000000" w:themeColor="text1"/>
                <w14:textFill>
                  <w14:solidFill>
                    <w14:schemeClr w14:val="tx1"/>
                  </w14:solidFill>
                </w14:textFill>
              </w:rPr>
              <w:t>—第i种化石燃料的二氧化碳排放因子，单位为吨二氧化碳每吉焦（tCO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/GJ），按下式进行计算；</w:t>
            </w:r>
          </w:p>
          <w:p w14:paraId="617376B7">
            <w:pPr>
              <w:ind w:firstLine="0" w:firstLineChars="0"/>
              <w:jc w:val="center"/>
              <w:rPr>
                <w:rFonts w:cs="Times New Roman"/>
                <w:color w:val="000000" w:themeColor="text1"/>
                <w14:textFill>
                  <w14:solidFill>
                    <w14:schemeClr w14:val="tx1"/>
                  </w14:solidFill>
                </w14:textFill>
              </w:rPr>
            </w:pPr>
            <w:r>
              <w:rPr>
                <w:rFonts w:hint="eastAsia"/>
                <w:color w:val="000000" w:themeColor="text1"/>
                <w:position w:val="-24"/>
                <w14:textFill>
                  <w14:solidFill>
                    <w14:schemeClr w14:val="tx1"/>
                  </w14:solidFill>
                </w14:textFill>
              </w:rPr>
              <w:object>
                <v:shape id="_x0000_i1052" o:spt="75" type="#_x0000_t75" style="height:30.75pt;width:101.25pt;" o:ole="t" filled="f" o:preferrelative="t" stroked="f" coordsize="21600,21600">
                  <v:path/>
                  <v:fill on="f" focussize="0,0"/>
                  <v:stroke on="f" joinstyle="miter"/>
                  <v:imagedata r:id="rId24" o:title=""/>
                  <o:lock v:ext="edit" aspectratio="t"/>
                  <w10:wrap type="none"/>
                  <w10:anchorlock/>
                </v:shape>
                <o:OLEObject Type="Embed" ProgID="Equation.KSEE3" ShapeID="_x0000_i1052" DrawAspect="Content" ObjectID="_1468075731" r:id="rId23">
                  <o:LockedField>false</o:LockedField>
                </o:OLEObject>
              </w:object>
            </w:r>
          </w:p>
          <w:p w14:paraId="621AD7A9">
            <w:pPr>
              <w:ind w:firstLine="480"/>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53" o:spt="75" type="#_x0000_t75" style="height:17.25pt;width:21.75pt;" o:ole="t" filled="f" o:preferrelative="t" stroked="f" coordsize="21600,21600">
                  <v:path/>
                  <v:fill on="f" focussize="0,0"/>
                  <v:stroke on="f" joinstyle="miter"/>
                  <v:imagedata r:id="rId26" o:title=""/>
                  <o:lock v:ext="edit" aspectratio="t"/>
                  <w10:wrap type="none"/>
                  <w10:anchorlock/>
                </v:shape>
                <o:OLEObject Type="Embed" ProgID="Equation.KSEE3" ShapeID="_x0000_i1053" DrawAspect="Content" ObjectID="_1468075732" r:id="rId25">
                  <o:LockedField>false</o:LockedField>
                </o:OLEObject>
              </w:object>
            </w:r>
            <w:r>
              <w:rPr>
                <w:rFonts w:cs="Times New Roman"/>
                <w:color w:val="000000" w:themeColor="text1"/>
                <w14:textFill>
                  <w14:solidFill>
                    <w14:schemeClr w14:val="tx1"/>
                  </w14:solidFill>
                </w14:textFill>
              </w:rPr>
              <w:t>—第i种化石燃料的单位热值含碳量，单位为吨碳每吉焦（tC/GJ）；</w:t>
            </w:r>
          </w:p>
          <w:p w14:paraId="5B2F5C94">
            <w:pPr>
              <w:ind w:firstLine="480"/>
              <w:rPr>
                <w:rFonts w:cs="Times New Roman"/>
                <w:color w:val="000000" w:themeColor="text1"/>
                <w14:textFill>
                  <w14:solidFill>
                    <w14:schemeClr w14:val="tx1"/>
                  </w14:solidFill>
                </w14:textFill>
              </w:rPr>
            </w:pPr>
            <w:r>
              <w:rPr>
                <w:rFonts w:hint="eastAsia"/>
                <w:color w:val="000000" w:themeColor="text1"/>
                <w:position w:val="-10"/>
                <w14:textFill>
                  <w14:solidFill>
                    <w14:schemeClr w14:val="tx1"/>
                  </w14:solidFill>
                </w14:textFill>
              </w:rPr>
              <w:object>
                <v:shape id="_x0000_i1054" o:spt="75" type="#_x0000_t75" style="height:17.25pt;width:20.25pt;" o:ole="t" filled="f" o:preferrelative="t" stroked="f" coordsize="21600,21600">
                  <v:path/>
                  <v:fill on="f" focussize="0,0"/>
                  <v:stroke on="f" joinstyle="miter"/>
                  <v:imagedata r:id="rId28" o:title=""/>
                  <o:lock v:ext="edit" aspectratio="t"/>
                  <w10:wrap type="none"/>
                  <w10:anchorlock/>
                </v:shape>
                <o:OLEObject Type="Embed" ProgID="Equation.KSEE3" ShapeID="_x0000_i1054" DrawAspect="Content" ObjectID="_1468075733" r:id="rId27">
                  <o:LockedField>false</o:LockedField>
                </o:OLEObject>
              </w:object>
            </w:r>
            <w:r>
              <w:rPr>
                <w:rFonts w:cs="Times New Roman"/>
                <w:color w:val="000000" w:themeColor="text1"/>
                <w14:textFill>
                  <w14:solidFill>
                    <w14:schemeClr w14:val="tx1"/>
                  </w14:solidFill>
                </w14:textFill>
              </w:rPr>
              <w:t>—第i种化石燃料的碳氧化率，以%表示；</w:t>
            </w:r>
          </w:p>
          <w:p w14:paraId="227064B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44/12—二氧化碳与碳的相对分子量之比。</w:t>
            </w:r>
          </w:p>
          <w:p w14:paraId="16C8CB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项目甲烷、丙烷用量分别为</w:t>
            </w:r>
            <w:r>
              <w:rPr>
                <w:rFonts w:hint="eastAsia"/>
                <w:color w:val="000000" w:themeColor="text1"/>
                <w:lang w:val="en-US" w:eastAsia="zh-CN"/>
                <w14:textFill>
                  <w14:solidFill>
                    <w14:schemeClr w14:val="tx1"/>
                  </w14:solidFill>
                </w14:textFill>
              </w:rPr>
              <w:t>14.66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val="en-US" w:eastAsia="zh-CN"/>
                <w14:textFill>
                  <w14:solidFill>
                    <w14:schemeClr w14:val="tx1"/>
                  </w14:solidFill>
                </w14:textFill>
              </w:rPr>
              <w:t>0.815</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445.29</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/a）</w:t>
            </w:r>
            <w:r>
              <w:rPr>
                <w:rFonts w:hint="eastAsia"/>
                <w:color w:val="000000" w:themeColor="text1"/>
                <w14:textFill>
                  <w14:solidFill>
                    <w14:schemeClr w14:val="tx1"/>
                  </w14:solidFill>
                </w14:textFill>
              </w:rPr>
              <w:t>，根据《天然气发热量、密度、相对密度和沃泊指数的计算方法》（GB/T 11062-1998）“表5”可知，</w:t>
            </w:r>
            <w:r>
              <w:rPr>
                <w:rFonts w:hint="default" w:ascii="Times New Roman" w:hAnsi="Times New Roman" w:cs="Times New Roman"/>
                <w:color w:val="000000" w:themeColor="text1"/>
                <w14:textFill>
                  <w14:solidFill>
                    <w14:schemeClr w14:val="tx1"/>
                  </w14:solidFill>
                </w14:textFill>
              </w:rPr>
              <w:t>20℃</w:t>
            </w:r>
            <w:r>
              <w:rPr>
                <w:rFonts w:hint="eastAsia"/>
                <w:color w:val="000000" w:themeColor="text1"/>
                <w14:textFill>
                  <w14:solidFill>
                    <w14:schemeClr w14:val="tx1"/>
                  </w14:solidFill>
                </w14:textFill>
              </w:rPr>
              <w:t>甲烷、丙烷的低位发热量分别为0.033367GJ/m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、0.08494GJ/m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甲烷、丙烷的单位热值含碳量分别为0.01496tC/GJ、0.0176tC/GJ，甲烷、丙烷的燃料碳化率分别为98%、99%，通过计算可知，项目甲烷、丙烷燃烧排放二氧化碳分别为0.026t、10.79t，项目化石燃料燃烧合计排放二氧化碳10.818t。</w:t>
            </w:r>
          </w:p>
          <w:p w14:paraId="613235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②项目外购电力产生的二氧化碳排放量E外购电按下式计算：</w:t>
            </w:r>
          </w:p>
          <w:p w14:paraId="42D2032E">
            <w:pPr>
              <w:ind w:firstLine="0" w:firstLineChars="0"/>
              <w:jc w:val="center"/>
              <w:rPr>
                <w:color w:val="000000" w:themeColor="text1"/>
                <w14:textFill>
                  <w14:solidFill>
                    <w14:schemeClr w14:val="tx1"/>
                  </w14:solidFill>
                </w14:textFill>
              </w:rPr>
            </w:pPr>
            <w:r>
              <w:rPr>
                <w:rFonts w:hint="eastAsia" w:eastAsia="楷体"/>
                <w:color w:val="000000" w:themeColor="text1"/>
                <w:position w:val="-14"/>
                <w14:textFill>
                  <w14:solidFill>
                    <w14:schemeClr w14:val="tx1"/>
                  </w14:solidFill>
                </w14:textFill>
              </w:rPr>
              <w:object>
                <v:shape id="_x0000_i1055" o:spt="75" type="#_x0000_t75" style="height:18.75pt;width:114pt;" o:ole="t" filled="f" o:preferrelative="t" stroked="f" coordsize="21600,21600">
                  <v:path/>
                  <v:fill on="f" focussize="0,0"/>
                  <v:stroke on="f" joinstyle="miter"/>
                  <v:imagedata r:id="rId30" o:title=""/>
                  <o:lock v:ext="edit" aspectratio="t"/>
                  <w10:wrap type="none"/>
                  <w10:anchorlock/>
                </v:shape>
                <o:OLEObject Type="Embed" ProgID="Equation.KSEE3" ShapeID="_x0000_i1055" DrawAspect="Content" ObjectID="_1468075734" r:id="rId29">
                  <o:LockedField>false</o:LockedField>
                </o:OLEObject>
              </w:object>
            </w:r>
          </w:p>
          <w:p w14:paraId="63811C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14:paraId="0873C1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AD</w:t>
            </w:r>
            <w:r>
              <w:rPr>
                <w:rFonts w:hint="eastAsia"/>
                <w:color w:val="000000" w:themeColor="text1"/>
                <w:vertAlign w:val="subscript"/>
                <w14:textFill>
                  <w14:solidFill>
                    <w14:schemeClr w14:val="tx1"/>
                  </w14:solidFill>
                </w14:textFill>
              </w:rPr>
              <w:t>外购电</w:t>
            </w:r>
            <w:r>
              <w:rPr>
                <w:rFonts w:hint="eastAsia"/>
                <w:color w:val="000000" w:themeColor="text1"/>
                <w14:textFill>
                  <w14:solidFill>
                    <w14:schemeClr w14:val="tx1"/>
                  </w14:solidFill>
                </w14:textFill>
              </w:rPr>
              <w:t>—项目消耗外购电力电量，单位为兆瓦时（MWh）；</w:t>
            </w:r>
          </w:p>
          <w:p w14:paraId="5D17AE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EF</w:t>
            </w:r>
            <w:r>
              <w:rPr>
                <w:rFonts w:hint="eastAsia"/>
                <w:color w:val="000000" w:themeColor="text1"/>
                <w:vertAlign w:val="subscript"/>
                <w14:textFill>
                  <w14:solidFill>
                    <w14:schemeClr w14:val="tx1"/>
                  </w14:solidFill>
                </w14:textFill>
              </w:rPr>
              <w:t>电</w:t>
            </w:r>
            <w:r>
              <w:rPr>
                <w:rFonts w:hint="eastAsia"/>
                <w:color w:val="000000" w:themeColor="text1"/>
                <w14:textFill>
                  <w14:solidFill>
                    <w14:schemeClr w14:val="tx1"/>
                  </w14:solidFill>
                </w14:textFill>
              </w:rPr>
              <w:t>—电网年平均供电排放因子，单位为吨二氧化碳每兆瓦时（tCO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/MWh）。</w:t>
            </w:r>
          </w:p>
          <w:p w14:paraId="56300D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根据建设单位提供数据，项目年用电量为</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万KWh（</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0MWh/a），根据《二氧化碳排放核算和报告要求 其他行业》（DB11/T 1787-2020）“表A.2”可知，电网供电排放因子值为0.604tCO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/MWh。通过计算可知，项目外购电力产生的二氧化碳排放量为</w:t>
            </w:r>
            <w:r>
              <w:rPr>
                <w:rFonts w:hint="eastAsia"/>
                <w:color w:val="000000" w:themeColor="text1"/>
                <w:lang w:val="en-US" w:eastAsia="zh-CN"/>
                <w14:textFill>
                  <w14:solidFill>
                    <w14:schemeClr w14:val="tx1"/>
                  </w14:solidFill>
                </w14:textFill>
              </w:rPr>
              <w:t>18.12</w:t>
            </w: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/a。</w:t>
            </w:r>
          </w:p>
          <w:p w14:paraId="06573379">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（3）碳排放分析</w:t>
            </w:r>
          </w:p>
          <w:p w14:paraId="7B7D2A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综上项目二氧化碳排放量为</w:t>
            </w:r>
            <w:r>
              <w:rPr>
                <w:rFonts w:hint="eastAsia"/>
                <w:color w:val="000000" w:themeColor="text1"/>
                <w:lang w:val="en-US" w:eastAsia="zh-CN"/>
                <w14:textFill>
                  <w14:solidFill>
                    <w14:schemeClr w14:val="tx1"/>
                  </w14:solidFill>
                </w14:textFill>
              </w:rPr>
              <w:t>28.938</w:t>
            </w:r>
            <w:r>
              <w:rPr>
                <w:rFonts w:hint="eastAsia"/>
                <w:color w:val="000000" w:themeColor="text1"/>
                <w14:textFill>
                  <w14:solidFill>
                    <w14:schemeClr w14:val="tx1"/>
                  </w14:solidFill>
                </w14:textFill>
              </w:rPr>
              <w:t>t/a，项目</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面积2911.80m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，则项目碳排放强度为</w:t>
            </w:r>
            <w:r>
              <w:rPr>
                <w:rFonts w:hint="eastAsia"/>
                <w:color w:val="000000" w:themeColor="text1"/>
                <w:lang w:val="en-US" w:eastAsia="zh-CN"/>
                <w14:textFill>
                  <w14:solidFill>
                    <w14:schemeClr w14:val="tx1"/>
                  </w14:solidFill>
                </w14:textFill>
              </w:rPr>
              <w:t>29.41</w:t>
            </w:r>
            <w:r>
              <w:rPr>
                <w:rFonts w:hint="eastAsia"/>
                <w:color w:val="000000" w:themeColor="text1"/>
                <w14:textFill>
                  <w14:solidFill>
                    <w14:schemeClr w14:val="tx1"/>
                  </w14:solidFill>
                </w14:textFill>
              </w:rPr>
              <w:t>kgCO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北京市</w:t>
            </w:r>
            <w:r>
              <w:rPr>
                <w:color w:val="000000" w:themeColor="text1"/>
                <w14:textFill>
                  <w14:solidFill>
                    <w14:schemeClr w14:val="tx1"/>
                  </w14:solidFill>
                </w14:textFill>
              </w:rPr>
              <w:t>《关于发布</w:t>
            </w:r>
            <w:r>
              <w:rPr>
                <w:rFonts w:hint="eastAsia"/>
                <w:color w:val="000000" w:themeColor="text1"/>
                <w:lang w:val="en-US" w:eastAsia="zh-CN"/>
                <w14:textFill>
                  <w14:solidFill>
                    <w14:schemeClr w14:val="tx1"/>
                  </w14:solidFill>
                </w14:textFill>
              </w:rPr>
              <w:t>本市第三批</w:t>
            </w:r>
            <w:r>
              <w:rPr>
                <w:color w:val="000000" w:themeColor="text1"/>
                <w14:textFill>
                  <w14:solidFill>
                    <w14:schemeClr w14:val="tx1"/>
                  </w14:solidFill>
                </w14:textFill>
              </w:rPr>
              <w:t>行业碳排放强度先进值的通知》（</w:t>
            </w:r>
            <w:r>
              <w:rPr>
                <w:rFonts w:hint="eastAsia"/>
                <w:color w:val="000000" w:themeColor="text1"/>
                <w:lang w:val="en-US" w:eastAsia="zh-CN"/>
                <w14:textFill>
                  <w14:solidFill>
                    <w14:schemeClr w14:val="tx1"/>
                  </w14:solidFill>
                </w14:textFill>
              </w:rPr>
              <w:t>2016年8月26日</w:t>
            </w:r>
            <w:r>
              <w:rPr>
                <w:color w:val="000000" w:themeColor="text1"/>
                <w14:textFill>
                  <w14:solidFill>
                    <w14:schemeClr w14:val="tx1"/>
                  </w14:solidFill>
                </w14:textFill>
              </w:rPr>
              <w:t>）可知，</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专业技术服务业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碳排放强度先进值为</w:t>
            </w:r>
            <w:r>
              <w:rPr>
                <w:rFonts w:hint="eastAsia"/>
                <w:color w:val="000000" w:themeColor="text1"/>
                <w:lang w:val="en-US" w:eastAsia="zh-CN"/>
                <w14:textFill>
                  <w14:solidFill>
                    <w14:schemeClr w14:val="tx1"/>
                  </w14:solidFill>
                </w14:textFill>
              </w:rPr>
              <w:t>32.77</w:t>
            </w:r>
            <w:r>
              <w:rPr>
                <w:color w:val="000000" w:themeColor="text1"/>
                <w14:textFill>
                  <w14:solidFill>
                    <w14:schemeClr w14:val="tx1"/>
                  </w14:solidFill>
                </w14:textFill>
              </w:rPr>
              <w:t>kgCO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碳排放强度符合碳排放要求。</w:t>
            </w:r>
          </w:p>
          <w:p w14:paraId="38C0EB4B">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（4）减污降碳措施分析</w:t>
            </w:r>
          </w:p>
          <w:p w14:paraId="4DED36DF">
            <w:pPr>
              <w:ind w:firstLine="480"/>
              <w:rPr>
                <w:color w:val="000000" w:themeColor="text1"/>
                <w14:textFill>
                  <w14:solidFill>
                    <w14:schemeClr w14:val="tx1"/>
                  </w14:solidFill>
                </w14:textFill>
              </w:rPr>
            </w:pPr>
            <w:r>
              <w:rPr>
                <w:rFonts w:hint="eastAsia"/>
                <w:color w:val="auto"/>
                <w:highlight w:val="none"/>
              </w:rPr>
              <w:t>本项目涉及二氧化碳排放的为外购电力</w:t>
            </w:r>
            <w:r>
              <w:rPr>
                <w:rFonts w:hint="eastAsia"/>
                <w:color w:val="auto"/>
                <w:highlight w:val="none"/>
                <w:lang w:val="en-US" w:eastAsia="zh-CN"/>
              </w:rPr>
              <w:t>和化石燃料燃烧</w:t>
            </w:r>
            <w:r>
              <w:rPr>
                <w:rFonts w:hint="eastAsia"/>
                <w:color w:val="auto"/>
              </w:rPr>
              <w:t>，建</w:t>
            </w:r>
            <w:r>
              <w:rPr>
                <w:rFonts w:hint="eastAsia"/>
                <w:color w:val="000000" w:themeColor="text1"/>
                <w14:textFill>
                  <w14:solidFill>
                    <w14:schemeClr w14:val="tx1"/>
                  </w14:solidFill>
                </w14:textFill>
              </w:rPr>
              <w:t>设单位在运营期间提高用电管理水平</w:t>
            </w:r>
            <w:r>
              <w:rPr>
                <w:rFonts w:hint="eastAsia"/>
                <w:color w:val="000000" w:themeColor="text1"/>
                <w:lang w:val="en-US" w:eastAsia="zh-CN"/>
                <w14:textFill>
                  <w14:solidFill>
                    <w14:schemeClr w14:val="tx1"/>
                  </w14:solidFill>
                </w14:textFill>
              </w:rPr>
              <w:t>和化石燃料使用规范水平</w:t>
            </w:r>
            <w:r>
              <w:rPr>
                <w:rFonts w:hint="eastAsia"/>
                <w:color w:val="000000" w:themeColor="text1"/>
                <w14:textFill>
                  <w14:solidFill>
                    <w14:schemeClr w14:val="tx1"/>
                  </w14:solidFill>
                </w14:textFill>
              </w:rPr>
              <w:t>，采取如下降碳措施：</w:t>
            </w:r>
          </w:p>
          <w:p w14:paraId="168288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源头控制：本项目优先选用节能低耗设备，从而在能源使用的源头上减少碳排放。</w:t>
            </w:r>
          </w:p>
          <w:p w14:paraId="01E8F5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过程控制：提高能源的利用效率，减少能源在使用过程中的浪费，采取定期维护设备、减少或降低大功率老旧耗电设备使用、实验完毕及时关停设备等节电措施。</w:t>
            </w:r>
          </w:p>
          <w:p w14:paraId="2BFE8B2D">
            <w:pPr>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（5）结论</w:t>
            </w:r>
          </w:p>
          <w:p w14:paraId="5772AB4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本项目涉及二氧化碳排放的为外购电力和化石燃料，核算后本项目二氧化碳排放量为</w:t>
            </w:r>
            <w:r>
              <w:rPr>
                <w:rFonts w:hint="eastAsia"/>
                <w:color w:val="000000" w:themeColor="text1"/>
                <w:lang w:val="en-US" w:eastAsia="zh-CN"/>
                <w14:textFill>
                  <w14:solidFill>
                    <w14:schemeClr w14:val="tx1"/>
                  </w14:solidFill>
                </w14:textFill>
              </w:rPr>
              <w:t>28.938</w:t>
            </w:r>
            <w:r>
              <w:rPr>
                <w:rFonts w:hint="eastAsia"/>
                <w:color w:val="000000" w:themeColor="text1"/>
                <w14:textFill>
                  <w14:solidFill>
                    <w14:schemeClr w14:val="tx1"/>
                  </w14:solidFill>
                </w14:textFill>
              </w:rPr>
              <w:t>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/a，碳排放强度</w:t>
            </w:r>
            <w:r>
              <w:rPr>
                <w:rFonts w:hint="eastAsia"/>
                <w:color w:val="000000" w:themeColor="text1"/>
                <w:lang w:val="en-US" w:eastAsia="zh-CN"/>
                <w14:textFill>
                  <w14:solidFill>
                    <w14:schemeClr w14:val="tx1"/>
                  </w14:solidFill>
                </w14:textFill>
              </w:rPr>
              <w:t>29.41</w:t>
            </w:r>
            <w:r>
              <w:rPr>
                <w:color w:val="000000" w:themeColor="text1"/>
                <w14:textFill>
                  <w14:solidFill>
                    <w14:schemeClr w14:val="tx1"/>
                  </w14:solidFill>
                </w14:textFill>
              </w:rPr>
              <w:t>kgCO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。运营期间建设单位采取节电措施，提高用电管理水平，进一步降低二氧化碳排放量。</w:t>
            </w:r>
          </w:p>
          <w:p w14:paraId="637331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本项目碳排放强度能够达到行业碳排放强度先进值，符合北京市碳排放强度要求。</w:t>
            </w:r>
          </w:p>
          <w:p w14:paraId="202E40EE">
            <w:pPr>
              <w:ind w:firstLine="482"/>
              <w:rPr>
                <w:rFonts w:cs="Times New Roman"/>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8</w:t>
            </w:r>
            <w:r>
              <w:rPr>
                <w:rFonts w:cs="Times New Roman"/>
                <w:b/>
                <w:bCs/>
                <w:color w:val="000000" w:themeColor="text1"/>
                <w14:textFill>
                  <w14:solidFill>
                    <w14:schemeClr w14:val="tx1"/>
                  </w14:solidFill>
                </w14:textFill>
              </w:rPr>
              <w:t>、其他环境管理要求</w:t>
            </w:r>
          </w:p>
          <w:p w14:paraId="051B43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（1）与排污许可制衔接要求</w:t>
            </w:r>
          </w:p>
          <w:p w14:paraId="30266C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根据《国民经济行业分类》（GB/T 4754-2017），本项目企业行业类别为M7452检测服务，根据《固定污染源排污许可分类管理名录（2019版）》，本项目不需进行排污许可申报。</w:t>
            </w:r>
          </w:p>
          <w:p w14:paraId="7729B4F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（2）排污口规范化管理</w:t>
            </w:r>
          </w:p>
          <w:p w14:paraId="150B024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本项目设置规范化排污口、加强排污口的管理：在各排污口处设立较明显的排污口（源）标志牌，并注明主要排放污染物的名称，并对有关排污口的情况及污染治理设施的运行情况等进行建档管理。</w:t>
            </w:r>
          </w:p>
          <w:p w14:paraId="2FC9ECA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项目污染源排放口图形设置符合《环境图形标志—排污口（源）》（GB15563.1-1995）、《环境保护图形标志—固体废物贮存（处置）场》（GB15562.2－1995）及其修改单、《危险废物识别标志设置技术规范》（HJ 1276-2022）中的相关要求：要求各排污口（源）提示标志形状采用正方形边框，背景颜色采用绿色，图形颜色采用白色；警告标志形状采用三角形边框，背景颜色采用黄色，图形颜色采用黑色。标志牌应设在与之功能相应的醒目处，并保持清晰、完整。</w:t>
            </w:r>
          </w:p>
          <w:p w14:paraId="138EB69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各排污口（源）标志牌设置示意图详见</w:t>
            </w:r>
            <w:r>
              <w:rPr>
                <w:rFonts w:hint="eastAsia" w:cs="Times New Roman"/>
                <w:color w:val="000000" w:themeColor="text1"/>
                <w14:textFill>
                  <w14:solidFill>
                    <w14:schemeClr w14:val="tx1"/>
                  </w14:solidFill>
                </w14:textFill>
              </w:rPr>
              <w:t>下</w:t>
            </w:r>
            <w:r>
              <w:rPr>
                <w:rFonts w:cs="Times New Roman"/>
                <w:color w:val="000000" w:themeColor="text1"/>
                <w14:textFill>
                  <w14:solidFill>
                    <w14:schemeClr w14:val="tx1"/>
                  </w14:solidFill>
                </w14:textFill>
              </w:rPr>
              <w:t>表。</w:t>
            </w:r>
          </w:p>
          <w:p w14:paraId="53C1868E">
            <w:pPr>
              <w:pStyle w:val="24"/>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排污口（源）标志牌设置示意图一览表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6"/>
              <w:gridCol w:w="1786"/>
              <w:gridCol w:w="1900"/>
              <w:gridCol w:w="1607"/>
              <w:gridCol w:w="1874"/>
            </w:tblGrid>
            <w:tr w14:paraId="31B4ED2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tcBorders>
                    <w:tl2br w:val="nil"/>
                    <w:tr2bl w:val="nil"/>
                  </w:tcBorders>
                  <w:vAlign w:val="center"/>
                </w:tcPr>
                <w:p w14:paraId="0E4EA8A4">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771" w:type="dxa"/>
                  <w:tcBorders>
                    <w:tl2br w:val="nil"/>
                    <w:tr2bl w:val="nil"/>
                  </w:tcBorders>
                  <w:vAlign w:val="center"/>
                </w:tcPr>
                <w:p w14:paraId="478825DC">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废气排放口</w:t>
                  </w:r>
                </w:p>
              </w:tc>
              <w:tc>
                <w:tcPr>
                  <w:tcW w:w="1884" w:type="dxa"/>
                  <w:tcBorders>
                    <w:tl2br w:val="nil"/>
                    <w:tr2bl w:val="nil"/>
                  </w:tcBorders>
                  <w:vAlign w:val="center"/>
                </w:tcPr>
                <w:p w14:paraId="355207EC">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废水排放口</w:t>
                  </w:r>
                </w:p>
              </w:tc>
              <w:tc>
                <w:tcPr>
                  <w:tcW w:w="1594" w:type="dxa"/>
                  <w:tcBorders>
                    <w:tl2br w:val="nil"/>
                    <w:tr2bl w:val="nil"/>
                  </w:tcBorders>
                  <w:vAlign w:val="center"/>
                </w:tcPr>
                <w:p w14:paraId="1356D4B6">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噪声排放源</w:t>
                  </w:r>
                </w:p>
              </w:tc>
              <w:tc>
                <w:tcPr>
                  <w:tcW w:w="1859" w:type="dxa"/>
                  <w:tcBorders>
                    <w:tl2br w:val="nil"/>
                    <w:tr2bl w:val="nil"/>
                  </w:tcBorders>
                  <w:vAlign w:val="center"/>
                </w:tcPr>
                <w:p w14:paraId="6D616A1C">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危险废物</w:t>
                  </w:r>
                </w:p>
              </w:tc>
            </w:tr>
            <w:tr w14:paraId="505A661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72" w:hRule="atLeast"/>
                <w:jc w:val="center"/>
              </w:trPr>
              <w:tc>
                <w:tcPr>
                  <w:tcW w:w="849" w:type="dxa"/>
                  <w:tcBorders>
                    <w:tl2br w:val="nil"/>
                    <w:tr2bl w:val="nil"/>
                  </w:tcBorders>
                  <w:vAlign w:val="center"/>
                </w:tcPr>
                <w:p w14:paraId="27614EA6">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提示图形符号</w:t>
                  </w:r>
                </w:p>
              </w:tc>
              <w:tc>
                <w:tcPr>
                  <w:tcW w:w="1771" w:type="dxa"/>
                  <w:tcBorders>
                    <w:tl2br w:val="nil"/>
                    <w:tr2bl w:val="nil"/>
                  </w:tcBorders>
                  <w:vAlign w:val="center"/>
                </w:tcPr>
                <w:p w14:paraId="0D0070E5">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729615" cy="736600"/>
                        <wp:effectExtent l="0" t="0" r="1905" b="1016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noChangeArrowheads="1"/>
                                </pic:cNvPicPr>
                              </pic:nvPicPr>
                              <pic:blipFill>
                                <a:blip r:embed="rId31"/>
                                <a:srcRect/>
                                <a:stretch>
                                  <a:fillRect/>
                                </a:stretch>
                              </pic:blipFill>
                              <pic:spPr>
                                <a:xfrm>
                                  <a:off x="0" y="0"/>
                                  <a:ext cx="732129" cy="739102"/>
                                </a:xfrm>
                                <a:prstGeom prst="rect">
                                  <a:avLst/>
                                </a:prstGeom>
                                <a:noFill/>
                                <a:ln w="9525">
                                  <a:noFill/>
                                  <a:miter lim="800000"/>
                                  <a:headEnd/>
                                  <a:tailEnd/>
                                </a:ln>
                              </pic:spPr>
                            </pic:pic>
                          </a:graphicData>
                        </a:graphic>
                      </wp:inline>
                    </w:drawing>
                  </w:r>
                </w:p>
              </w:tc>
              <w:tc>
                <w:tcPr>
                  <w:tcW w:w="1884" w:type="dxa"/>
                  <w:tcBorders>
                    <w:tl2br w:val="nil"/>
                    <w:tr2bl w:val="nil"/>
                  </w:tcBorders>
                  <w:vAlign w:val="center"/>
                </w:tcPr>
                <w:p w14:paraId="6D06F043">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737870" cy="709295"/>
                        <wp:effectExtent l="0" t="0" r="8890" b="698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32"/>
                                <a:srcRect/>
                                <a:stretch>
                                  <a:fillRect/>
                                </a:stretch>
                              </pic:blipFill>
                              <pic:spPr>
                                <a:xfrm>
                                  <a:off x="0" y="0"/>
                                  <a:ext cx="740105" cy="711911"/>
                                </a:xfrm>
                                <a:prstGeom prst="rect">
                                  <a:avLst/>
                                </a:prstGeom>
                                <a:noFill/>
                                <a:ln w="9525">
                                  <a:noFill/>
                                  <a:miter lim="800000"/>
                                  <a:headEnd/>
                                  <a:tailEnd/>
                                </a:ln>
                              </pic:spPr>
                            </pic:pic>
                          </a:graphicData>
                        </a:graphic>
                      </wp:inline>
                    </w:drawing>
                  </w:r>
                </w:p>
              </w:tc>
              <w:tc>
                <w:tcPr>
                  <w:tcW w:w="1594" w:type="dxa"/>
                  <w:tcBorders>
                    <w:tl2br w:val="nil"/>
                    <w:tr2bl w:val="nil"/>
                  </w:tcBorders>
                  <w:vAlign w:val="center"/>
                </w:tcPr>
                <w:p w14:paraId="7F46111E">
                  <w:pPr>
                    <w:adjustRightInd w:val="0"/>
                    <w:snapToGrid w:val="0"/>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753745" cy="746125"/>
                        <wp:effectExtent l="0" t="0" r="8255" b="63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noChangeArrowheads="1"/>
                                </pic:cNvPicPr>
                              </pic:nvPicPr>
                              <pic:blipFill>
                                <a:blip r:embed="rId33"/>
                                <a:srcRect/>
                                <a:stretch>
                                  <a:fillRect/>
                                </a:stretch>
                              </pic:blipFill>
                              <pic:spPr>
                                <a:xfrm>
                                  <a:off x="0" y="0"/>
                                  <a:ext cx="753745" cy="748854"/>
                                </a:xfrm>
                                <a:prstGeom prst="rect">
                                  <a:avLst/>
                                </a:prstGeom>
                                <a:noFill/>
                                <a:ln w="9525">
                                  <a:noFill/>
                                  <a:miter lim="800000"/>
                                  <a:headEnd/>
                                  <a:tailEnd/>
                                </a:ln>
                              </pic:spPr>
                            </pic:pic>
                          </a:graphicData>
                        </a:graphic>
                      </wp:inline>
                    </w:drawing>
                  </w:r>
                </w:p>
              </w:tc>
              <w:tc>
                <w:tcPr>
                  <w:tcW w:w="1859" w:type="dxa"/>
                  <w:tcBorders>
                    <w:tl2br w:val="nil"/>
                    <w:tr2bl w:val="nil"/>
                  </w:tcBorders>
                  <w:vAlign w:val="center"/>
                </w:tcPr>
                <w:p w14:paraId="5851E36F">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14:paraId="2B7DE41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tcBorders>
                    <w:tl2br w:val="nil"/>
                    <w:tr2bl w:val="nil"/>
                  </w:tcBorders>
                  <w:vAlign w:val="center"/>
                </w:tcPr>
                <w:p w14:paraId="77D9C8A1">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警告图形符号</w:t>
                  </w:r>
                </w:p>
              </w:tc>
              <w:tc>
                <w:tcPr>
                  <w:tcW w:w="1771" w:type="dxa"/>
                  <w:tcBorders>
                    <w:tl2br w:val="nil"/>
                    <w:tr2bl w:val="nil"/>
                  </w:tcBorders>
                  <w:vAlign w:val="center"/>
                </w:tcPr>
                <w:p w14:paraId="1B907DAB">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808990" cy="747395"/>
                        <wp:effectExtent l="0" t="0" r="13970" b="14605"/>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noChangeArrowheads="1"/>
                                </pic:cNvPicPr>
                              </pic:nvPicPr>
                              <pic:blipFill>
                                <a:blip r:embed="rId34"/>
                                <a:srcRect/>
                                <a:stretch>
                                  <a:fillRect/>
                                </a:stretch>
                              </pic:blipFill>
                              <pic:spPr>
                                <a:xfrm>
                                  <a:off x="0" y="0"/>
                                  <a:ext cx="811881" cy="750023"/>
                                </a:xfrm>
                                <a:prstGeom prst="rect">
                                  <a:avLst/>
                                </a:prstGeom>
                                <a:noFill/>
                                <a:ln w="9525">
                                  <a:noFill/>
                                  <a:miter lim="800000"/>
                                  <a:headEnd/>
                                  <a:tailEnd/>
                                </a:ln>
                              </pic:spPr>
                            </pic:pic>
                          </a:graphicData>
                        </a:graphic>
                      </wp:inline>
                    </w:drawing>
                  </w:r>
                </w:p>
              </w:tc>
              <w:tc>
                <w:tcPr>
                  <w:tcW w:w="1884" w:type="dxa"/>
                  <w:tcBorders>
                    <w:tl2br w:val="nil"/>
                    <w:tr2bl w:val="nil"/>
                  </w:tcBorders>
                  <w:vAlign w:val="center"/>
                </w:tcPr>
                <w:p w14:paraId="1E835BE8">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833120" cy="745490"/>
                        <wp:effectExtent l="0" t="0" r="5080" b="127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noChangeArrowheads="1"/>
                                </pic:cNvPicPr>
                              </pic:nvPicPr>
                              <pic:blipFill>
                                <a:blip r:embed="rId35"/>
                                <a:srcRect/>
                                <a:stretch>
                                  <a:fillRect/>
                                </a:stretch>
                              </pic:blipFill>
                              <pic:spPr>
                                <a:xfrm>
                                  <a:off x="0" y="0"/>
                                  <a:ext cx="835805" cy="748244"/>
                                </a:xfrm>
                                <a:prstGeom prst="rect">
                                  <a:avLst/>
                                </a:prstGeom>
                                <a:noFill/>
                                <a:ln w="9525">
                                  <a:noFill/>
                                  <a:miter lim="800000"/>
                                  <a:headEnd/>
                                  <a:tailEnd/>
                                </a:ln>
                              </pic:spPr>
                            </pic:pic>
                          </a:graphicData>
                        </a:graphic>
                      </wp:inline>
                    </w:drawing>
                  </w:r>
                </w:p>
              </w:tc>
              <w:tc>
                <w:tcPr>
                  <w:tcW w:w="1594" w:type="dxa"/>
                  <w:tcBorders>
                    <w:tl2br w:val="nil"/>
                    <w:tr2bl w:val="nil"/>
                  </w:tcBorders>
                  <w:vAlign w:val="center"/>
                </w:tcPr>
                <w:p w14:paraId="6361702D">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drawing>
                      <wp:inline distT="0" distB="0" distL="0" distR="0">
                        <wp:extent cx="808990" cy="806450"/>
                        <wp:effectExtent l="0" t="0" r="13970" b="1270"/>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noChangeArrowheads="1"/>
                                </pic:cNvPicPr>
                              </pic:nvPicPr>
                              <pic:blipFill>
                                <a:blip r:embed="rId36"/>
                                <a:srcRect/>
                                <a:stretch>
                                  <a:fillRect/>
                                </a:stretch>
                              </pic:blipFill>
                              <pic:spPr>
                                <a:xfrm>
                                  <a:off x="0" y="0"/>
                                  <a:ext cx="811880" cy="806450"/>
                                </a:xfrm>
                                <a:prstGeom prst="rect">
                                  <a:avLst/>
                                </a:prstGeom>
                                <a:noFill/>
                                <a:ln w="9525">
                                  <a:noFill/>
                                  <a:miter lim="800000"/>
                                  <a:headEnd/>
                                  <a:tailEnd/>
                                </a:ln>
                              </pic:spPr>
                            </pic:pic>
                          </a:graphicData>
                        </a:graphic>
                      </wp:inline>
                    </w:drawing>
                  </w:r>
                </w:p>
              </w:tc>
              <w:tc>
                <w:tcPr>
                  <w:tcW w:w="1859" w:type="dxa"/>
                  <w:tcBorders>
                    <w:tl2br w:val="nil"/>
                    <w:tr2bl w:val="nil"/>
                  </w:tcBorders>
                  <w:vAlign w:val="center"/>
                </w:tcPr>
                <w:p w14:paraId="45AF8CD5">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32"/>
                      <w:szCs w:val="22"/>
                      <w14:textFill>
                        <w14:solidFill>
                          <w14:schemeClr w14:val="tx1"/>
                        </w14:solidFill>
                      </w14:textFill>
                    </w:rPr>
                    <w:drawing>
                      <wp:inline distT="0" distB="0" distL="114300" distR="114300">
                        <wp:extent cx="728345" cy="608330"/>
                        <wp:effectExtent l="0" t="0" r="3175" b="127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37"/>
                                <a:stretch>
                                  <a:fillRect/>
                                </a:stretch>
                              </pic:blipFill>
                              <pic:spPr>
                                <a:xfrm>
                                  <a:off x="0" y="0"/>
                                  <a:ext cx="728345" cy="608330"/>
                                </a:xfrm>
                                <a:prstGeom prst="rect">
                                  <a:avLst/>
                                </a:prstGeom>
                                <a:noFill/>
                                <a:ln>
                                  <a:noFill/>
                                </a:ln>
                              </pic:spPr>
                            </pic:pic>
                          </a:graphicData>
                        </a:graphic>
                      </wp:inline>
                    </w:drawing>
                  </w:r>
                </w:p>
              </w:tc>
            </w:tr>
            <w:tr w14:paraId="2CD2D93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tcBorders>
                    <w:tl2br w:val="nil"/>
                    <w:tr2bl w:val="nil"/>
                  </w:tcBorders>
                  <w:vAlign w:val="center"/>
                </w:tcPr>
                <w:p w14:paraId="260CA97C">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功能</w:t>
                  </w:r>
                </w:p>
              </w:tc>
              <w:tc>
                <w:tcPr>
                  <w:tcW w:w="1771" w:type="dxa"/>
                  <w:tcBorders>
                    <w:tl2br w:val="nil"/>
                    <w:tr2bl w:val="nil"/>
                  </w:tcBorders>
                  <w:vAlign w:val="center"/>
                </w:tcPr>
                <w:p w14:paraId="7815ECD5">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废气向大气环境排放</w:t>
                  </w:r>
                </w:p>
              </w:tc>
              <w:tc>
                <w:tcPr>
                  <w:tcW w:w="1884" w:type="dxa"/>
                  <w:tcBorders>
                    <w:tl2br w:val="nil"/>
                    <w:tr2bl w:val="nil"/>
                  </w:tcBorders>
                  <w:vAlign w:val="center"/>
                </w:tcPr>
                <w:p w14:paraId="596F2A7C">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表示污水向水体排放表示</w:t>
                  </w:r>
                </w:p>
              </w:tc>
              <w:tc>
                <w:tcPr>
                  <w:tcW w:w="1594" w:type="dxa"/>
                  <w:tcBorders>
                    <w:tl2br w:val="nil"/>
                    <w:tr2bl w:val="nil"/>
                  </w:tcBorders>
                  <w:vAlign w:val="center"/>
                </w:tcPr>
                <w:p w14:paraId="767164F5">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表示噪声向外环境排放</w:t>
                  </w:r>
                </w:p>
              </w:tc>
              <w:tc>
                <w:tcPr>
                  <w:tcW w:w="1859" w:type="dxa"/>
                  <w:tcBorders>
                    <w:tl2br w:val="nil"/>
                    <w:tr2bl w:val="nil"/>
                  </w:tcBorders>
                  <w:vAlign w:val="center"/>
                </w:tcPr>
                <w:p w14:paraId="3661FC57">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表示危险废物贮存、处置场所</w:t>
                  </w:r>
                </w:p>
              </w:tc>
            </w:tr>
          </w:tbl>
          <w:p w14:paraId="2F4E1AC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（3）固定污染源监测点位规范化 </w:t>
            </w:r>
          </w:p>
          <w:p w14:paraId="497F1B9E">
            <w:pPr>
              <w:ind w:firstLine="480"/>
              <w:rPr>
                <w:rFonts w:ascii="Times New Roman" w:hAnsi="Times New Roman" w:eastAsia="宋体"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项目设置</w:t>
            </w: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个废气排口和1个废水总排口，</w:t>
            </w:r>
            <w:r>
              <w:rPr>
                <w:rFonts w:ascii="Times New Roman" w:hAnsi="Times New Roman" w:eastAsia="宋体" w:cs="Times New Roman"/>
                <w:color w:val="000000" w:themeColor="text1"/>
                <w14:textFill>
                  <w14:solidFill>
                    <w14:schemeClr w14:val="tx1"/>
                  </w14:solidFill>
                </w14:textFill>
              </w:rPr>
              <w:t>需根据</w:t>
            </w:r>
            <w:r>
              <w:rPr>
                <w:rFonts w:hint="eastAsia" w:ascii="Times New Roman" w:hAnsi="Times New Roman" w:eastAsia="宋体" w:cs="Times New Roman"/>
                <w:color w:val="000000" w:themeColor="text1"/>
                <w:lang w:val="en-US" w:eastAsia="zh-CN"/>
                <w14:textFill>
                  <w14:solidFill>
                    <w14:schemeClr w14:val="tx1"/>
                  </w14:solidFill>
                </w14:textFill>
              </w:rPr>
              <w:t>《排污单位污染物排放口监测点位设置技术规范》（HJ1405-2024）的要求设置废气及污水排放口监测点、信息标志牌，做好排放口监测点位管理。</w:t>
            </w:r>
          </w:p>
          <w:p w14:paraId="028A4B7A">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1）废气监测点设置要求</w:t>
            </w:r>
          </w:p>
          <w:p w14:paraId="16988314">
            <w:pPr>
              <w:ind w:firstLine="480"/>
              <w:rPr>
                <w:rFonts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项目设</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个废气排放口，位于项目所在建筑楼顶，需根据</w:t>
            </w:r>
            <w:r>
              <w:rPr>
                <w:rFonts w:hint="eastAsia" w:ascii="Times New Roman" w:hAnsi="Times New Roman" w:eastAsia="宋体" w:cs="Times New Roman"/>
                <w:color w:val="000000" w:themeColor="text1"/>
                <w:lang w:val="en-US" w:eastAsia="zh-CN"/>
                <w14:textFill>
                  <w14:solidFill>
                    <w14:schemeClr w14:val="tx1"/>
                  </w14:solidFill>
                </w14:textFill>
              </w:rPr>
              <w:t>《排污单位污染物排放口监测点位设置技术规范》（HJ1405-2024）</w:t>
            </w:r>
            <w:r>
              <w:rPr>
                <w:rFonts w:ascii="Times New Roman" w:hAnsi="Times New Roman" w:eastAsia="宋体" w:cs="Times New Roman"/>
                <w:color w:val="000000" w:themeColor="text1"/>
                <w14:textFill>
                  <w14:solidFill>
                    <w14:schemeClr w14:val="tx1"/>
                  </w14:solidFill>
                </w14:textFill>
              </w:rPr>
              <w:t>要求</w:t>
            </w:r>
            <w:r>
              <w:rPr>
                <w:rFonts w:cs="Times New Roman"/>
                <w:color w:val="000000" w:themeColor="text1"/>
                <w14:textFill>
                  <w14:solidFill>
                    <w14:schemeClr w14:val="tx1"/>
                  </w14:solidFill>
                </w14:textFill>
              </w:rPr>
              <w:t>设置手工监测点位。</w:t>
            </w:r>
          </w:p>
          <w:p w14:paraId="2CBA9AB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2）废水监测点设置要求</w:t>
            </w:r>
          </w:p>
          <w:p w14:paraId="68B713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项目废水排放口位于项目所在建筑外西北侧，DW001排放口。污水排放口监测点位按照</w:t>
            </w:r>
            <w:r>
              <w:rPr>
                <w:rFonts w:hint="eastAsia" w:ascii="Times New Roman" w:hAnsi="Times New Roman" w:eastAsia="宋体" w:cs="Times New Roman"/>
                <w:color w:val="000000" w:themeColor="text1"/>
                <w:lang w:val="en-US" w:eastAsia="zh-CN"/>
                <w14:textFill>
                  <w14:solidFill>
                    <w14:schemeClr w14:val="tx1"/>
                  </w14:solidFill>
                </w14:textFill>
              </w:rPr>
              <w:t>《排污单位污染物排放口监测点位设置技术规范》（HJ1405-2024）</w:t>
            </w:r>
            <w:r>
              <w:rPr>
                <w:rFonts w:cs="Times New Roman"/>
                <w:color w:val="000000" w:themeColor="text1"/>
                <w14:textFill>
                  <w14:solidFill>
                    <w14:schemeClr w14:val="tx1"/>
                  </w14:solidFill>
                </w14:textFill>
              </w:rPr>
              <w:t>要求设置。</w:t>
            </w:r>
          </w:p>
          <w:p w14:paraId="316E1D0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3）监测点位标志牌设置要求</w:t>
            </w:r>
          </w:p>
          <w:p w14:paraId="6E7BCAA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①固定污染源监测点位应设置监测点位标志牌。</w:t>
            </w:r>
          </w:p>
          <w:p w14:paraId="23E94A0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②监测点位标志牌的技术规格及信息内容应符合</w:t>
            </w:r>
            <w:r>
              <w:rPr>
                <w:rFonts w:hint="eastAsia" w:ascii="Times New Roman" w:hAnsi="Times New Roman" w:eastAsia="宋体" w:cs="Times New Roman"/>
                <w:color w:val="000000" w:themeColor="text1"/>
                <w:lang w:val="en-US" w:eastAsia="zh-CN"/>
                <w14:textFill>
                  <w14:solidFill>
                    <w14:schemeClr w14:val="tx1"/>
                  </w14:solidFill>
                </w14:textFill>
              </w:rPr>
              <w:t>《排污单位污染物排放口监测点位设置技术规范》（HJ1405-2024）</w:t>
            </w:r>
            <w:r>
              <w:rPr>
                <w:rFonts w:cs="Times New Roman"/>
                <w:color w:val="000000" w:themeColor="text1"/>
                <w14:textFill>
                  <w14:solidFill>
                    <w14:schemeClr w14:val="tx1"/>
                  </w14:solidFill>
                </w14:textFill>
              </w:rPr>
              <w:t>规定。</w:t>
            </w:r>
          </w:p>
          <w:p w14:paraId="34472EB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③一般性污染物监测点位设置提示性标志牌。</w:t>
            </w:r>
          </w:p>
          <w:p w14:paraId="0EE6C24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④标志牌应设置在距污染物监测点位较近且醒目处，并能长久保留。</w:t>
            </w:r>
          </w:p>
          <w:p w14:paraId="0013596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⑤排污单位可根据监测点位情况，设置立式或平面固定式标志牌。</w:t>
            </w:r>
          </w:p>
          <w:p w14:paraId="7F62B30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⑥监测点位二维码信息应包括排污单位名称、地址、企业法人、联系电话、监测排口性质和数量、点位编码、监测点位的地理定位信息、排放的主要污染物种类、设施投运时间等有关资料。</w:t>
            </w:r>
          </w:p>
          <w:p w14:paraId="0990E1BD">
            <w:pPr>
              <w:pStyle w:val="24"/>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各排污口监测点位标志牌设置示意图一览表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1"/>
              <w:gridCol w:w="4012"/>
            </w:tblGrid>
            <w:tr w14:paraId="485B2F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1" w:type="dxa"/>
                  <w:tcBorders>
                    <w:tl2br w:val="nil"/>
                    <w:tr2bl w:val="nil"/>
                  </w:tcBorders>
                  <w:vAlign w:val="center"/>
                </w:tcPr>
                <w:p w14:paraId="57BB57A3">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566545" cy="1305560"/>
                        <wp:effectExtent l="0" t="0" r="3175" b="5080"/>
                        <wp:docPr id="51" name="图片 51" descr="图 A.1 提示性废气监测点位标志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 A.1 提示性废气监测点位标志牌"/>
                                <pic:cNvPicPr>
                                  <a:picLocks noChangeAspect="1"/>
                                </pic:cNvPicPr>
                              </pic:nvPicPr>
                              <pic:blipFill>
                                <a:blip r:embed="rId38"/>
                                <a:stretch>
                                  <a:fillRect/>
                                </a:stretch>
                              </pic:blipFill>
                              <pic:spPr>
                                <a:xfrm>
                                  <a:off x="0" y="0"/>
                                  <a:ext cx="1566545" cy="1305560"/>
                                </a:xfrm>
                                <a:prstGeom prst="rect">
                                  <a:avLst/>
                                </a:prstGeom>
                              </pic:spPr>
                            </pic:pic>
                          </a:graphicData>
                        </a:graphic>
                      </wp:inline>
                    </w:drawing>
                  </w:r>
                </w:p>
              </w:tc>
              <w:tc>
                <w:tcPr>
                  <w:tcW w:w="3891" w:type="dxa"/>
                  <w:tcBorders>
                    <w:tl2br w:val="nil"/>
                    <w:tr2bl w:val="nil"/>
                  </w:tcBorders>
                  <w:vAlign w:val="center"/>
                </w:tcPr>
                <w:p w14:paraId="4F3D60D8">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764665" cy="1249045"/>
                        <wp:effectExtent l="0" t="0" r="3175" b="635"/>
                        <wp:docPr id="18" name="图片 18" descr="03dc62f3ee5999c27ea37ff8dade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3dc62f3ee5999c27ea37ff8dade9f1"/>
                                <pic:cNvPicPr>
                                  <a:picLocks noChangeAspect="1"/>
                                </pic:cNvPicPr>
                              </pic:nvPicPr>
                              <pic:blipFill>
                                <a:blip r:embed="rId39"/>
                                <a:stretch>
                                  <a:fillRect/>
                                </a:stretch>
                              </pic:blipFill>
                              <pic:spPr>
                                <a:xfrm>
                                  <a:off x="0" y="0"/>
                                  <a:ext cx="1764665" cy="1249045"/>
                                </a:xfrm>
                                <a:prstGeom prst="rect">
                                  <a:avLst/>
                                </a:prstGeom>
                              </pic:spPr>
                            </pic:pic>
                          </a:graphicData>
                        </a:graphic>
                      </wp:inline>
                    </w:drawing>
                  </w:r>
                </w:p>
              </w:tc>
            </w:tr>
            <w:tr w14:paraId="53433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1" w:type="dxa"/>
                  <w:tcBorders>
                    <w:tl2br w:val="nil"/>
                    <w:tr2bl w:val="nil"/>
                  </w:tcBorders>
                  <w:vAlign w:val="center"/>
                </w:tcPr>
                <w:p w14:paraId="611D0732">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提示性废气</w:t>
                  </w:r>
                  <w:r>
                    <w:rPr>
                      <w:rFonts w:hint="eastAsia" w:cs="Times New Roman"/>
                      <w:color w:val="000000" w:themeColor="text1"/>
                      <w:lang w:val="en-US" w:eastAsia="zh-CN"/>
                      <w14:textFill>
                        <w14:solidFill>
                          <w14:schemeClr w14:val="tx1"/>
                        </w14:solidFill>
                      </w14:textFill>
                    </w:rPr>
                    <w:t>监测</w:t>
                  </w:r>
                  <w:r>
                    <w:rPr>
                      <w:rFonts w:cs="Times New Roman"/>
                      <w:color w:val="000000" w:themeColor="text1"/>
                      <w14:textFill>
                        <w14:solidFill>
                          <w14:schemeClr w14:val="tx1"/>
                        </w14:solidFill>
                      </w14:textFill>
                    </w:rPr>
                    <w:t>点位标志</w:t>
                  </w:r>
                </w:p>
              </w:tc>
              <w:tc>
                <w:tcPr>
                  <w:tcW w:w="3891" w:type="dxa"/>
                  <w:tcBorders>
                    <w:tl2br w:val="nil"/>
                    <w:tr2bl w:val="nil"/>
                  </w:tcBorders>
                  <w:vAlign w:val="center"/>
                </w:tcPr>
                <w:p w14:paraId="3C251F2B">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提示性</w:t>
                  </w:r>
                  <w:r>
                    <w:rPr>
                      <w:rFonts w:hint="eastAsia" w:cs="Times New Roman"/>
                      <w:color w:val="000000" w:themeColor="text1"/>
                      <w:lang w:val="en-US" w:eastAsia="zh-CN"/>
                      <w14:textFill>
                        <w14:solidFill>
                          <w14:schemeClr w14:val="tx1"/>
                        </w14:solidFill>
                      </w14:textFill>
                    </w:rPr>
                    <w:t>污水监测</w:t>
                  </w:r>
                  <w:r>
                    <w:rPr>
                      <w:rFonts w:cs="Times New Roman"/>
                      <w:color w:val="000000" w:themeColor="text1"/>
                      <w14:textFill>
                        <w14:solidFill>
                          <w14:schemeClr w14:val="tx1"/>
                        </w14:solidFill>
                      </w14:textFill>
                    </w:rPr>
                    <w:t>点位标志</w:t>
                  </w:r>
                </w:p>
              </w:tc>
            </w:tr>
          </w:tbl>
          <w:p w14:paraId="50F529FF">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240" w:firstLineChars="100"/>
              <w:textAlignment w:val="auto"/>
              <w:outlineLvl w:val="3"/>
              <w:rPr>
                <w:rFonts w:cs="Times New Roman"/>
                <w:b w:val="0"/>
                <w:bCs w:val="0"/>
                <w:color w:val="000000" w:themeColor="text1"/>
                <w14:textFill>
                  <w14:solidFill>
                    <w14:schemeClr w14:val="tx1"/>
                  </w14:solidFill>
                </w14:textFill>
              </w:rPr>
            </w:pPr>
            <w:r>
              <w:rPr>
                <w:rFonts w:cs="Times New Roman"/>
                <w:b w:val="0"/>
                <w:bCs w:val="0"/>
                <w:color w:val="000000" w:themeColor="text1"/>
                <w14:textFill>
                  <w14:solidFill>
                    <w14:schemeClr w14:val="tx1"/>
                  </w14:solidFill>
                </w14:textFill>
              </w:rPr>
              <w:t>4）监测点位管理</w:t>
            </w:r>
          </w:p>
          <w:p w14:paraId="5ED6B52E">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①排污单位应建立监测点位档案，档案内容应包括监测点位二维码涵盖的信息、监测点位的管理记录、包括标志牌的标志是否清晰完整，监测孔是否能正常使用，排气筒有无漏风、破损现象等方面的检查记录。</w:t>
            </w:r>
          </w:p>
          <w:p w14:paraId="36BB5651">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②监测点位的有关建筑物及相关设施属</w:t>
            </w:r>
            <w:r>
              <w:rPr>
                <w:rFonts w:hint="eastAsia" w:cs="Times New Roman"/>
                <w:color w:val="000000" w:themeColor="text1"/>
                <w:lang w:val="en-US" w:eastAsia="zh-CN"/>
                <w14:textFill>
                  <w14:solidFill>
                    <w14:schemeClr w14:val="tx1"/>
                  </w14:solidFill>
                </w14:textFill>
              </w:rPr>
              <w:t>环境</w:t>
            </w:r>
            <w:r>
              <w:rPr>
                <w:rFonts w:cs="Times New Roman"/>
                <w:color w:val="000000" w:themeColor="text1"/>
                <w14:textFill>
                  <w14:solidFill>
                    <w14:schemeClr w14:val="tx1"/>
                  </w14:solidFill>
                </w14:textFill>
              </w:rPr>
              <w:t>保护设施的组成部分，排污单位应制定相应的管理办法和规章制度，选派专职人员对监测点位进行管理，并保存相关管理记录，配合监测人员开展监测工作。</w:t>
            </w:r>
          </w:p>
          <w:p w14:paraId="7F4BEF49">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③监测点位信息变化时，排污单位应及时更换标志牌相应内容。</w:t>
            </w:r>
          </w:p>
          <w:p w14:paraId="42DCAC9E">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5）排污口建档管理</w:t>
            </w:r>
          </w:p>
          <w:p w14:paraId="6522B93D">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①要求使用国家环保局同意印刷的《中华人民共和国规范化排污口标记登记证》，并按要求填写有关内容。</w:t>
            </w:r>
          </w:p>
          <w:p w14:paraId="1EFE6753">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②根据排污口管理档案内容要求，本项目建成投产运营后，应将主要污染物种类、数量、浓度、排放去向、</w:t>
            </w:r>
            <w:r>
              <w:rPr>
                <w:rFonts w:hint="eastAsia" w:cs="Times New Roman"/>
                <w:color w:val="000000" w:themeColor="text1"/>
                <w:lang w:val="en-US" w:eastAsia="zh-CN"/>
                <w14:textFill>
                  <w14:solidFill>
                    <w14:schemeClr w14:val="tx1"/>
                  </w14:solidFill>
                </w14:textFill>
              </w:rPr>
              <w:t>达标</w:t>
            </w:r>
            <w:r>
              <w:rPr>
                <w:rFonts w:cs="Times New Roman"/>
                <w:color w:val="000000" w:themeColor="text1"/>
                <w14:textFill>
                  <w14:solidFill>
                    <w14:schemeClr w14:val="tx1"/>
                  </w14:solidFill>
                </w14:textFill>
              </w:rPr>
              <w:t>情况及设施运行情况记录</w:t>
            </w:r>
            <w:r>
              <w:rPr>
                <w:rFonts w:hint="eastAsia" w:cs="Times New Roman"/>
                <w:color w:val="000000" w:themeColor="text1"/>
                <w:lang w:val="en-US" w:eastAsia="zh-CN"/>
                <w14:textFill>
                  <w14:solidFill>
                    <w14:schemeClr w14:val="tx1"/>
                  </w14:solidFill>
                </w14:textFill>
              </w:rPr>
              <w:t>于</w:t>
            </w:r>
            <w:r>
              <w:rPr>
                <w:rFonts w:cs="Times New Roman"/>
                <w:color w:val="000000" w:themeColor="text1"/>
                <w14:textFill>
                  <w14:solidFill>
                    <w14:schemeClr w14:val="tx1"/>
                  </w14:solidFill>
                </w14:textFill>
              </w:rPr>
              <w:t>档案内。</w:t>
            </w:r>
          </w:p>
          <w:p w14:paraId="3A6505ED">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（4）环保投资</w:t>
            </w:r>
          </w:p>
          <w:p w14:paraId="53115054">
            <w:pPr>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本项目总投资</w:t>
            </w:r>
            <w:r>
              <w:rPr>
                <w:rFonts w:hint="eastAsia" w:cs="Times New Roman"/>
                <w:color w:val="000000" w:themeColor="text1"/>
                <w:lang w:val="en-US" w:eastAsia="zh-CN"/>
                <w14:textFill>
                  <w14:solidFill>
                    <w14:schemeClr w14:val="tx1"/>
                  </w14:solidFill>
                </w14:textFill>
              </w:rPr>
              <w:t>400</w:t>
            </w:r>
            <w:r>
              <w:rPr>
                <w:rFonts w:cs="Times New Roman"/>
                <w:color w:val="000000" w:themeColor="text1"/>
                <w14:textFill>
                  <w14:solidFill>
                    <w14:schemeClr w14:val="tx1"/>
                  </w14:solidFill>
                </w14:textFill>
              </w:rPr>
              <w:t>万元，其中环保投资</w:t>
            </w:r>
            <w:r>
              <w:rPr>
                <w:rFonts w:hint="eastAsia" w:cs="Times New Roman"/>
                <w:color w:val="000000" w:themeColor="text1"/>
                <w:lang w:val="en-US" w:eastAsia="zh-CN"/>
                <w14:textFill>
                  <w14:solidFill>
                    <w14:schemeClr w14:val="tx1"/>
                  </w14:solidFill>
                </w14:textFill>
              </w:rPr>
              <w:t>30</w:t>
            </w:r>
            <w:r>
              <w:rPr>
                <w:rFonts w:cs="Times New Roman"/>
                <w:color w:val="000000" w:themeColor="text1"/>
                <w14:textFill>
                  <w14:solidFill>
                    <w14:schemeClr w14:val="tx1"/>
                  </w14:solidFill>
                </w14:textFill>
              </w:rPr>
              <w:t>万元，占总投资的</w:t>
            </w:r>
            <w:r>
              <w:rPr>
                <w:rFonts w:hint="eastAsia" w:cs="Times New Roman"/>
                <w:color w:val="000000" w:themeColor="text1"/>
                <w:lang w:val="en-US" w:eastAsia="zh-CN"/>
                <w14:textFill>
                  <w14:solidFill>
                    <w14:schemeClr w14:val="tx1"/>
                  </w14:solidFill>
                </w14:textFill>
              </w:rPr>
              <w:t>7.5</w:t>
            </w:r>
            <w:r>
              <w:rPr>
                <w:rFonts w:cs="Times New Roman"/>
                <w:color w:val="000000" w:themeColor="text1"/>
                <w14:textFill>
                  <w14:solidFill>
                    <w14:schemeClr w14:val="tx1"/>
                  </w14:solidFill>
                </w14:textFill>
              </w:rPr>
              <w:t>%。环保投资清单见</w:t>
            </w:r>
            <w:r>
              <w:rPr>
                <w:rFonts w:hint="eastAsia" w:cs="Times New Roman"/>
                <w:color w:val="000000" w:themeColor="text1"/>
                <w14:textFill>
                  <w14:solidFill>
                    <w14:schemeClr w14:val="tx1"/>
                  </w14:solidFill>
                </w14:textFill>
              </w:rPr>
              <w:t>下</w:t>
            </w:r>
            <w:r>
              <w:rPr>
                <w:rFonts w:cs="Times New Roman"/>
                <w:color w:val="000000" w:themeColor="text1"/>
                <w14:textFill>
                  <w14:solidFill>
                    <w14:schemeClr w14:val="tx1"/>
                  </w14:solidFill>
                </w14:textFill>
              </w:rPr>
              <w:t>表。</w:t>
            </w:r>
          </w:p>
          <w:p w14:paraId="1B66B6D5">
            <w:pPr>
              <w:pStyle w:val="24"/>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环保设施及投资清单</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029"/>
              <w:gridCol w:w="3773"/>
              <w:gridCol w:w="1536"/>
            </w:tblGrid>
            <w:tr w14:paraId="7EDCD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vAlign w:val="center"/>
                </w:tcPr>
                <w:p w14:paraId="4E2503E6">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2029" w:type="dxa"/>
                  <w:tcBorders>
                    <w:tl2br w:val="nil"/>
                    <w:tr2bl w:val="nil"/>
                  </w:tcBorders>
                  <w:vAlign w:val="center"/>
                </w:tcPr>
                <w:p w14:paraId="7BAD2CBD">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项目</w:t>
                  </w:r>
                </w:p>
              </w:tc>
              <w:tc>
                <w:tcPr>
                  <w:tcW w:w="3773" w:type="dxa"/>
                  <w:tcBorders>
                    <w:tl2br w:val="nil"/>
                    <w:tr2bl w:val="nil"/>
                  </w:tcBorders>
                  <w:vAlign w:val="center"/>
                </w:tcPr>
                <w:p w14:paraId="730BE9D7">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治理措施</w:t>
                  </w:r>
                </w:p>
              </w:tc>
              <w:tc>
                <w:tcPr>
                  <w:tcW w:w="1536" w:type="dxa"/>
                  <w:tcBorders>
                    <w:tl2br w:val="nil"/>
                    <w:tr2bl w:val="nil"/>
                  </w:tcBorders>
                  <w:vAlign w:val="center"/>
                </w:tcPr>
                <w:p w14:paraId="13D39956">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投资金额</w:t>
                  </w:r>
                </w:p>
              </w:tc>
            </w:tr>
            <w:tr w14:paraId="2E944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vAlign w:val="center"/>
                </w:tcPr>
                <w:p w14:paraId="49FAC769">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2029" w:type="dxa"/>
                  <w:tcBorders>
                    <w:tl2br w:val="nil"/>
                    <w:tr2bl w:val="nil"/>
                  </w:tcBorders>
                  <w:shd w:val="clear" w:color="auto" w:fill="auto"/>
                  <w:vAlign w:val="center"/>
                </w:tcPr>
                <w:p w14:paraId="0F6E4E27">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大气污染防治</w:t>
                  </w:r>
                </w:p>
              </w:tc>
              <w:tc>
                <w:tcPr>
                  <w:tcW w:w="3773" w:type="dxa"/>
                  <w:tcBorders>
                    <w:tl2br w:val="nil"/>
                    <w:tr2bl w:val="nil"/>
                  </w:tcBorders>
                  <w:vAlign w:val="center"/>
                </w:tcPr>
                <w:p w14:paraId="5B7A1A39">
                  <w:pPr>
                    <w:pStyle w:val="26"/>
                    <w:adjustRightInd w:val="0"/>
                    <w:snapToGrid w:val="0"/>
                    <w:spacing w:line="240" w:lineRule="auto"/>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布袋除尘器+活性炭吸附+</w:t>
                  </w:r>
                  <w:r>
                    <w:rPr>
                      <w:rFonts w:hint="eastAsia" w:cs="Times New Roman"/>
                      <w:color w:val="000000" w:themeColor="text1"/>
                      <w:lang w:eastAsia="zh-CN"/>
                      <w14:textFill>
                        <w14:solidFill>
                          <w14:schemeClr w14:val="tx1"/>
                        </w14:solidFill>
                      </w14:textFill>
                    </w:rPr>
                    <w:t>20m</w:t>
                  </w:r>
                  <w:r>
                    <w:rPr>
                      <w:rFonts w:cs="Times New Roman"/>
                      <w:color w:val="000000" w:themeColor="text1"/>
                      <w14:textFill>
                        <w14:solidFill>
                          <w14:schemeClr w14:val="tx1"/>
                        </w14:solidFill>
                      </w14:textFill>
                    </w:rPr>
                    <w:t>排气筒</w:t>
                  </w:r>
                </w:p>
              </w:tc>
              <w:tc>
                <w:tcPr>
                  <w:tcW w:w="1536" w:type="dxa"/>
                  <w:tcBorders>
                    <w:tl2br w:val="nil"/>
                    <w:tr2bl w:val="nil"/>
                  </w:tcBorders>
                  <w:vAlign w:val="center"/>
                </w:tcPr>
                <w:p w14:paraId="07509E2C">
                  <w:pPr>
                    <w:pStyle w:val="26"/>
                    <w:adjustRightInd w:val="0"/>
                    <w:snapToGrid w:val="0"/>
                    <w:spacing w:line="240" w:lineRule="auto"/>
                    <w:rPr>
                      <w:rFonts w:hint="default"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15</w:t>
                  </w:r>
                  <w:r>
                    <w:rPr>
                      <w:rFonts w:cs="Times New Roman"/>
                      <w:b w:val="0"/>
                      <w:bCs w:val="0"/>
                      <w:color w:val="000000" w:themeColor="text1"/>
                      <w14:textFill>
                        <w14:solidFill>
                          <w14:schemeClr w14:val="tx1"/>
                        </w14:solidFill>
                      </w14:textFill>
                    </w:rPr>
                    <w:t>万元</w:t>
                  </w:r>
                </w:p>
              </w:tc>
            </w:tr>
            <w:tr w14:paraId="6D3A24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vAlign w:val="center"/>
                </w:tcPr>
                <w:p w14:paraId="1DE4603B">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2029" w:type="dxa"/>
                  <w:tcBorders>
                    <w:tl2br w:val="nil"/>
                    <w:tr2bl w:val="nil"/>
                  </w:tcBorders>
                  <w:shd w:val="clear" w:color="auto" w:fill="auto"/>
                  <w:vAlign w:val="center"/>
                </w:tcPr>
                <w:p w14:paraId="63A1B785">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水污染防治</w:t>
                  </w:r>
                </w:p>
              </w:tc>
              <w:tc>
                <w:tcPr>
                  <w:tcW w:w="3773" w:type="dxa"/>
                  <w:tcBorders>
                    <w:tl2br w:val="nil"/>
                    <w:tr2bl w:val="nil"/>
                  </w:tcBorders>
                  <w:vAlign w:val="center"/>
                </w:tcPr>
                <w:p w14:paraId="18B7118C">
                  <w:pPr>
                    <w:pStyle w:val="26"/>
                    <w:adjustRightInd w:val="0"/>
                    <w:snapToGrid w:val="0"/>
                    <w:spacing w:line="240" w:lineRule="auto"/>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污水管道铺设、地面防渗</w:t>
                  </w:r>
                </w:p>
              </w:tc>
              <w:tc>
                <w:tcPr>
                  <w:tcW w:w="1536" w:type="dxa"/>
                  <w:tcBorders>
                    <w:tl2br w:val="nil"/>
                    <w:tr2bl w:val="nil"/>
                  </w:tcBorders>
                  <w:vAlign w:val="center"/>
                </w:tcPr>
                <w:p w14:paraId="3573D489">
                  <w:pPr>
                    <w:pStyle w:val="26"/>
                    <w:adjustRightInd w:val="0"/>
                    <w:snapToGrid w:val="0"/>
                    <w:spacing w:line="240" w:lineRule="auto"/>
                    <w:rPr>
                      <w:rFonts w:hint="eastAsia" w:eastAsia="宋体" w:cs="Times New Roman"/>
                      <w:b w:val="0"/>
                      <w:bCs w:val="0"/>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w:t>
                  </w:r>
                  <w:r>
                    <w:rPr>
                      <w:rFonts w:cs="Times New Roman"/>
                      <w:b w:val="0"/>
                      <w:bCs w:val="0"/>
                      <w:color w:val="000000" w:themeColor="text1"/>
                      <w14:textFill>
                        <w14:solidFill>
                          <w14:schemeClr w14:val="tx1"/>
                        </w14:solidFill>
                      </w14:textFill>
                    </w:rPr>
                    <w:t>万元</w:t>
                  </w:r>
                </w:p>
              </w:tc>
            </w:tr>
            <w:tr w14:paraId="144E8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vAlign w:val="center"/>
                </w:tcPr>
                <w:p w14:paraId="2C384317">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2029" w:type="dxa"/>
                  <w:tcBorders>
                    <w:tl2br w:val="nil"/>
                    <w:tr2bl w:val="nil"/>
                  </w:tcBorders>
                  <w:shd w:val="clear" w:color="auto" w:fill="auto"/>
                  <w:vAlign w:val="center"/>
                </w:tcPr>
                <w:p w14:paraId="1F579992">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噪声污染防治</w:t>
                  </w:r>
                </w:p>
              </w:tc>
              <w:tc>
                <w:tcPr>
                  <w:tcW w:w="3773" w:type="dxa"/>
                  <w:tcBorders>
                    <w:tl2br w:val="nil"/>
                    <w:tr2bl w:val="nil"/>
                  </w:tcBorders>
                  <w:vAlign w:val="center"/>
                </w:tcPr>
                <w:p w14:paraId="48E94E81">
                  <w:pPr>
                    <w:pStyle w:val="26"/>
                    <w:adjustRightInd w:val="0"/>
                    <w:snapToGrid w:val="0"/>
                    <w:spacing w:line="240" w:lineRule="auto"/>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选用低噪声设备，基础减振、墙体隔声</w:t>
                  </w:r>
                </w:p>
              </w:tc>
              <w:tc>
                <w:tcPr>
                  <w:tcW w:w="1536" w:type="dxa"/>
                  <w:tcBorders>
                    <w:tl2br w:val="nil"/>
                    <w:tr2bl w:val="nil"/>
                  </w:tcBorders>
                  <w:vAlign w:val="center"/>
                </w:tcPr>
                <w:p w14:paraId="5A71A7D9">
                  <w:pPr>
                    <w:pStyle w:val="26"/>
                    <w:adjustRightInd w:val="0"/>
                    <w:snapToGrid w:val="0"/>
                    <w:spacing w:line="240" w:lineRule="auto"/>
                    <w:rPr>
                      <w:rFonts w:hint="default"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8</w:t>
                  </w:r>
                  <w:r>
                    <w:rPr>
                      <w:rFonts w:cs="Times New Roman"/>
                      <w:b w:val="0"/>
                      <w:bCs w:val="0"/>
                      <w:color w:val="000000" w:themeColor="text1"/>
                      <w14:textFill>
                        <w14:solidFill>
                          <w14:schemeClr w14:val="tx1"/>
                        </w14:solidFill>
                      </w14:textFill>
                    </w:rPr>
                    <w:t>万元</w:t>
                  </w:r>
                </w:p>
              </w:tc>
            </w:tr>
            <w:tr w14:paraId="6D148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vAlign w:val="center"/>
                </w:tcPr>
                <w:p w14:paraId="6EAE2BA7">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2029" w:type="dxa"/>
                  <w:tcBorders>
                    <w:tl2br w:val="nil"/>
                    <w:tr2bl w:val="nil"/>
                  </w:tcBorders>
                  <w:shd w:val="clear" w:color="auto" w:fill="auto"/>
                  <w:vAlign w:val="center"/>
                </w:tcPr>
                <w:p w14:paraId="773CE799">
                  <w:pPr>
                    <w:pStyle w:val="26"/>
                    <w:adjustRightInd w:val="0"/>
                    <w:snapToGrid w:val="0"/>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固体废物污染防治</w:t>
                  </w:r>
                </w:p>
              </w:tc>
              <w:tc>
                <w:tcPr>
                  <w:tcW w:w="3773" w:type="dxa"/>
                  <w:tcBorders>
                    <w:tl2br w:val="nil"/>
                    <w:tr2bl w:val="nil"/>
                  </w:tcBorders>
                  <w:vAlign w:val="center"/>
                </w:tcPr>
                <w:p w14:paraId="595F36B4">
                  <w:pPr>
                    <w:pStyle w:val="26"/>
                    <w:adjustRightInd w:val="0"/>
                    <w:snapToGrid w:val="0"/>
                    <w:spacing w:line="240" w:lineRule="auto"/>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危险废物暂存间规范建设</w:t>
                  </w:r>
                </w:p>
              </w:tc>
              <w:tc>
                <w:tcPr>
                  <w:tcW w:w="1536" w:type="dxa"/>
                  <w:tcBorders>
                    <w:tl2br w:val="nil"/>
                    <w:tr2bl w:val="nil"/>
                  </w:tcBorders>
                  <w:vAlign w:val="center"/>
                </w:tcPr>
                <w:p w14:paraId="58EBDE91">
                  <w:pPr>
                    <w:pStyle w:val="26"/>
                    <w:adjustRightInd w:val="0"/>
                    <w:snapToGrid w:val="0"/>
                    <w:spacing w:line="240" w:lineRule="auto"/>
                    <w:rPr>
                      <w:rFonts w:hint="eastAsia" w:eastAsia="宋体" w:cs="Times New Roman"/>
                      <w:b w:val="0"/>
                      <w:bCs w:val="0"/>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5</w:t>
                  </w:r>
                  <w:r>
                    <w:rPr>
                      <w:rFonts w:cs="Times New Roman"/>
                      <w:b w:val="0"/>
                      <w:bCs w:val="0"/>
                      <w:color w:val="000000" w:themeColor="text1"/>
                      <w14:textFill>
                        <w14:solidFill>
                          <w14:schemeClr w14:val="tx1"/>
                        </w14:solidFill>
                      </w14:textFill>
                    </w:rPr>
                    <w:t>万元</w:t>
                  </w:r>
                </w:p>
              </w:tc>
            </w:tr>
            <w:tr w14:paraId="535F5E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4" w:type="dxa"/>
                  <w:gridSpan w:val="2"/>
                  <w:tcBorders>
                    <w:tl2br w:val="nil"/>
                    <w:tr2bl w:val="nil"/>
                  </w:tcBorders>
                  <w:vAlign w:val="center"/>
                </w:tcPr>
                <w:p w14:paraId="0CBD290C">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合  计</w:t>
                  </w:r>
                </w:p>
              </w:tc>
              <w:tc>
                <w:tcPr>
                  <w:tcW w:w="3773" w:type="dxa"/>
                  <w:tcBorders>
                    <w:tl2br w:val="nil"/>
                    <w:tr2bl w:val="nil"/>
                  </w:tcBorders>
                  <w:vAlign w:val="center"/>
                </w:tcPr>
                <w:p w14:paraId="0F341FFE">
                  <w:pPr>
                    <w:pStyle w:val="26"/>
                    <w:adjustRightInd w:val="0"/>
                    <w:snapToGrid w:val="0"/>
                    <w:spacing w:line="24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w:t>
                  </w:r>
                </w:p>
              </w:tc>
              <w:tc>
                <w:tcPr>
                  <w:tcW w:w="1536" w:type="dxa"/>
                  <w:tcBorders>
                    <w:tl2br w:val="nil"/>
                    <w:tr2bl w:val="nil"/>
                  </w:tcBorders>
                  <w:vAlign w:val="center"/>
                </w:tcPr>
                <w:p w14:paraId="12932995">
                  <w:pPr>
                    <w:pStyle w:val="26"/>
                    <w:adjustRightInd w:val="0"/>
                    <w:snapToGrid w:val="0"/>
                    <w:spacing w:line="240" w:lineRule="auto"/>
                    <w:rPr>
                      <w:rFonts w:hint="default"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30</w:t>
                  </w:r>
                  <w:r>
                    <w:rPr>
                      <w:rFonts w:cs="Times New Roman"/>
                      <w:b w:val="0"/>
                      <w:bCs w:val="0"/>
                      <w:color w:val="000000" w:themeColor="text1"/>
                      <w14:textFill>
                        <w14:solidFill>
                          <w14:schemeClr w14:val="tx1"/>
                        </w14:solidFill>
                      </w14:textFill>
                    </w:rPr>
                    <w:t>万元</w:t>
                  </w:r>
                </w:p>
              </w:tc>
            </w:tr>
          </w:tbl>
          <w:p w14:paraId="1728F076">
            <w:pPr>
              <w:rPr>
                <w:rFonts w:hint="eastAsia"/>
                <w:lang w:val="en-US" w:eastAsia="zh-CN"/>
              </w:rPr>
            </w:pPr>
            <w:r>
              <w:rPr>
                <w:rFonts w:hint="eastAsia"/>
                <w:lang w:val="en-US" w:eastAsia="zh-CN"/>
              </w:rPr>
              <w:t xml:space="preserve"> </w:t>
            </w:r>
          </w:p>
        </w:tc>
      </w:tr>
    </w:tbl>
    <w:p w14:paraId="48D1DD98">
      <w:pPr>
        <w:adjustRightInd w:val="0"/>
        <w:snapToGrid w:val="0"/>
        <w:spacing w:line="240" w:lineRule="auto"/>
        <w:ind w:firstLine="0" w:firstLineChars="0"/>
        <w:jc w:val="center"/>
        <w:rPr>
          <w:rFonts w:cs="Times New Roman"/>
          <w:color w:val="000000" w:themeColor="text1"/>
          <w14:textFill>
            <w14:solidFill>
              <w14:schemeClr w14:val="tx1"/>
            </w14:solidFill>
          </w14:textFill>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687D8AAA">
      <w:pPr>
        <w:pStyle w:val="2"/>
        <w:numPr>
          <w:ilvl w:val="0"/>
          <w:numId w:val="0"/>
        </w:numPr>
        <w:ind w:left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五、环境保护措施监督检查清单</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88"/>
        <w:gridCol w:w="1550"/>
        <w:gridCol w:w="3010"/>
        <w:gridCol w:w="2074"/>
      </w:tblGrid>
      <w:tr w14:paraId="3369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26" w:type="dxa"/>
            <w:vAlign w:val="center"/>
          </w:tcPr>
          <w:p w14:paraId="0825B854">
            <w:pPr>
              <w:adjustRightInd w:val="0"/>
              <w:snapToGrid w:val="0"/>
              <w:spacing w:line="240" w:lineRule="auto"/>
              <w:ind w:firstLine="422" w:firstLineChars="20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要素</w:t>
            </w:r>
          </w:p>
          <w:p w14:paraId="243DF787">
            <w:pPr>
              <w:adjustRightInd w:val="0"/>
              <w:snapToGrid w:val="0"/>
              <w:spacing w:line="240" w:lineRule="auto"/>
              <w:ind w:firstLine="0" w:firstLineChars="0"/>
              <w:jc w:val="both"/>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内容</w:t>
            </w:r>
          </w:p>
        </w:tc>
        <w:tc>
          <w:tcPr>
            <w:tcW w:w="1188" w:type="dxa"/>
            <w:vAlign w:val="center"/>
          </w:tcPr>
          <w:p w14:paraId="53F03727">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排放口（编号、名称）/污染源</w:t>
            </w:r>
          </w:p>
        </w:tc>
        <w:tc>
          <w:tcPr>
            <w:tcW w:w="1550" w:type="dxa"/>
            <w:vAlign w:val="center"/>
          </w:tcPr>
          <w:p w14:paraId="71FE5584">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污染物项目</w:t>
            </w:r>
          </w:p>
        </w:tc>
        <w:tc>
          <w:tcPr>
            <w:tcW w:w="3010" w:type="dxa"/>
            <w:vAlign w:val="center"/>
          </w:tcPr>
          <w:p w14:paraId="1531578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环境保护措施</w:t>
            </w:r>
          </w:p>
        </w:tc>
        <w:tc>
          <w:tcPr>
            <w:tcW w:w="2074" w:type="dxa"/>
            <w:vAlign w:val="center"/>
          </w:tcPr>
          <w:p w14:paraId="3BC1627D">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执行标准</w:t>
            </w:r>
          </w:p>
        </w:tc>
      </w:tr>
      <w:tr w14:paraId="1A74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126" w:type="dxa"/>
            <w:vAlign w:val="center"/>
          </w:tcPr>
          <w:p w14:paraId="59535CC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大气环境</w:t>
            </w:r>
          </w:p>
        </w:tc>
        <w:tc>
          <w:tcPr>
            <w:tcW w:w="1188" w:type="dxa"/>
            <w:tcBorders>
              <w:bottom w:val="single" w:color="000000" w:sz="4" w:space="0"/>
            </w:tcBorders>
            <w:vAlign w:val="center"/>
          </w:tcPr>
          <w:p w14:paraId="026B0B9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排气筒DA001</w:t>
            </w:r>
          </w:p>
        </w:tc>
        <w:tc>
          <w:tcPr>
            <w:tcW w:w="1550" w:type="dxa"/>
            <w:tcBorders>
              <w:bottom w:val="single" w:color="000000" w:sz="4" w:space="0"/>
            </w:tcBorders>
            <w:vAlign w:val="center"/>
          </w:tcPr>
          <w:p w14:paraId="172AA0F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p w14:paraId="2E4F10E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p w14:paraId="062CCB1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一氧化碳</w:t>
            </w:r>
          </w:p>
          <w:p w14:paraId="29747D5F">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氯化氢</w:t>
            </w:r>
          </w:p>
          <w:p w14:paraId="26D52A44">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其他C类物质</w:t>
            </w:r>
          </w:p>
          <w:p w14:paraId="29FF667B">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其他A类物质</w:t>
            </w:r>
          </w:p>
          <w:p w14:paraId="1FBCE0F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甲醇</w:t>
            </w:r>
          </w:p>
        </w:tc>
        <w:tc>
          <w:tcPr>
            <w:tcW w:w="3010" w:type="dxa"/>
            <w:tcBorders>
              <w:bottom w:val="single" w:color="000000" w:sz="4" w:space="0"/>
            </w:tcBorders>
            <w:vAlign w:val="center"/>
          </w:tcPr>
          <w:p w14:paraId="1D79BCC1">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布袋除尘器+活性炭吸附（TA001）+</w:t>
            </w:r>
            <w:r>
              <w:rPr>
                <w:rFonts w:hint="eastAsia"/>
                <w:color w:val="000000" w:themeColor="text1"/>
                <w:sz w:val="21"/>
                <w:szCs w:val="21"/>
                <w:lang w:eastAsia="zh-CN"/>
                <w14:textFill>
                  <w14:solidFill>
                    <w14:schemeClr w14:val="tx1"/>
                  </w14:solidFill>
                </w14:textFill>
              </w:rPr>
              <w:t>20m</w:t>
            </w:r>
            <w:r>
              <w:rPr>
                <w:color w:val="000000" w:themeColor="text1"/>
                <w:sz w:val="21"/>
                <w:szCs w:val="21"/>
                <w14:textFill>
                  <w14:solidFill>
                    <w14:schemeClr w14:val="tx1"/>
                  </w14:solidFill>
                </w14:textFill>
              </w:rPr>
              <w:t>排气筒（DA001）</w:t>
            </w:r>
          </w:p>
        </w:tc>
        <w:tc>
          <w:tcPr>
            <w:tcW w:w="2074" w:type="dxa"/>
            <w:vAlign w:val="center"/>
          </w:tcPr>
          <w:p w14:paraId="280080D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《大气污染物综合排放标准》（DB11/501-2017）相关限值</w:t>
            </w:r>
          </w:p>
        </w:tc>
      </w:tr>
      <w:tr w14:paraId="15D6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6" w:type="dxa"/>
            <w:vAlign w:val="center"/>
          </w:tcPr>
          <w:p w14:paraId="0E40F52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w:t>
            </w:r>
          </w:p>
        </w:tc>
        <w:tc>
          <w:tcPr>
            <w:tcW w:w="1188" w:type="dxa"/>
            <w:vAlign w:val="center"/>
          </w:tcPr>
          <w:p w14:paraId="0B5F907C">
            <w:pPr>
              <w:adjustRightInd w:val="0"/>
              <w:snapToGri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综合废水</w:t>
            </w:r>
          </w:p>
        </w:tc>
        <w:tc>
          <w:tcPr>
            <w:tcW w:w="1550" w:type="dxa"/>
            <w:vAlign w:val="center"/>
          </w:tcPr>
          <w:p w14:paraId="7642C71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pH、CODcr、BOD</w:t>
            </w:r>
            <w:r>
              <w:rPr>
                <w:rFonts w:hint="eastAsia"/>
                <w:color w:val="000000" w:themeColor="text1"/>
                <w:sz w:val="21"/>
                <w:szCs w:val="21"/>
                <w:vertAlign w:val="subscript"/>
                <w14:textFill>
                  <w14:solidFill>
                    <w14:schemeClr w14:val="tx1"/>
                  </w14:solidFill>
                </w14:textFill>
              </w:rPr>
              <w:t>5</w:t>
            </w:r>
            <w:r>
              <w:rPr>
                <w:rFonts w:hint="eastAsia"/>
                <w:color w:val="000000" w:themeColor="text1"/>
                <w:sz w:val="21"/>
                <w:szCs w:val="21"/>
                <w14:textFill>
                  <w14:solidFill>
                    <w14:schemeClr w14:val="tx1"/>
                  </w14:solidFill>
                </w14:textFill>
              </w:rPr>
              <w:t>、SS、氨氮</w:t>
            </w:r>
          </w:p>
        </w:tc>
        <w:tc>
          <w:tcPr>
            <w:tcW w:w="3010" w:type="dxa"/>
            <w:vAlign w:val="center"/>
          </w:tcPr>
          <w:p w14:paraId="1614352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经园区化粪池预处理后排入</w:t>
            </w:r>
            <w:r>
              <w:rPr>
                <w:rFonts w:hint="eastAsia"/>
                <w:color w:val="000000" w:themeColor="text1"/>
                <w:sz w:val="21"/>
                <w:szCs w:val="21"/>
                <w:lang w:eastAsia="zh-CN"/>
                <w14:textFill>
                  <w14:solidFill>
                    <w14:schemeClr w14:val="tx1"/>
                  </w14:solidFill>
                </w14:textFill>
              </w:rPr>
              <w:t>北京轻纺服装产业基地应急污水处理站</w:t>
            </w:r>
            <w:r>
              <w:rPr>
                <w:rFonts w:hint="eastAsia"/>
                <w:color w:val="000000" w:themeColor="text1"/>
                <w:sz w:val="21"/>
                <w:szCs w:val="21"/>
                <w14:textFill>
                  <w14:solidFill>
                    <w14:schemeClr w14:val="tx1"/>
                  </w14:solidFill>
                </w14:textFill>
              </w:rPr>
              <w:t>处理</w:t>
            </w:r>
          </w:p>
        </w:tc>
        <w:tc>
          <w:tcPr>
            <w:tcW w:w="2074" w:type="dxa"/>
            <w:vAlign w:val="center"/>
          </w:tcPr>
          <w:p w14:paraId="2E77D2B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北京市《水污染物综合排放标准》（DB11/307-2013）</w:t>
            </w:r>
          </w:p>
        </w:tc>
      </w:tr>
      <w:tr w14:paraId="1F73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6" w:type="dxa"/>
            <w:vAlign w:val="center"/>
          </w:tcPr>
          <w:p w14:paraId="5938FA9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声环境</w:t>
            </w:r>
          </w:p>
        </w:tc>
        <w:tc>
          <w:tcPr>
            <w:tcW w:w="1188" w:type="dxa"/>
            <w:vAlign w:val="center"/>
          </w:tcPr>
          <w:p w14:paraId="3340E7B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生产设备</w:t>
            </w:r>
          </w:p>
        </w:tc>
        <w:tc>
          <w:tcPr>
            <w:tcW w:w="1550" w:type="dxa"/>
            <w:vAlign w:val="center"/>
          </w:tcPr>
          <w:p w14:paraId="6D2246D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连续等效A声级</w:t>
            </w:r>
          </w:p>
        </w:tc>
        <w:tc>
          <w:tcPr>
            <w:tcW w:w="3010" w:type="dxa"/>
            <w:vAlign w:val="center"/>
          </w:tcPr>
          <w:p w14:paraId="49D8031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选用低噪声设备，合理布置，进行基础减振、墙体隔声等降噪措施</w:t>
            </w:r>
          </w:p>
        </w:tc>
        <w:tc>
          <w:tcPr>
            <w:tcW w:w="2074" w:type="dxa"/>
            <w:vAlign w:val="center"/>
          </w:tcPr>
          <w:p w14:paraId="732F112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《工业企业厂界环境噪声排放标准》（GB12348-2008）中的3类标准</w:t>
            </w:r>
          </w:p>
        </w:tc>
      </w:tr>
      <w:tr w14:paraId="49F8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6" w:type="dxa"/>
            <w:vAlign w:val="center"/>
          </w:tcPr>
          <w:p w14:paraId="2065C87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电磁辐射</w:t>
            </w:r>
          </w:p>
        </w:tc>
        <w:tc>
          <w:tcPr>
            <w:tcW w:w="1188" w:type="dxa"/>
            <w:vAlign w:val="center"/>
          </w:tcPr>
          <w:p w14:paraId="61C1E07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50" w:type="dxa"/>
            <w:vAlign w:val="center"/>
          </w:tcPr>
          <w:p w14:paraId="68E37E2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010" w:type="dxa"/>
            <w:vAlign w:val="center"/>
          </w:tcPr>
          <w:p w14:paraId="7A8CCDD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074" w:type="dxa"/>
            <w:vAlign w:val="center"/>
          </w:tcPr>
          <w:p w14:paraId="28DB87E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565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6" w:type="dxa"/>
            <w:vAlign w:val="center"/>
          </w:tcPr>
          <w:p w14:paraId="1B5EB9B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固体废物</w:t>
            </w:r>
          </w:p>
        </w:tc>
        <w:tc>
          <w:tcPr>
            <w:tcW w:w="7822" w:type="dxa"/>
            <w:gridSpan w:val="4"/>
            <w:vAlign w:val="center"/>
          </w:tcPr>
          <w:p w14:paraId="063ADF78">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r>
              <w:rPr>
                <w:rFonts w:hint="eastAsia"/>
                <w:color w:val="000000" w:themeColor="text1"/>
                <w:sz w:val="21"/>
                <w:szCs w:val="21"/>
                <w14:textFill>
                  <w14:solidFill>
                    <w14:schemeClr w14:val="tx1"/>
                  </w14:solidFill>
                </w14:textFill>
              </w:rPr>
              <w:t>：生活垃圾集中收集，由环卫部门清运处理；</w:t>
            </w:r>
          </w:p>
          <w:p w14:paraId="4D865B59">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一般工业固体废物</w:t>
            </w:r>
            <w:r>
              <w:rPr>
                <w:rFonts w:hint="eastAsia"/>
                <w:color w:val="000000" w:themeColor="text1"/>
                <w:sz w:val="21"/>
                <w:szCs w:val="21"/>
                <w14:textFill>
                  <w14:solidFill>
                    <w14:schemeClr w14:val="tx1"/>
                  </w14:solidFill>
                </w14:textFill>
              </w:rPr>
              <w:t>：统一收集后委托一般工业固体废物单位处理；</w:t>
            </w:r>
          </w:p>
          <w:p w14:paraId="053298DC">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危险废物：分类收集后暂存至危险废物暂存间，定期委托资质单位清运处置。</w:t>
            </w:r>
          </w:p>
          <w:p w14:paraId="6A70B94B">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项目产生的固体废物均能够得到妥善处理，不会对外环境产生影响。</w:t>
            </w:r>
          </w:p>
        </w:tc>
      </w:tr>
      <w:tr w14:paraId="09D5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6" w:type="dxa"/>
            <w:vAlign w:val="center"/>
          </w:tcPr>
          <w:p w14:paraId="3E915C1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土壤及地下水污染防治措施</w:t>
            </w:r>
          </w:p>
        </w:tc>
        <w:tc>
          <w:tcPr>
            <w:tcW w:w="7822" w:type="dxa"/>
            <w:gridSpan w:val="4"/>
            <w:vAlign w:val="center"/>
          </w:tcPr>
          <w:p w14:paraId="7895FA7D">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本项目经营场所范围内地面进行防渗处理，其中危险废物暂存间渗透系数小于10</w:t>
            </w:r>
            <w:r>
              <w:rPr>
                <w:rFonts w:hint="eastAsia"/>
                <w:color w:val="000000" w:themeColor="text1"/>
                <w:sz w:val="21"/>
                <w:szCs w:val="21"/>
                <w:vertAlign w:val="superscript"/>
                <w14:textFill>
                  <w14:solidFill>
                    <w14:schemeClr w14:val="tx1"/>
                  </w14:solidFill>
                </w14:textFill>
              </w:rPr>
              <w:t>-10</w:t>
            </w:r>
            <w:r>
              <w:rPr>
                <w:rFonts w:hint="eastAsia"/>
                <w:color w:val="000000" w:themeColor="text1"/>
                <w:sz w:val="21"/>
                <w:szCs w:val="21"/>
                <w14:textFill>
                  <w14:solidFill>
                    <w14:schemeClr w14:val="tx1"/>
                  </w14:solidFill>
                </w14:textFill>
              </w:rPr>
              <w:t>cm/s，其他区域渗透系数小于10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w:t>
            </w:r>
          </w:p>
        </w:tc>
      </w:tr>
      <w:tr w14:paraId="3B0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6" w:type="dxa"/>
            <w:vAlign w:val="center"/>
          </w:tcPr>
          <w:p w14:paraId="3C83ADF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生态保护措施</w:t>
            </w:r>
          </w:p>
        </w:tc>
        <w:tc>
          <w:tcPr>
            <w:tcW w:w="7822" w:type="dxa"/>
            <w:gridSpan w:val="4"/>
            <w:vAlign w:val="center"/>
          </w:tcPr>
          <w:p w14:paraId="41B63ACF">
            <w:pPr>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85F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6" w:type="dxa"/>
            <w:vAlign w:val="center"/>
          </w:tcPr>
          <w:p w14:paraId="7AF7680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w:t>
            </w:r>
          </w:p>
          <w:p w14:paraId="3969558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防范措施</w:t>
            </w:r>
          </w:p>
        </w:tc>
        <w:tc>
          <w:tcPr>
            <w:tcW w:w="7822" w:type="dxa"/>
            <w:gridSpan w:val="4"/>
            <w:vAlign w:val="center"/>
          </w:tcPr>
          <w:p w14:paraId="59D0888E">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为避免风险事故，尤其是避免风险事故发生后对环境造成严重的污染，建设单位应树立并强化环境风险意识，增加对环境风险的防范措施，并使这些措施在实际工作中得到落实。主要包括：</w:t>
            </w:r>
          </w:p>
          <w:p w14:paraId="792C680F">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1）试剂存放风险防范措施</w:t>
            </w:r>
          </w:p>
          <w:p w14:paraId="48AB8808">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建立健全管理制度，规范操作，对属于危险物质的试剂的取用流程进行严格规定，对可能发生的风险事故进行预先组织准备和应急保障。确定专职试剂管理人员，熟知本项目涉及的各类化学品的安全性质和安全管理常识。</w:t>
            </w:r>
          </w:p>
          <w:p w14:paraId="6B360BC4">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在满足需要的前提下，按照最小量存放试剂，所有存储试剂的容器应保持密封、试剂柜柜门应保持关闭，需要时小心取用，每次取用完后检查封闭情况。所有试剂按特性分区分类存储，不得混合摆放；标识向外，便于查看。</w:t>
            </w:r>
          </w:p>
          <w:p w14:paraId="17D42447">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③保持阴凉通风，试剂存放区注意保持遮光、温度﹤30℃，远离火种、热源，应有醒目的防火、易燃烧等标识。实验室内严禁吸烟和使用明火。</w:t>
            </w:r>
          </w:p>
          <w:p w14:paraId="4C0ED0B2">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发生试剂泄漏时，迅速撤离泄漏污染区人员至安全区，如果有人员受到伤害，应立即采取救治措施。将泄漏区隔离，严格限制出入。应急处理人员佩戴手套、口罩等防护装备，尽可能切断泄漏源，防止泄漏增加。小量泄漏时可用沙土或其它不燃材料吸附或吸收。</w:t>
            </w:r>
          </w:p>
          <w:p w14:paraId="66BBC313">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2）危险废物暂存风险防范措施</w:t>
            </w:r>
          </w:p>
          <w:p w14:paraId="623A1198">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危险废物应严格按照《危险废物贮存污染控制标准》（GB18597-2023）进行规范操作和管理。</w:t>
            </w:r>
          </w:p>
          <w:p w14:paraId="449251CD">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①使用专有容器分类存放，存放于危险废物暂存间内，最终由有资质单位定期回收处置。</w:t>
            </w:r>
          </w:p>
          <w:p w14:paraId="5A15D81B">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②危险废物暂存间采取地面硬化、防渗处理，防止危险废物临时存放造成泄漏污染地下水及周围环境。</w:t>
            </w:r>
          </w:p>
          <w:p w14:paraId="1E6B7BF4">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③危险废物运送应当使用专用车辆。</w:t>
            </w:r>
          </w:p>
          <w:p w14:paraId="239C89BA">
            <w:pPr>
              <w:adjustRightInd w:val="0"/>
              <w:snapToGrid w:val="0"/>
              <w:ind w:firstLine="480"/>
              <w:rPr>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④</w:t>
            </w:r>
            <w:r>
              <w:rPr>
                <w:rFonts w:hint="eastAsia" w:cs="Times New Roman"/>
                <w:color w:val="000000" w:themeColor="text1"/>
                <w:sz w:val="21"/>
                <w:szCs w:val="21"/>
                <w:lang w:val="en-US" w:eastAsia="zh-CN"/>
                <w14:textFill>
                  <w14:solidFill>
                    <w14:schemeClr w14:val="tx1"/>
                  </w14:solidFill>
                </w14:textFill>
              </w:rPr>
              <w:t>定期开展环境风险隐患排查，发现问题及时处理。</w:t>
            </w:r>
          </w:p>
        </w:tc>
      </w:tr>
      <w:tr w14:paraId="67FB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6" w:type="dxa"/>
            <w:vAlign w:val="center"/>
          </w:tcPr>
          <w:p w14:paraId="193ADBB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其他环境</w:t>
            </w:r>
          </w:p>
          <w:p w14:paraId="78AAD16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管理要求</w:t>
            </w:r>
          </w:p>
        </w:tc>
        <w:tc>
          <w:tcPr>
            <w:tcW w:w="7822" w:type="dxa"/>
            <w:gridSpan w:val="4"/>
            <w:vAlign w:val="center"/>
          </w:tcPr>
          <w:p w14:paraId="32B04C0E">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1、与排污许可制度衔接要求</w:t>
            </w:r>
          </w:p>
          <w:p w14:paraId="0C05FCD0">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根据《国民经济行业分类》（GB/T 4754-2017），本项目属于“M7452检测服务”。根据《固定污染源排污许可分类管理名录》（2019年版），本项目暂无相关要求。</w:t>
            </w:r>
          </w:p>
          <w:p w14:paraId="7CBF0491">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按照《关于做好环境影响评价制度与排污许可制衔接相关工作的通知》（环办环</w:t>
            </w:r>
            <w:r>
              <w:rPr>
                <w:rFonts w:cs="Times New Roman"/>
                <w:color w:val="000000" w:themeColor="text1"/>
                <w:sz w:val="21"/>
                <w:szCs w:val="21"/>
                <w14:textFill>
                  <w14:solidFill>
                    <w14:schemeClr w14:val="tx1"/>
                  </w14:solidFill>
                </w14:textFill>
              </w:rPr>
              <w:t>评［2017］8</w:t>
            </w:r>
            <w:r>
              <w:rPr>
                <w:rFonts w:hint="eastAsia"/>
                <w:color w:val="000000" w:themeColor="text1"/>
                <w:sz w:val="21"/>
                <w:szCs w:val="21"/>
                <w14:textFill>
                  <w14:solidFill>
                    <w14:schemeClr w14:val="tx1"/>
                  </w14:solidFill>
                </w14:textFill>
              </w:rPr>
              <w:t>4号）要求，核定建设项目的产排污环节、污染物种类及污染防治设施和措施等基本信息，严格核定排放口数量、位置以及每个排放口的污染物种类、允许排放浓度和允许排放量、排放方式、排放去向、自行监测计划等与污染物排放相关的主要内容。</w:t>
            </w:r>
          </w:p>
          <w:p w14:paraId="3DBAF095">
            <w:pPr>
              <w:adjustRightInd w:val="0"/>
              <w:snapToGrid w:val="0"/>
              <w:rPr>
                <w:color w:val="000000" w:themeColor="text1"/>
                <w:sz w:val="21"/>
                <w:szCs w:val="21"/>
                <w14:textFill>
                  <w14:solidFill>
                    <w14:schemeClr w14:val="tx1"/>
                  </w14:solidFill>
                </w14:textFill>
              </w:rPr>
            </w:pPr>
          </w:p>
          <w:p w14:paraId="506F3A26">
            <w:pPr>
              <w:adjustRightInd w:val="0"/>
              <w:snapToGrid w:val="0"/>
              <w:rPr>
                <w:color w:val="000000" w:themeColor="text1"/>
                <w:sz w:val="21"/>
                <w:szCs w:val="21"/>
                <w14:textFill>
                  <w14:solidFill>
                    <w14:schemeClr w14:val="tx1"/>
                  </w14:solidFill>
                </w14:textFill>
              </w:rPr>
            </w:pPr>
          </w:p>
          <w:p w14:paraId="371E3142">
            <w:pPr>
              <w:adjustRightInd w:val="0"/>
              <w:snapToGrid w:val="0"/>
              <w:rPr>
                <w:color w:val="000000" w:themeColor="text1"/>
                <w:sz w:val="21"/>
                <w:szCs w:val="21"/>
                <w14:textFill>
                  <w14:solidFill>
                    <w14:schemeClr w14:val="tx1"/>
                  </w14:solidFill>
                </w14:textFill>
              </w:rPr>
            </w:pPr>
          </w:p>
          <w:p w14:paraId="74B8BDBD">
            <w:pPr>
              <w:adjustRightInd w:val="0"/>
              <w:snapToGrid w:val="0"/>
              <w:rPr>
                <w:color w:val="000000" w:themeColor="text1"/>
                <w:sz w:val="21"/>
                <w:szCs w:val="21"/>
                <w14:textFill>
                  <w14:solidFill>
                    <w14:schemeClr w14:val="tx1"/>
                  </w14:solidFill>
                </w14:textFill>
              </w:rPr>
            </w:pPr>
          </w:p>
          <w:p w14:paraId="70060D2C">
            <w:pPr>
              <w:adjustRightInd w:val="0"/>
              <w:snapToGrid w:val="0"/>
              <w:rPr>
                <w:color w:val="000000" w:themeColor="text1"/>
                <w:sz w:val="21"/>
                <w:szCs w:val="21"/>
                <w14:textFill>
                  <w14:solidFill>
                    <w14:schemeClr w14:val="tx1"/>
                  </w14:solidFill>
                </w14:textFill>
              </w:rPr>
            </w:pPr>
          </w:p>
          <w:p w14:paraId="4EF0F69B">
            <w:pPr>
              <w:adjustRightInd w:val="0"/>
              <w:snapToGrid w:val="0"/>
              <w:rPr>
                <w:color w:val="000000" w:themeColor="text1"/>
                <w:sz w:val="21"/>
                <w:szCs w:val="21"/>
                <w14:textFill>
                  <w14:solidFill>
                    <w14:schemeClr w14:val="tx1"/>
                  </w14:solidFill>
                </w14:textFill>
              </w:rPr>
            </w:pPr>
          </w:p>
          <w:p w14:paraId="5FDBB50D">
            <w:pPr>
              <w:adjustRightInd w:val="0"/>
              <w:snapToGrid w:val="0"/>
              <w:rPr>
                <w:color w:val="000000" w:themeColor="text1"/>
                <w:sz w:val="21"/>
                <w:szCs w:val="21"/>
                <w14:textFill>
                  <w14:solidFill>
                    <w14:schemeClr w14:val="tx1"/>
                  </w14:solidFill>
                </w14:textFill>
              </w:rPr>
            </w:pPr>
          </w:p>
          <w:p w14:paraId="6877EB50">
            <w:pPr>
              <w:adjustRightInd w:val="0"/>
              <w:snapToGrid w:val="0"/>
              <w:rPr>
                <w:color w:val="000000" w:themeColor="text1"/>
                <w:sz w:val="21"/>
                <w:szCs w:val="21"/>
                <w14:textFill>
                  <w14:solidFill>
                    <w14:schemeClr w14:val="tx1"/>
                  </w14:solidFill>
                </w14:textFill>
              </w:rPr>
            </w:pPr>
          </w:p>
          <w:p w14:paraId="5952D80D">
            <w:pPr>
              <w:adjustRightInd w:val="0"/>
              <w:snapToGrid w:val="0"/>
              <w:rPr>
                <w:color w:val="000000" w:themeColor="text1"/>
                <w:sz w:val="21"/>
                <w:szCs w:val="21"/>
                <w14:textFill>
                  <w14:solidFill>
                    <w14:schemeClr w14:val="tx1"/>
                  </w14:solidFill>
                </w14:textFill>
              </w:rPr>
            </w:pPr>
          </w:p>
          <w:p w14:paraId="5DE179B7">
            <w:pPr>
              <w:adjustRightInd w:val="0"/>
              <w:snapToGrid w:val="0"/>
              <w:rPr>
                <w:color w:val="000000" w:themeColor="text1"/>
                <w:sz w:val="21"/>
                <w:szCs w:val="21"/>
                <w14:textFill>
                  <w14:solidFill>
                    <w14:schemeClr w14:val="tx1"/>
                  </w14:solidFill>
                </w14:textFill>
              </w:rPr>
            </w:pPr>
          </w:p>
          <w:p w14:paraId="5305545D">
            <w:pPr>
              <w:rPr>
                <w:color w:val="000000" w:themeColor="text1"/>
                <w:sz w:val="21"/>
                <w:szCs w:val="21"/>
                <w14:textFill>
                  <w14:solidFill>
                    <w14:schemeClr w14:val="tx1"/>
                  </w14:solidFill>
                </w14:textFill>
              </w:rPr>
            </w:pPr>
          </w:p>
          <w:p w14:paraId="27738E0E">
            <w:pPr>
              <w:adjustRightInd w:val="0"/>
              <w:snapToGrid w:val="0"/>
              <w:rPr>
                <w:color w:val="000000" w:themeColor="text1"/>
                <w:sz w:val="21"/>
                <w:szCs w:val="21"/>
                <w14:textFill>
                  <w14:solidFill>
                    <w14:schemeClr w14:val="tx1"/>
                  </w14:solidFill>
                </w14:textFill>
              </w:rPr>
            </w:pPr>
          </w:p>
        </w:tc>
      </w:tr>
    </w:tbl>
    <w:p w14:paraId="330CB949">
      <w:pPr>
        <w:ind w:firstLine="480"/>
        <w:rPr>
          <w:color w:val="000000" w:themeColor="text1"/>
          <w14:textFill>
            <w14:solidFill>
              <w14:schemeClr w14:val="tx1"/>
            </w14:solidFill>
          </w14:textFill>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6657E4B8">
      <w:pPr>
        <w:pStyle w:val="2"/>
        <w:numPr>
          <w:ilvl w:val="0"/>
          <w:numId w:val="0"/>
        </w:numPr>
        <w:ind w:leftChars="0" w:firstLine="3614" w:firstLineChars="1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六、结论</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5E0A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8948" w:type="dxa"/>
            <w:vAlign w:val="center"/>
          </w:tcPr>
          <w:p w14:paraId="1801468B">
            <w:pPr>
              <w:adjustRightInd w:val="0"/>
              <w:snapToGrid w:val="0"/>
              <w:ind w:firstLine="480"/>
              <w:rPr>
                <w:color w:val="000000" w:themeColor="text1"/>
                <w14:textFill>
                  <w14:solidFill>
                    <w14:schemeClr w14:val="tx1"/>
                  </w14:solidFill>
                </w14:textFill>
              </w:rPr>
            </w:pPr>
          </w:p>
          <w:p w14:paraId="2A1D3012">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从生态环境保护角度分析，本项目是可行的。</w:t>
            </w:r>
          </w:p>
          <w:p w14:paraId="508A5E8B">
            <w:pPr>
              <w:adjustRightInd w:val="0"/>
              <w:snapToGrid w:val="0"/>
              <w:ind w:firstLine="480"/>
              <w:rPr>
                <w:color w:val="000000" w:themeColor="text1"/>
                <w14:textFill>
                  <w14:solidFill>
                    <w14:schemeClr w14:val="tx1"/>
                  </w14:solidFill>
                </w14:textFill>
              </w:rPr>
            </w:pPr>
          </w:p>
          <w:p w14:paraId="3F9A2E4E">
            <w:pPr>
              <w:adjustRightInd w:val="0"/>
              <w:snapToGrid w:val="0"/>
              <w:ind w:firstLine="480"/>
              <w:rPr>
                <w:color w:val="000000" w:themeColor="text1"/>
                <w14:textFill>
                  <w14:solidFill>
                    <w14:schemeClr w14:val="tx1"/>
                  </w14:solidFill>
                </w14:textFill>
              </w:rPr>
            </w:pPr>
          </w:p>
          <w:p w14:paraId="258F8652">
            <w:pPr>
              <w:adjustRightInd w:val="0"/>
              <w:snapToGrid w:val="0"/>
              <w:ind w:firstLine="480"/>
              <w:rPr>
                <w:color w:val="000000" w:themeColor="text1"/>
                <w14:textFill>
                  <w14:solidFill>
                    <w14:schemeClr w14:val="tx1"/>
                  </w14:solidFill>
                </w14:textFill>
              </w:rPr>
            </w:pPr>
          </w:p>
          <w:p w14:paraId="7679658B">
            <w:pPr>
              <w:adjustRightInd w:val="0"/>
              <w:snapToGrid w:val="0"/>
              <w:ind w:firstLine="480"/>
              <w:rPr>
                <w:color w:val="000000" w:themeColor="text1"/>
                <w14:textFill>
                  <w14:solidFill>
                    <w14:schemeClr w14:val="tx1"/>
                  </w14:solidFill>
                </w14:textFill>
              </w:rPr>
            </w:pPr>
          </w:p>
          <w:p w14:paraId="284BA9C5">
            <w:pPr>
              <w:adjustRightInd w:val="0"/>
              <w:snapToGrid w:val="0"/>
              <w:ind w:firstLine="480"/>
              <w:rPr>
                <w:color w:val="000000" w:themeColor="text1"/>
                <w14:textFill>
                  <w14:solidFill>
                    <w14:schemeClr w14:val="tx1"/>
                  </w14:solidFill>
                </w14:textFill>
              </w:rPr>
            </w:pPr>
          </w:p>
          <w:p w14:paraId="7F317033">
            <w:pPr>
              <w:adjustRightInd w:val="0"/>
              <w:snapToGrid w:val="0"/>
              <w:ind w:firstLine="480"/>
              <w:rPr>
                <w:color w:val="000000" w:themeColor="text1"/>
                <w14:textFill>
                  <w14:solidFill>
                    <w14:schemeClr w14:val="tx1"/>
                  </w14:solidFill>
                </w14:textFill>
              </w:rPr>
            </w:pPr>
          </w:p>
          <w:p w14:paraId="0C528B7A">
            <w:pPr>
              <w:adjustRightInd w:val="0"/>
              <w:snapToGrid w:val="0"/>
              <w:ind w:firstLine="480"/>
              <w:rPr>
                <w:color w:val="000000" w:themeColor="text1"/>
                <w14:textFill>
                  <w14:solidFill>
                    <w14:schemeClr w14:val="tx1"/>
                  </w14:solidFill>
                </w14:textFill>
              </w:rPr>
            </w:pPr>
          </w:p>
          <w:p w14:paraId="4C933F30">
            <w:pPr>
              <w:adjustRightInd w:val="0"/>
              <w:snapToGrid w:val="0"/>
              <w:ind w:firstLine="480"/>
              <w:rPr>
                <w:color w:val="000000" w:themeColor="text1"/>
                <w14:textFill>
                  <w14:solidFill>
                    <w14:schemeClr w14:val="tx1"/>
                  </w14:solidFill>
                </w14:textFill>
              </w:rPr>
            </w:pPr>
          </w:p>
          <w:p w14:paraId="5DF112CD">
            <w:pPr>
              <w:adjustRightInd w:val="0"/>
              <w:snapToGrid w:val="0"/>
              <w:ind w:firstLine="480"/>
              <w:rPr>
                <w:color w:val="000000" w:themeColor="text1"/>
                <w14:textFill>
                  <w14:solidFill>
                    <w14:schemeClr w14:val="tx1"/>
                  </w14:solidFill>
                </w14:textFill>
              </w:rPr>
            </w:pPr>
          </w:p>
          <w:p w14:paraId="6AD27E64">
            <w:pPr>
              <w:adjustRightInd w:val="0"/>
              <w:snapToGrid w:val="0"/>
              <w:ind w:firstLine="480"/>
              <w:rPr>
                <w:color w:val="000000" w:themeColor="text1"/>
                <w14:textFill>
                  <w14:solidFill>
                    <w14:schemeClr w14:val="tx1"/>
                  </w14:solidFill>
                </w14:textFill>
              </w:rPr>
            </w:pPr>
          </w:p>
          <w:p w14:paraId="439B1885">
            <w:pPr>
              <w:adjustRightInd w:val="0"/>
              <w:snapToGrid w:val="0"/>
              <w:ind w:firstLine="480"/>
              <w:rPr>
                <w:color w:val="000000" w:themeColor="text1"/>
                <w14:textFill>
                  <w14:solidFill>
                    <w14:schemeClr w14:val="tx1"/>
                  </w14:solidFill>
                </w14:textFill>
              </w:rPr>
            </w:pPr>
          </w:p>
          <w:p w14:paraId="3142B940">
            <w:pPr>
              <w:adjustRightInd w:val="0"/>
              <w:snapToGrid w:val="0"/>
              <w:ind w:firstLine="480"/>
              <w:rPr>
                <w:color w:val="000000" w:themeColor="text1"/>
                <w14:textFill>
                  <w14:solidFill>
                    <w14:schemeClr w14:val="tx1"/>
                  </w14:solidFill>
                </w14:textFill>
              </w:rPr>
            </w:pPr>
          </w:p>
          <w:p w14:paraId="3E935501">
            <w:pPr>
              <w:adjustRightInd w:val="0"/>
              <w:snapToGrid w:val="0"/>
              <w:ind w:firstLine="480"/>
              <w:rPr>
                <w:color w:val="000000" w:themeColor="text1"/>
                <w14:textFill>
                  <w14:solidFill>
                    <w14:schemeClr w14:val="tx1"/>
                  </w14:solidFill>
                </w14:textFill>
              </w:rPr>
            </w:pPr>
          </w:p>
          <w:p w14:paraId="1DC66AFA">
            <w:pPr>
              <w:adjustRightInd w:val="0"/>
              <w:snapToGrid w:val="0"/>
              <w:ind w:firstLine="480"/>
              <w:rPr>
                <w:color w:val="000000" w:themeColor="text1"/>
                <w14:textFill>
                  <w14:solidFill>
                    <w14:schemeClr w14:val="tx1"/>
                  </w14:solidFill>
                </w14:textFill>
              </w:rPr>
            </w:pPr>
          </w:p>
          <w:p w14:paraId="717B3E17">
            <w:pPr>
              <w:adjustRightInd w:val="0"/>
              <w:snapToGrid w:val="0"/>
              <w:ind w:firstLine="480"/>
              <w:rPr>
                <w:color w:val="000000" w:themeColor="text1"/>
                <w14:textFill>
                  <w14:solidFill>
                    <w14:schemeClr w14:val="tx1"/>
                  </w14:solidFill>
                </w14:textFill>
              </w:rPr>
            </w:pPr>
          </w:p>
          <w:p w14:paraId="066A8694">
            <w:pPr>
              <w:adjustRightInd w:val="0"/>
              <w:snapToGrid w:val="0"/>
              <w:ind w:firstLine="480"/>
              <w:rPr>
                <w:color w:val="000000" w:themeColor="text1"/>
                <w14:textFill>
                  <w14:solidFill>
                    <w14:schemeClr w14:val="tx1"/>
                  </w14:solidFill>
                </w14:textFill>
              </w:rPr>
            </w:pPr>
          </w:p>
          <w:p w14:paraId="651B8E7C">
            <w:pPr>
              <w:adjustRightInd w:val="0"/>
              <w:snapToGrid w:val="0"/>
              <w:ind w:firstLine="480"/>
              <w:rPr>
                <w:color w:val="000000" w:themeColor="text1"/>
                <w14:textFill>
                  <w14:solidFill>
                    <w14:schemeClr w14:val="tx1"/>
                  </w14:solidFill>
                </w14:textFill>
              </w:rPr>
            </w:pPr>
          </w:p>
          <w:p w14:paraId="67476668">
            <w:pPr>
              <w:adjustRightInd w:val="0"/>
              <w:snapToGrid w:val="0"/>
              <w:ind w:firstLine="480"/>
              <w:rPr>
                <w:color w:val="000000" w:themeColor="text1"/>
                <w14:textFill>
                  <w14:solidFill>
                    <w14:schemeClr w14:val="tx1"/>
                  </w14:solidFill>
                </w14:textFill>
              </w:rPr>
            </w:pPr>
          </w:p>
          <w:p w14:paraId="2C6C4C00">
            <w:pPr>
              <w:adjustRightInd w:val="0"/>
              <w:snapToGrid w:val="0"/>
              <w:ind w:firstLine="480"/>
              <w:rPr>
                <w:color w:val="000000" w:themeColor="text1"/>
                <w14:textFill>
                  <w14:solidFill>
                    <w14:schemeClr w14:val="tx1"/>
                  </w14:solidFill>
                </w14:textFill>
              </w:rPr>
            </w:pPr>
          </w:p>
          <w:p w14:paraId="4A71C6EB">
            <w:pPr>
              <w:adjustRightInd w:val="0"/>
              <w:snapToGrid w:val="0"/>
              <w:ind w:firstLine="480"/>
              <w:rPr>
                <w:color w:val="000000" w:themeColor="text1"/>
                <w14:textFill>
                  <w14:solidFill>
                    <w14:schemeClr w14:val="tx1"/>
                  </w14:solidFill>
                </w14:textFill>
              </w:rPr>
            </w:pPr>
          </w:p>
          <w:p w14:paraId="6CA923CE">
            <w:pPr>
              <w:adjustRightInd w:val="0"/>
              <w:snapToGrid w:val="0"/>
              <w:ind w:firstLine="480"/>
              <w:rPr>
                <w:color w:val="000000" w:themeColor="text1"/>
                <w14:textFill>
                  <w14:solidFill>
                    <w14:schemeClr w14:val="tx1"/>
                  </w14:solidFill>
                </w14:textFill>
              </w:rPr>
            </w:pPr>
          </w:p>
          <w:p w14:paraId="7F6CAAC7">
            <w:pPr>
              <w:adjustRightInd w:val="0"/>
              <w:snapToGrid w:val="0"/>
              <w:ind w:firstLine="480"/>
              <w:rPr>
                <w:color w:val="000000" w:themeColor="text1"/>
                <w14:textFill>
                  <w14:solidFill>
                    <w14:schemeClr w14:val="tx1"/>
                  </w14:solidFill>
                </w14:textFill>
              </w:rPr>
            </w:pPr>
          </w:p>
          <w:p w14:paraId="491EA26E">
            <w:pPr>
              <w:adjustRightInd w:val="0"/>
              <w:snapToGrid w:val="0"/>
              <w:ind w:firstLine="480"/>
              <w:rPr>
                <w:color w:val="000000" w:themeColor="text1"/>
                <w14:textFill>
                  <w14:solidFill>
                    <w14:schemeClr w14:val="tx1"/>
                  </w14:solidFill>
                </w14:textFill>
              </w:rPr>
            </w:pPr>
          </w:p>
          <w:p w14:paraId="5D3EF444">
            <w:pPr>
              <w:adjustRightInd w:val="0"/>
              <w:snapToGrid w:val="0"/>
              <w:ind w:firstLine="480"/>
              <w:rPr>
                <w:color w:val="000000" w:themeColor="text1"/>
                <w14:textFill>
                  <w14:solidFill>
                    <w14:schemeClr w14:val="tx1"/>
                  </w14:solidFill>
                </w14:textFill>
              </w:rPr>
            </w:pPr>
          </w:p>
          <w:p w14:paraId="051B6259">
            <w:pPr>
              <w:adjustRightInd w:val="0"/>
              <w:snapToGrid w:val="0"/>
              <w:ind w:firstLine="480"/>
              <w:rPr>
                <w:color w:val="000000" w:themeColor="text1"/>
                <w14:textFill>
                  <w14:solidFill>
                    <w14:schemeClr w14:val="tx1"/>
                  </w14:solidFill>
                </w14:textFill>
              </w:rPr>
            </w:pPr>
          </w:p>
          <w:p w14:paraId="5A2ADC26">
            <w:pPr>
              <w:adjustRightInd w:val="0"/>
              <w:snapToGrid w:val="0"/>
              <w:ind w:firstLine="480"/>
              <w:rPr>
                <w:color w:val="000000" w:themeColor="text1"/>
                <w14:textFill>
                  <w14:solidFill>
                    <w14:schemeClr w14:val="tx1"/>
                  </w14:solidFill>
                </w14:textFill>
              </w:rPr>
            </w:pPr>
          </w:p>
          <w:p w14:paraId="168511DB">
            <w:pPr>
              <w:adjustRightInd w:val="0"/>
              <w:snapToGrid w:val="0"/>
              <w:ind w:firstLine="480"/>
              <w:rPr>
                <w:color w:val="000000" w:themeColor="text1"/>
                <w14:textFill>
                  <w14:solidFill>
                    <w14:schemeClr w14:val="tx1"/>
                  </w14:solidFill>
                </w14:textFill>
              </w:rPr>
            </w:pPr>
          </w:p>
          <w:p w14:paraId="75104295">
            <w:pPr>
              <w:adjustRightInd w:val="0"/>
              <w:snapToGrid w:val="0"/>
              <w:ind w:firstLine="480"/>
              <w:rPr>
                <w:color w:val="000000" w:themeColor="text1"/>
                <w14:textFill>
                  <w14:solidFill>
                    <w14:schemeClr w14:val="tx1"/>
                  </w14:solidFill>
                </w14:textFill>
              </w:rPr>
            </w:pPr>
          </w:p>
          <w:p w14:paraId="0E767C11">
            <w:pPr>
              <w:adjustRightInd w:val="0"/>
              <w:snapToGrid w:val="0"/>
              <w:ind w:firstLine="480"/>
              <w:rPr>
                <w:color w:val="000000" w:themeColor="text1"/>
                <w14:textFill>
                  <w14:solidFill>
                    <w14:schemeClr w14:val="tx1"/>
                  </w14:solidFill>
                </w14:textFill>
              </w:rPr>
            </w:pPr>
          </w:p>
        </w:tc>
      </w:tr>
    </w:tbl>
    <w:p w14:paraId="4D9703DB">
      <w:pPr>
        <w:ind w:firstLine="480"/>
        <w:rPr>
          <w:color w:val="000000" w:themeColor="text1"/>
          <w14:textFill>
            <w14:solidFill>
              <w14:schemeClr w14:val="tx1"/>
            </w14:solidFill>
          </w14:textFill>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46BF6426">
      <w:pPr>
        <w:pStyle w:val="2"/>
        <w:numPr>
          <w:ilvl w:val="0"/>
          <w:numId w:val="0"/>
        </w:numPr>
        <w:ind w:leftChars="0" w:firstLine="4518" w:firstLineChars="15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建设项目污染物排放量汇总表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900"/>
        <w:gridCol w:w="1700"/>
        <w:gridCol w:w="1580"/>
        <w:gridCol w:w="1580"/>
        <w:gridCol w:w="1580"/>
        <w:gridCol w:w="1580"/>
        <w:gridCol w:w="1580"/>
        <w:gridCol w:w="1875"/>
        <w:gridCol w:w="1289"/>
      </w:tblGrid>
      <w:tr w14:paraId="583A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410"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B8573D6">
            <w:pPr>
              <w:adjustRightInd w:val="0"/>
              <w:snapToGrid w:val="0"/>
              <w:spacing w:line="240" w:lineRule="auto"/>
              <w:ind w:firstLine="0" w:firstLineChars="0"/>
              <w:jc w:val="center"/>
              <w:rPr>
                <w:color w:val="000000" w:themeColor="text1"/>
                <w:sz w:val="21"/>
                <w:szCs w:val="21"/>
                <w14:textFill>
                  <w14:solidFill>
                    <w14:schemeClr w14:val="tx1"/>
                  </w14:solidFill>
                </w14:textFill>
              </w:rPr>
            </w:pPr>
          </w:p>
          <w:p w14:paraId="5784E077">
            <w:pPr>
              <w:adjustRightInd w:val="0"/>
              <w:snapToGrid w:val="0"/>
              <w:spacing w:line="240" w:lineRule="auto"/>
              <w:ind w:firstLine="0" w:firstLineChars="0"/>
              <w:jc w:val="center"/>
              <w:rPr>
                <w:color w:val="000000" w:themeColor="text1"/>
                <w:sz w:val="21"/>
                <w:szCs w:val="21"/>
                <w14:textFill>
                  <w14:solidFill>
                    <w14:schemeClr w14:val="tx1"/>
                  </w14:solidFill>
                </w14:textFill>
              </w:rPr>
            </w:pPr>
          </w:p>
          <w:p w14:paraId="68BF8937">
            <w:pPr>
              <w:adjustRightInd w:val="0"/>
              <w:snapToGrid w:val="0"/>
              <w:spacing w:line="240" w:lineRule="auto"/>
              <w:ind w:firstLine="0" w:firstLineChars="0"/>
              <w:jc w:val="both"/>
              <mc:AlternateContent>
                <mc:Choice Requires="wpsCustomData">
                  <wpsCustomData:diagonalParaType/>
                </mc:Choice>
              </mc:AlternateConten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分类</w:t>
            </w:r>
          </w:p>
          <w:p w14:paraId="3931259E">
            <w:pPr>
              <w:adjustRightInd w:val="0"/>
              <w:snapToGri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    项目</w:t>
            </w:r>
          </w:p>
        </w:tc>
        <w:tc>
          <w:tcPr>
            <w:tcW w:w="1700" w:type="dxa"/>
            <w:vAlign w:val="center"/>
          </w:tcPr>
          <w:p w14:paraId="1C6E4CF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污染物名称</w:t>
            </w:r>
          </w:p>
        </w:tc>
        <w:tc>
          <w:tcPr>
            <w:tcW w:w="1580" w:type="dxa"/>
            <w:vAlign w:val="center"/>
          </w:tcPr>
          <w:p w14:paraId="62B6C09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现有工程排放量（固体废物产生量）①</w:t>
            </w:r>
          </w:p>
        </w:tc>
        <w:tc>
          <w:tcPr>
            <w:tcW w:w="1580" w:type="dxa"/>
            <w:vAlign w:val="center"/>
          </w:tcPr>
          <w:p w14:paraId="43FF95D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现有工程许可排放量②</w:t>
            </w:r>
          </w:p>
        </w:tc>
        <w:tc>
          <w:tcPr>
            <w:tcW w:w="1580" w:type="dxa"/>
            <w:vAlign w:val="center"/>
          </w:tcPr>
          <w:p w14:paraId="4E0CBEC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在建工程排放量（固体废物产生量）③</w:t>
            </w:r>
          </w:p>
        </w:tc>
        <w:tc>
          <w:tcPr>
            <w:tcW w:w="1580" w:type="dxa"/>
            <w:vAlign w:val="center"/>
          </w:tcPr>
          <w:p w14:paraId="34C4E78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本项目排放量（固体废物产生量）④</w:t>
            </w:r>
          </w:p>
        </w:tc>
        <w:tc>
          <w:tcPr>
            <w:tcW w:w="1580" w:type="dxa"/>
            <w:vAlign w:val="center"/>
          </w:tcPr>
          <w:p w14:paraId="403D67E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以新代老削减量（新建项目不填）⑤</w:t>
            </w:r>
          </w:p>
        </w:tc>
        <w:tc>
          <w:tcPr>
            <w:tcW w:w="1875" w:type="dxa"/>
            <w:vAlign w:val="center"/>
          </w:tcPr>
          <w:p w14:paraId="75BD24D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本项目建成后全厂排放量（固体废物产生量）⑥</w:t>
            </w:r>
          </w:p>
        </w:tc>
        <w:tc>
          <w:tcPr>
            <w:tcW w:w="1289" w:type="dxa"/>
            <w:vAlign w:val="center"/>
          </w:tcPr>
          <w:p w14:paraId="38AA27C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变化量⑦</w:t>
            </w:r>
          </w:p>
        </w:tc>
      </w:tr>
      <w:tr w14:paraId="36BA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restart"/>
            <w:vAlign w:val="center"/>
          </w:tcPr>
          <w:p w14:paraId="363D67D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1700" w:type="dxa"/>
            <w:shd w:val="clear" w:color="auto" w:fill="auto"/>
            <w:vAlign w:val="center"/>
          </w:tcPr>
          <w:p w14:paraId="37E6827D">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颗粒物</w:t>
            </w:r>
          </w:p>
        </w:tc>
        <w:tc>
          <w:tcPr>
            <w:tcW w:w="1580" w:type="dxa"/>
            <w:vAlign w:val="center"/>
          </w:tcPr>
          <w:p w14:paraId="48DEF24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05498B0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3BF1192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vAlign w:val="center"/>
          </w:tcPr>
          <w:p w14:paraId="1C6170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0.0023t/a</w:t>
            </w:r>
          </w:p>
        </w:tc>
        <w:tc>
          <w:tcPr>
            <w:tcW w:w="1580" w:type="dxa"/>
            <w:vAlign w:val="center"/>
          </w:tcPr>
          <w:p w14:paraId="663F5CE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7DE42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0.0023t/a</w:t>
            </w:r>
          </w:p>
        </w:tc>
        <w:tc>
          <w:tcPr>
            <w:tcW w:w="1289" w:type="dxa"/>
            <w:shd w:val="clear" w:color="auto" w:fill="auto"/>
            <w:vAlign w:val="center"/>
          </w:tcPr>
          <w:p w14:paraId="14539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+0.0023t/a</w:t>
            </w:r>
          </w:p>
        </w:tc>
      </w:tr>
      <w:tr w14:paraId="4F0C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1FB83D34">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360E0D21">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非甲烷总烃</w:t>
            </w:r>
          </w:p>
        </w:tc>
        <w:tc>
          <w:tcPr>
            <w:tcW w:w="1580" w:type="dxa"/>
            <w:vAlign w:val="center"/>
          </w:tcPr>
          <w:p w14:paraId="27D4393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5328C22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124B41A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vAlign w:val="center"/>
          </w:tcPr>
          <w:p w14:paraId="56FB1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0.1839</w:t>
            </w:r>
            <w:r>
              <w:rPr>
                <w:rFonts w:hint="eastAsia"/>
                <w:sz w:val="21"/>
                <w:szCs w:val="21"/>
                <w:vertAlign w:val="baseline"/>
                <w:lang w:val="en-US" w:eastAsia="zh-CN"/>
              </w:rPr>
              <w:t>t/a</w:t>
            </w:r>
          </w:p>
        </w:tc>
        <w:tc>
          <w:tcPr>
            <w:tcW w:w="1580" w:type="dxa"/>
            <w:vAlign w:val="center"/>
          </w:tcPr>
          <w:p w14:paraId="3037E8F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13839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0.1839t/a</w:t>
            </w:r>
          </w:p>
        </w:tc>
        <w:tc>
          <w:tcPr>
            <w:tcW w:w="1289" w:type="dxa"/>
            <w:shd w:val="clear" w:color="auto" w:fill="auto"/>
            <w:vAlign w:val="center"/>
          </w:tcPr>
          <w:p w14:paraId="2D95D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+0.1839t/a</w:t>
            </w:r>
          </w:p>
        </w:tc>
      </w:tr>
      <w:tr w14:paraId="6362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60537937">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735B78FD">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一氧化碳</w:t>
            </w:r>
          </w:p>
        </w:tc>
        <w:tc>
          <w:tcPr>
            <w:tcW w:w="1580" w:type="dxa"/>
            <w:vAlign w:val="center"/>
          </w:tcPr>
          <w:p w14:paraId="3359775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19C6F50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7F7E1D7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vAlign w:val="center"/>
          </w:tcPr>
          <w:p w14:paraId="60BDA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0143</w:t>
            </w:r>
            <w:r>
              <w:rPr>
                <w:rFonts w:hint="eastAsia"/>
                <w:sz w:val="21"/>
                <w:szCs w:val="21"/>
                <w:vertAlign w:val="baseline"/>
                <w:lang w:val="en-US" w:eastAsia="zh-CN"/>
              </w:rPr>
              <w:t>t/a</w:t>
            </w:r>
          </w:p>
        </w:tc>
        <w:tc>
          <w:tcPr>
            <w:tcW w:w="1580" w:type="dxa"/>
            <w:vAlign w:val="center"/>
          </w:tcPr>
          <w:p w14:paraId="37C0281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053A5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0143t/a</w:t>
            </w:r>
          </w:p>
        </w:tc>
        <w:tc>
          <w:tcPr>
            <w:tcW w:w="1289" w:type="dxa"/>
            <w:shd w:val="clear" w:color="auto" w:fill="auto"/>
            <w:vAlign w:val="center"/>
          </w:tcPr>
          <w:p w14:paraId="71D01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+0143t/a</w:t>
            </w:r>
          </w:p>
        </w:tc>
      </w:tr>
      <w:tr w14:paraId="0844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6165D38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2610BB8A">
            <w:pPr>
              <w:pStyle w:val="26"/>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氯化氢</w:t>
            </w:r>
          </w:p>
        </w:tc>
        <w:tc>
          <w:tcPr>
            <w:tcW w:w="1580" w:type="dxa"/>
            <w:vAlign w:val="center"/>
          </w:tcPr>
          <w:p w14:paraId="33E3669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6D14DF1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15197CE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vAlign w:val="center"/>
          </w:tcPr>
          <w:p w14:paraId="0AFE8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0.0009</w:t>
            </w:r>
            <w:r>
              <w:rPr>
                <w:rFonts w:hint="eastAsia"/>
                <w:sz w:val="21"/>
                <w:szCs w:val="21"/>
                <w:vertAlign w:val="baseline"/>
                <w:lang w:val="en-US" w:eastAsia="zh-CN"/>
              </w:rPr>
              <w:t>t/a</w:t>
            </w:r>
          </w:p>
        </w:tc>
        <w:tc>
          <w:tcPr>
            <w:tcW w:w="1580" w:type="dxa"/>
            <w:vAlign w:val="center"/>
          </w:tcPr>
          <w:p w14:paraId="05BFB32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12D90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0.0009t/a</w:t>
            </w:r>
          </w:p>
        </w:tc>
        <w:tc>
          <w:tcPr>
            <w:tcW w:w="1289" w:type="dxa"/>
            <w:shd w:val="clear" w:color="auto" w:fill="auto"/>
            <w:vAlign w:val="center"/>
          </w:tcPr>
          <w:p w14:paraId="63640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color w:val="000000" w:themeColor="text1"/>
                <w:kern w:val="2"/>
                <w:sz w:val="21"/>
                <w:szCs w:val="21"/>
                <w:lang w:val="en-US" w:eastAsia="zh-CN" w:bidi="ar-SA"/>
                <w14:textFill>
                  <w14:solidFill>
                    <w14:schemeClr w14:val="tx1"/>
                  </w14:solidFill>
                </w14:textFill>
              </w:rPr>
            </w:pPr>
            <w:r>
              <w:rPr>
                <w:rFonts w:hint="eastAsia"/>
                <w:sz w:val="21"/>
                <w:szCs w:val="21"/>
                <w:vertAlign w:val="baseline"/>
                <w:lang w:val="en-US" w:eastAsia="zh-CN"/>
              </w:rPr>
              <w:t>+0.0009t/a</w:t>
            </w:r>
          </w:p>
        </w:tc>
      </w:tr>
      <w:tr w14:paraId="316C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1E9B44C6">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vAlign w:val="center"/>
          </w:tcPr>
          <w:p w14:paraId="7ED84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其他C类物质</w:t>
            </w:r>
          </w:p>
        </w:tc>
        <w:tc>
          <w:tcPr>
            <w:tcW w:w="1580" w:type="dxa"/>
            <w:vAlign w:val="center"/>
          </w:tcPr>
          <w:p w14:paraId="2B090983">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5784B8E5">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4C2B0219">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shd w:val="clear"/>
            <w:vAlign w:val="center"/>
          </w:tcPr>
          <w:p w14:paraId="79ACB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0.00004</w:t>
            </w:r>
            <w:r>
              <w:rPr>
                <w:rFonts w:hint="eastAsia"/>
                <w:sz w:val="21"/>
                <w:szCs w:val="21"/>
                <w:vertAlign w:val="baseline"/>
                <w:lang w:val="en-US" w:eastAsia="zh-CN"/>
              </w:rPr>
              <w:t>t/a</w:t>
            </w:r>
          </w:p>
        </w:tc>
        <w:tc>
          <w:tcPr>
            <w:tcW w:w="1580" w:type="dxa"/>
            <w:vAlign w:val="center"/>
          </w:tcPr>
          <w:p w14:paraId="11C36937">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875" w:type="dxa"/>
            <w:shd w:val="clear" w:color="auto" w:fill="auto"/>
            <w:vAlign w:val="center"/>
          </w:tcPr>
          <w:p w14:paraId="7A5A0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0.00004t/a</w:t>
            </w:r>
          </w:p>
        </w:tc>
        <w:tc>
          <w:tcPr>
            <w:tcW w:w="1289" w:type="dxa"/>
            <w:shd w:val="clear" w:color="auto" w:fill="auto"/>
            <w:vAlign w:val="center"/>
          </w:tcPr>
          <w:p w14:paraId="23480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+0.00004t/a</w:t>
            </w:r>
          </w:p>
        </w:tc>
      </w:tr>
      <w:tr w14:paraId="568F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131A1B1B">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vAlign w:val="center"/>
          </w:tcPr>
          <w:p w14:paraId="6E787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其他A类物质</w:t>
            </w:r>
          </w:p>
        </w:tc>
        <w:tc>
          <w:tcPr>
            <w:tcW w:w="1580" w:type="dxa"/>
            <w:vAlign w:val="center"/>
          </w:tcPr>
          <w:p w14:paraId="4AF788CE">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37A92B5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3EB709F6">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shd w:val="clear"/>
            <w:vAlign w:val="center"/>
          </w:tcPr>
          <w:p w14:paraId="064ED7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0.00002</w:t>
            </w:r>
            <w:r>
              <w:rPr>
                <w:rFonts w:hint="eastAsia"/>
                <w:sz w:val="21"/>
                <w:szCs w:val="21"/>
                <w:vertAlign w:val="baseline"/>
                <w:lang w:val="en-US" w:eastAsia="zh-CN"/>
              </w:rPr>
              <w:t>t/a</w:t>
            </w:r>
          </w:p>
        </w:tc>
        <w:tc>
          <w:tcPr>
            <w:tcW w:w="1580" w:type="dxa"/>
            <w:vAlign w:val="center"/>
          </w:tcPr>
          <w:p w14:paraId="5D979899">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875" w:type="dxa"/>
            <w:shd w:val="clear" w:color="auto" w:fill="auto"/>
            <w:vAlign w:val="center"/>
          </w:tcPr>
          <w:p w14:paraId="50CC4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0.00002t/a</w:t>
            </w:r>
          </w:p>
        </w:tc>
        <w:tc>
          <w:tcPr>
            <w:tcW w:w="1289" w:type="dxa"/>
            <w:shd w:val="clear" w:color="auto" w:fill="auto"/>
            <w:vAlign w:val="center"/>
          </w:tcPr>
          <w:p w14:paraId="1727F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+0.00002t/a</w:t>
            </w:r>
          </w:p>
        </w:tc>
      </w:tr>
      <w:tr w14:paraId="1C60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tcBorders/>
            <w:vAlign w:val="center"/>
          </w:tcPr>
          <w:p w14:paraId="53B8406E">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vAlign w:val="center"/>
          </w:tcPr>
          <w:p w14:paraId="5FCA6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甲醇</w:t>
            </w:r>
          </w:p>
        </w:tc>
        <w:tc>
          <w:tcPr>
            <w:tcW w:w="1580" w:type="dxa"/>
            <w:vAlign w:val="center"/>
          </w:tcPr>
          <w:p w14:paraId="16F8E9F5">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6BB83E18">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3E970AEB">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shd w:val="clear"/>
            <w:vAlign w:val="center"/>
          </w:tcPr>
          <w:p w14:paraId="2342B1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0.00005</w:t>
            </w:r>
            <w:r>
              <w:rPr>
                <w:rFonts w:hint="eastAsia"/>
                <w:sz w:val="21"/>
                <w:szCs w:val="21"/>
                <w:vertAlign w:val="baseline"/>
                <w:lang w:val="en-US" w:eastAsia="zh-CN"/>
              </w:rPr>
              <w:t>t/a</w:t>
            </w:r>
          </w:p>
        </w:tc>
        <w:tc>
          <w:tcPr>
            <w:tcW w:w="1580" w:type="dxa"/>
            <w:vAlign w:val="center"/>
          </w:tcPr>
          <w:p w14:paraId="0FD7F2D1">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875" w:type="dxa"/>
            <w:shd w:val="clear" w:color="auto" w:fill="auto"/>
            <w:vAlign w:val="center"/>
          </w:tcPr>
          <w:p w14:paraId="7407A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0.00005t/a</w:t>
            </w:r>
          </w:p>
        </w:tc>
        <w:tc>
          <w:tcPr>
            <w:tcW w:w="1289" w:type="dxa"/>
            <w:shd w:val="clear" w:color="auto" w:fill="auto"/>
            <w:vAlign w:val="center"/>
          </w:tcPr>
          <w:p w14:paraId="4C94C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vertAlign w:val="baseline"/>
                <w:lang w:val="en-US" w:eastAsia="zh-CN"/>
              </w:rPr>
              <w:t>+0.00005t/a</w:t>
            </w:r>
          </w:p>
        </w:tc>
      </w:tr>
      <w:tr w14:paraId="792C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restart"/>
            <w:tcBorders>
              <w:top w:val="single" w:color="auto" w:sz="4" w:space="0"/>
            </w:tcBorders>
            <w:vAlign w:val="center"/>
          </w:tcPr>
          <w:p w14:paraId="11CB97C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1700" w:type="dxa"/>
            <w:tcBorders>
              <w:top w:val="single" w:color="auto" w:sz="4" w:space="0"/>
            </w:tcBorders>
            <w:shd w:val="clear" w:color="auto" w:fill="auto"/>
            <w:vAlign w:val="center"/>
          </w:tcPr>
          <w:p w14:paraId="1C62E409">
            <w:pPr>
              <w:pStyle w:val="26"/>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r>
              <w:rPr>
                <w:rFonts w:hint="eastAsia"/>
                <w:color w:val="000000" w:themeColor="text1"/>
                <w:sz w:val="21"/>
                <w:szCs w:val="21"/>
                <w:vertAlign w:val="subscript"/>
                <w14:textFill>
                  <w14:solidFill>
                    <w14:schemeClr w14:val="tx1"/>
                  </w14:solidFill>
                </w14:textFill>
              </w:rPr>
              <w:t>cr</w:t>
            </w:r>
          </w:p>
        </w:tc>
        <w:tc>
          <w:tcPr>
            <w:tcW w:w="1580" w:type="dxa"/>
            <w:vAlign w:val="center"/>
          </w:tcPr>
          <w:p w14:paraId="21CC9E1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2013F50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4308667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1B3E1F1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0.2027</w:t>
            </w:r>
            <w:r>
              <w:rPr>
                <w:rFonts w:hint="eastAsia"/>
                <w:color w:val="000000" w:themeColor="text1"/>
                <w:sz w:val="21"/>
                <w:szCs w:val="21"/>
                <w14:textFill>
                  <w14:solidFill>
                    <w14:schemeClr w14:val="tx1"/>
                  </w14:solidFill>
                </w14:textFill>
              </w:rPr>
              <w:t>t/a</w:t>
            </w:r>
          </w:p>
        </w:tc>
        <w:tc>
          <w:tcPr>
            <w:tcW w:w="1580" w:type="dxa"/>
            <w:shd w:val="clear" w:color="auto" w:fill="auto"/>
            <w:vAlign w:val="center"/>
          </w:tcPr>
          <w:p w14:paraId="0C0A04D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66DA082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0.2027</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44F3DB5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+0.2027</w:t>
            </w:r>
            <w:r>
              <w:rPr>
                <w:rFonts w:hint="eastAsia"/>
                <w:color w:val="000000" w:themeColor="text1"/>
                <w:sz w:val="21"/>
                <w:szCs w:val="21"/>
                <w14:textFill>
                  <w14:solidFill>
                    <w14:schemeClr w14:val="tx1"/>
                  </w14:solidFill>
                </w14:textFill>
              </w:rPr>
              <w:t>t/a</w:t>
            </w:r>
          </w:p>
        </w:tc>
      </w:tr>
      <w:tr w14:paraId="3AD7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gridSpan w:val="2"/>
            <w:vMerge w:val="continue"/>
            <w:vAlign w:val="center"/>
          </w:tcPr>
          <w:p w14:paraId="37C4AC2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5FE95744">
            <w:pPr>
              <w:pStyle w:val="26"/>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氨氮</w:t>
            </w:r>
          </w:p>
        </w:tc>
        <w:tc>
          <w:tcPr>
            <w:tcW w:w="1580" w:type="dxa"/>
            <w:vAlign w:val="center"/>
          </w:tcPr>
          <w:p w14:paraId="06A7F52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5A25389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72FDAEF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1CF9A60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0.0264</w:t>
            </w:r>
            <w:r>
              <w:rPr>
                <w:rFonts w:hint="eastAsia"/>
                <w:color w:val="000000" w:themeColor="text1"/>
                <w:sz w:val="21"/>
                <w:szCs w:val="21"/>
                <w14:textFill>
                  <w14:solidFill>
                    <w14:schemeClr w14:val="tx1"/>
                  </w14:solidFill>
                </w14:textFill>
              </w:rPr>
              <w:t>t/a</w:t>
            </w:r>
          </w:p>
        </w:tc>
        <w:tc>
          <w:tcPr>
            <w:tcW w:w="1580" w:type="dxa"/>
            <w:vAlign w:val="center"/>
          </w:tcPr>
          <w:p w14:paraId="2145102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519CBC9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0.0264</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3C5F140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+0.0264</w:t>
            </w:r>
            <w:r>
              <w:rPr>
                <w:rFonts w:hint="eastAsia"/>
                <w:color w:val="000000" w:themeColor="text1"/>
                <w:sz w:val="21"/>
                <w:szCs w:val="21"/>
                <w14:textFill>
                  <w14:solidFill>
                    <w14:schemeClr w14:val="tx1"/>
                  </w14:solidFill>
                </w14:textFill>
              </w:rPr>
              <w:t>t/a</w:t>
            </w:r>
          </w:p>
        </w:tc>
      </w:tr>
      <w:tr w14:paraId="31C1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restart"/>
            <w:tcBorders>
              <w:right w:val="single" w:color="000000" w:sz="4" w:space="0"/>
            </w:tcBorders>
            <w:vAlign w:val="center"/>
          </w:tcPr>
          <w:p w14:paraId="0A0AB71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固体废物</w:t>
            </w:r>
          </w:p>
        </w:tc>
        <w:tc>
          <w:tcPr>
            <w:tcW w:w="2600" w:type="dxa"/>
            <w:gridSpan w:val="2"/>
            <w:tcBorders>
              <w:left w:val="single" w:color="000000" w:sz="4" w:space="0"/>
            </w:tcBorders>
            <w:vAlign w:val="center"/>
          </w:tcPr>
          <w:p w14:paraId="3CF2520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1580" w:type="dxa"/>
            <w:shd w:val="clear" w:color="auto" w:fill="auto"/>
            <w:vAlign w:val="center"/>
          </w:tcPr>
          <w:p w14:paraId="2D8D7DA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0F2B6F2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6677F73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7D78921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r>
              <w:rPr>
                <w:rFonts w:hint="eastAsia"/>
                <w:color w:val="000000" w:themeColor="text1"/>
                <w:sz w:val="21"/>
                <w:szCs w:val="21"/>
                <w14:textFill>
                  <w14:solidFill>
                    <w14:schemeClr w14:val="tx1"/>
                  </w14:solidFill>
                </w14:textFill>
              </w:rPr>
              <w:t>t/a</w:t>
            </w:r>
          </w:p>
        </w:tc>
        <w:tc>
          <w:tcPr>
            <w:tcW w:w="1580" w:type="dxa"/>
            <w:shd w:val="clear" w:color="auto" w:fill="auto"/>
            <w:vAlign w:val="center"/>
          </w:tcPr>
          <w:p w14:paraId="54A3CCA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shd w:val="clear" w:color="auto" w:fill="auto"/>
            <w:vAlign w:val="center"/>
          </w:tcPr>
          <w:p w14:paraId="4D83036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0372853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r>
              <w:rPr>
                <w:rFonts w:hint="eastAsia"/>
                <w:color w:val="000000" w:themeColor="text1"/>
                <w:sz w:val="21"/>
                <w:szCs w:val="21"/>
                <w14:textFill>
                  <w14:solidFill>
                    <w14:schemeClr w14:val="tx1"/>
                  </w14:solidFill>
                </w14:textFill>
              </w:rPr>
              <w:t>t/a</w:t>
            </w:r>
          </w:p>
        </w:tc>
      </w:tr>
      <w:tr w14:paraId="606E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389BBB7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restart"/>
            <w:tcBorders>
              <w:left w:val="single" w:color="000000" w:sz="4" w:space="0"/>
            </w:tcBorders>
            <w:vAlign w:val="center"/>
          </w:tcPr>
          <w:p w14:paraId="1F348AA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一般工业固体废物</w:t>
            </w:r>
          </w:p>
        </w:tc>
        <w:tc>
          <w:tcPr>
            <w:tcW w:w="1700" w:type="dxa"/>
            <w:shd w:val="clear" w:color="auto" w:fill="auto"/>
            <w:vAlign w:val="center"/>
          </w:tcPr>
          <w:p w14:paraId="3494BED1">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废包装物</w:t>
            </w:r>
          </w:p>
        </w:tc>
        <w:tc>
          <w:tcPr>
            <w:tcW w:w="1580" w:type="dxa"/>
            <w:vAlign w:val="center"/>
          </w:tcPr>
          <w:p w14:paraId="5156D3A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39E404B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78C1C93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7F30D00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0.50</w:t>
            </w:r>
            <w:r>
              <w:rPr>
                <w:rFonts w:hint="eastAsia"/>
                <w:color w:val="000000" w:themeColor="text1"/>
                <w:sz w:val="21"/>
                <w:szCs w:val="21"/>
                <w14:textFill>
                  <w14:solidFill>
                    <w14:schemeClr w14:val="tx1"/>
                  </w14:solidFill>
                </w14:textFill>
              </w:rPr>
              <w:t>t/a</w:t>
            </w:r>
          </w:p>
        </w:tc>
        <w:tc>
          <w:tcPr>
            <w:tcW w:w="1580" w:type="dxa"/>
            <w:vAlign w:val="center"/>
          </w:tcPr>
          <w:p w14:paraId="645BD75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6E6E0D4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69776A7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+0.50</w:t>
            </w:r>
            <w:r>
              <w:rPr>
                <w:rFonts w:hint="eastAsia"/>
                <w:color w:val="000000" w:themeColor="text1"/>
                <w:sz w:val="21"/>
                <w:szCs w:val="21"/>
                <w14:textFill>
                  <w14:solidFill>
                    <w14:schemeClr w14:val="tx1"/>
                  </w14:solidFill>
                </w14:textFill>
              </w:rPr>
              <w:t>t/a</w:t>
            </w:r>
          </w:p>
        </w:tc>
      </w:tr>
      <w:tr w14:paraId="3EC2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60ABEE92">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73E1BB04">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700" w:type="dxa"/>
            <w:shd w:val="clear" w:color="auto" w:fill="auto"/>
            <w:vAlign w:val="center"/>
          </w:tcPr>
          <w:p w14:paraId="0620551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废样品</w:t>
            </w:r>
          </w:p>
        </w:tc>
        <w:tc>
          <w:tcPr>
            <w:tcW w:w="1580" w:type="dxa"/>
            <w:vAlign w:val="center"/>
          </w:tcPr>
          <w:p w14:paraId="32DD52E7">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6E39D865">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14178EE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580" w:type="dxa"/>
            <w:vAlign w:val="center"/>
          </w:tcPr>
          <w:p w14:paraId="535C7F91">
            <w:pPr>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r>
              <w:rPr>
                <w:rFonts w:hint="eastAsia"/>
                <w:color w:val="000000" w:themeColor="text1"/>
                <w:sz w:val="21"/>
                <w:szCs w:val="21"/>
                <w14:textFill>
                  <w14:solidFill>
                    <w14:schemeClr w14:val="tx1"/>
                  </w14:solidFill>
                </w14:textFill>
              </w:rPr>
              <w:t>t/a</w:t>
            </w:r>
          </w:p>
        </w:tc>
        <w:tc>
          <w:tcPr>
            <w:tcW w:w="1580" w:type="dxa"/>
            <w:vAlign w:val="center"/>
          </w:tcPr>
          <w:p w14:paraId="31041368">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875" w:type="dxa"/>
            <w:vAlign w:val="center"/>
          </w:tcPr>
          <w:p w14:paraId="42AB5760">
            <w:pPr>
              <w:adjustRightInd w:val="0"/>
              <w:snapToGri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144A2B42">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r>
              <w:rPr>
                <w:rFonts w:hint="eastAsia"/>
                <w:color w:val="000000" w:themeColor="text1"/>
                <w:sz w:val="21"/>
                <w:szCs w:val="21"/>
                <w14:textFill>
                  <w14:solidFill>
                    <w14:schemeClr w14:val="tx1"/>
                  </w14:solidFill>
                </w14:textFill>
              </w:rPr>
              <w:t>t/a</w:t>
            </w:r>
          </w:p>
        </w:tc>
      </w:tr>
      <w:tr w14:paraId="2E45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1E2D6EBF">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3612BF0E">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4D55135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废试验残留样品</w:t>
            </w:r>
          </w:p>
        </w:tc>
        <w:tc>
          <w:tcPr>
            <w:tcW w:w="1580" w:type="dxa"/>
            <w:vAlign w:val="center"/>
          </w:tcPr>
          <w:p w14:paraId="3507656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208AC0F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55EF708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61E812F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w:t>
            </w:r>
            <w:r>
              <w:rPr>
                <w:rFonts w:hint="eastAsia"/>
                <w:color w:val="000000" w:themeColor="text1"/>
                <w:sz w:val="21"/>
                <w:szCs w:val="21"/>
                <w14:textFill>
                  <w14:solidFill>
                    <w14:schemeClr w14:val="tx1"/>
                  </w14:solidFill>
                </w14:textFill>
              </w:rPr>
              <w:t>t/a</w:t>
            </w:r>
          </w:p>
        </w:tc>
        <w:tc>
          <w:tcPr>
            <w:tcW w:w="1580" w:type="dxa"/>
            <w:vAlign w:val="center"/>
          </w:tcPr>
          <w:p w14:paraId="374C77D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41D9391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1CB10C3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+0.20</w:t>
            </w:r>
            <w:r>
              <w:rPr>
                <w:rFonts w:hint="eastAsia"/>
                <w:color w:val="000000" w:themeColor="text1"/>
                <w:sz w:val="21"/>
                <w:szCs w:val="21"/>
                <w14:textFill>
                  <w14:solidFill>
                    <w14:schemeClr w14:val="tx1"/>
                  </w14:solidFill>
                </w14:textFill>
              </w:rPr>
              <w:t>t/a</w:t>
            </w:r>
          </w:p>
        </w:tc>
      </w:tr>
      <w:tr w14:paraId="3AD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6C49A7FA">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2472145B">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700" w:type="dxa"/>
            <w:shd w:val="clear" w:color="auto" w:fill="auto"/>
            <w:vAlign w:val="center"/>
          </w:tcPr>
          <w:p w14:paraId="3118358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废布袋</w:t>
            </w:r>
          </w:p>
        </w:tc>
        <w:tc>
          <w:tcPr>
            <w:tcW w:w="1580" w:type="dxa"/>
            <w:shd w:val="clear" w:color="auto" w:fill="auto"/>
            <w:vAlign w:val="center"/>
          </w:tcPr>
          <w:p w14:paraId="1C67CEE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5C5A12A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50ACD58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vAlign w:val="center"/>
          </w:tcPr>
          <w:p w14:paraId="2F5F761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c>
          <w:tcPr>
            <w:tcW w:w="1580" w:type="dxa"/>
            <w:vAlign w:val="center"/>
          </w:tcPr>
          <w:p w14:paraId="0302105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4B1D430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3099FF0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r>
      <w:tr w14:paraId="2E29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74F75CEC">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restart"/>
            <w:tcBorders>
              <w:top w:val="single" w:color="000000" w:sz="4" w:space="0"/>
              <w:left w:val="single" w:color="000000" w:sz="4" w:space="0"/>
            </w:tcBorders>
            <w:vAlign w:val="center"/>
          </w:tcPr>
          <w:p w14:paraId="45E8B98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700" w:type="dxa"/>
            <w:tcBorders>
              <w:top w:val="single" w:color="000000" w:sz="4" w:space="0"/>
              <w:bottom w:val="single" w:color="000000" w:sz="4" w:space="0"/>
            </w:tcBorders>
            <w:shd w:val="clear" w:color="auto" w:fill="auto"/>
            <w:vAlign w:val="center"/>
          </w:tcPr>
          <w:p w14:paraId="4A365F3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1580" w:type="dxa"/>
            <w:shd w:val="clear" w:color="auto" w:fill="auto"/>
            <w:vAlign w:val="center"/>
          </w:tcPr>
          <w:p w14:paraId="6C879443">
            <w:pPr>
              <w:adjustRightInd w:val="0"/>
              <w:snapToGri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4E89ED96">
            <w:pPr>
              <w:adjustRightInd w:val="0"/>
              <w:snapToGri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0FCBDF6E">
            <w:pPr>
              <w:adjustRightInd w:val="0"/>
              <w:snapToGri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661030B8">
            <w:pPr>
              <w:adjustRightInd w:val="0"/>
              <w:snapToGri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0.249</w:t>
            </w:r>
            <w:r>
              <w:rPr>
                <w:rFonts w:hint="eastAsia"/>
                <w:color w:val="000000" w:themeColor="text1"/>
                <w:sz w:val="21"/>
                <w:szCs w:val="21"/>
                <w14:textFill>
                  <w14:solidFill>
                    <w14:schemeClr w14:val="tx1"/>
                  </w14:solidFill>
                </w14:textFill>
              </w:rPr>
              <w:t>t/a</w:t>
            </w:r>
          </w:p>
        </w:tc>
        <w:tc>
          <w:tcPr>
            <w:tcW w:w="1580" w:type="dxa"/>
            <w:vAlign w:val="center"/>
          </w:tcPr>
          <w:p w14:paraId="624F1FF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4A5113E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0.249</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2BA2E5B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+0.249</w:t>
            </w:r>
            <w:r>
              <w:rPr>
                <w:rFonts w:hint="eastAsia"/>
                <w:color w:val="000000" w:themeColor="text1"/>
                <w:sz w:val="21"/>
                <w:szCs w:val="21"/>
                <w14:textFill>
                  <w14:solidFill>
                    <w14:schemeClr w14:val="tx1"/>
                  </w14:solidFill>
                </w14:textFill>
              </w:rPr>
              <w:t>t/a</w:t>
            </w:r>
          </w:p>
        </w:tc>
      </w:tr>
      <w:tr w14:paraId="435F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4FEAD500">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53178B69">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700" w:type="dxa"/>
            <w:tcBorders>
              <w:top w:val="single" w:color="000000" w:sz="4" w:space="0"/>
              <w:bottom w:val="single" w:color="000000" w:sz="4" w:space="0"/>
            </w:tcBorders>
            <w:shd w:val="clear" w:color="auto" w:fill="auto"/>
            <w:vAlign w:val="center"/>
          </w:tcPr>
          <w:p w14:paraId="04A1A389">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废试剂瓶</w:t>
            </w:r>
          </w:p>
        </w:tc>
        <w:tc>
          <w:tcPr>
            <w:tcW w:w="1580" w:type="dxa"/>
            <w:shd w:val="clear" w:color="auto" w:fill="auto"/>
            <w:vAlign w:val="center"/>
          </w:tcPr>
          <w:p w14:paraId="2A613F32">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3F41DFC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22A4D711">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2EAECB39">
            <w:pPr>
              <w:adjustRightInd w:val="0"/>
              <w:snapToGrid w:val="0"/>
              <w:spacing w:line="240" w:lineRule="auto"/>
              <w:ind w:firstLine="0" w:firstLineChars="0"/>
              <w:jc w:val="center"/>
              <w:rPr>
                <w:rFonts w:hint="default"/>
                <w:color w:val="000000" w:themeColor="text1"/>
                <w:spacing w:val="-10"/>
                <w:sz w:val="21"/>
                <w:szCs w:val="21"/>
                <w:lang w:val="en-US" w:eastAsia="zh-CN"/>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0.01</w:t>
            </w:r>
            <w:r>
              <w:rPr>
                <w:rFonts w:hint="eastAsia"/>
                <w:color w:val="000000" w:themeColor="text1"/>
                <w:sz w:val="21"/>
                <w:szCs w:val="21"/>
                <w14:textFill>
                  <w14:solidFill>
                    <w14:schemeClr w14:val="tx1"/>
                  </w14:solidFill>
                </w14:textFill>
              </w:rPr>
              <w:t>t/a</w:t>
            </w:r>
          </w:p>
        </w:tc>
        <w:tc>
          <w:tcPr>
            <w:tcW w:w="1580" w:type="dxa"/>
            <w:vAlign w:val="center"/>
          </w:tcPr>
          <w:p w14:paraId="41E57BA0">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7EDBD9CF">
            <w:pPr>
              <w:adjustRightInd w:val="0"/>
              <w:snapToGrid w:val="0"/>
              <w:spacing w:line="240" w:lineRule="auto"/>
              <w:ind w:firstLine="0" w:firstLineChars="0"/>
              <w:jc w:val="center"/>
              <w:rPr>
                <w:rFonts w:hint="eastAsia"/>
                <w:color w:val="000000" w:themeColor="text1"/>
                <w:spacing w:val="-10"/>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0.01</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5B518AC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+0.01</w:t>
            </w:r>
            <w:r>
              <w:rPr>
                <w:rFonts w:hint="eastAsia"/>
                <w:color w:val="000000" w:themeColor="text1"/>
                <w:sz w:val="21"/>
                <w:szCs w:val="21"/>
                <w14:textFill>
                  <w14:solidFill>
                    <w14:schemeClr w14:val="tx1"/>
                  </w14:solidFill>
                </w14:textFill>
              </w:rPr>
              <w:t>t/a</w:t>
            </w:r>
          </w:p>
        </w:tc>
      </w:tr>
      <w:tr w14:paraId="4512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47C41ECE">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1ABA344B">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700" w:type="dxa"/>
            <w:tcBorders>
              <w:top w:val="single" w:color="000000" w:sz="4" w:space="0"/>
              <w:bottom w:val="single" w:color="000000" w:sz="4" w:space="0"/>
            </w:tcBorders>
            <w:shd w:val="clear" w:color="auto" w:fill="auto"/>
            <w:vAlign w:val="center"/>
          </w:tcPr>
          <w:p w14:paraId="140ECEED">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废一次性耗材</w:t>
            </w:r>
          </w:p>
        </w:tc>
        <w:tc>
          <w:tcPr>
            <w:tcW w:w="1580" w:type="dxa"/>
            <w:shd w:val="clear" w:color="auto" w:fill="auto"/>
            <w:vAlign w:val="center"/>
          </w:tcPr>
          <w:p w14:paraId="6B165B9A">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456E638C">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771A813E">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6D0E3B35">
            <w:pPr>
              <w:adjustRightInd w:val="0"/>
              <w:snapToGrid w:val="0"/>
              <w:spacing w:line="240" w:lineRule="auto"/>
              <w:ind w:firstLine="0" w:firstLineChars="0"/>
              <w:jc w:val="center"/>
              <w:rPr>
                <w:rFonts w:hint="default"/>
                <w:color w:val="000000" w:themeColor="text1"/>
                <w:spacing w:val="-10"/>
                <w:sz w:val="21"/>
                <w:szCs w:val="21"/>
                <w:lang w:val="en-US" w:eastAsia="zh-CN"/>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c>
          <w:tcPr>
            <w:tcW w:w="1580" w:type="dxa"/>
            <w:vAlign w:val="center"/>
          </w:tcPr>
          <w:p w14:paraId="778C3917">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4832579B">
            <w:pPr>
              <w:adjustRightInd w:val="0"/>
              <w:snapToGrid w:val="0"/>
              <w:spacing w:line="240" w:lineRule="auto"/>
              <w:ind w:firstLine="0" w:firstLineChars="0"/>
              <w:jc w:val="center"/>
              <w:rPr>
                <w:rFonts w:hint="eastAsia"/>
                <w:color w:val="000000" w:themeColor="text1"/>
                <w:spacing w:val="-10"/>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1E7AEE7E">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+0.10</w:t>
            </w:r>
            <w:r>
              <w:rPr>
                <w:rFonts w:hint="eastAsia"/>
                <w:color w:val="000000" w:themeColor="text1"/>
                <w:sz w:val="21"/>
                <w:szCs w:val="21"/>
                <w14:textFill>
                  <w14:solidFill>
                    <w14:schemeClr w14:val="tx1"/>
                  </w14:solidFill>
                </w14:textFill>
              </w:rPr>
              <w:t>t/a</w:t>
            </w:r>
          </w:p>
        </w:tc>
      </w:tr>
      <w:tr w14:paraId="772E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vMerge w:val="continue"/>
            <w:tcBorders>
              <w:right w:val="single" w:color="000000" w:sz="4" w:space="0"/>
            </w:tcBorders>
            <w:vAlign w:val="center"/>
          </w:tcPr>
          <w:p w14:paraId="6B60C8A6">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900" w:type="dxa"/>
            <w:vMerge w:val="continue"/>
            <w:tcBorders>
              <w:left w:val="single" w:color="000000" w:sz="4" w:space="0"/>
            </w:tcBorders>
            <w:vAlign w:val="center"/>
          </w:tcPr>
          <w:p w14:paraId="68E5E220">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700" w:type="dxa"/>
            <w:tcBorders>
              <w:top w:val="single" w:color="000000" w:sz="4" w:space="0"/>
            </w:tcBorders>
            <w:shd w:val="clear" w:color="auto" w:fill="auto"/>
            <w:vAlign w:val="center"/>
          </w:tcPr>
          <w:p w14:paraId="1E84C7E3">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检测废液</w:t>
            </w:r>
          </w:p>
        </w:tc>
        <w:tc>
          <w:tcPr>
            <w:tcW w:w="1580" w:type="dxa"/>
            <w:shd w:val="clear" w:color="auto" w:fill="auto"/>
            <w:vAlign w:val="center"/>
          </w:tcPr>
          <w:p w14:paraId="01AF423D">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2649A378">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491D86C4">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80" w:type="dxa"/>
            <w:shd w:val="clear" w:color="auto" w:fill="auto"/>
            <w:vAlign w:val="center"/>
          </w:tcPr>
          <w:p w14:paraId="03C05D7F">
            <w:pPr>
              <w:adjustRightInd w:val="0"/>
              <w:snapToGrid w:val="0"/>
              <w:spacing w:line="240" w:lineRule="auto"/>
              <w:ind w:firstLine="0" w:firstLineChars="0"/>
              <w:jc w:val="center"/>
              <w:rPr>
                <w:rFonts w:hint="default" w:eastAsia="宋体"/>
                <w:color w:val="000000" w:themeColor="text1"/>
                <w:spacing w:val="-10"/>
                <w:sz w:val="21"/>
                <w:szCs w:val="21"/>
                <w:lang w:val="en-US" w:eastAsia="zh-CN"/>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0.80</w:t>
            </w:r>
            <w:r>
              <w:rPr>
                <w:rFonts w:hint="eastAsia"/>
                <w:color w:val="000000" w:themeColor="text1"/>
                <w:sz w:val="21"/>
                <w:szCs w:val="21"/>
                <w14:textFill>
                  <w14:solidFill>
                    <w14:schemeClr w14:val="tx1"/>
                  </w14:solidFill>
                </w14:textFill>
              </w:rPr>
              <w:t>t/a</w:t>
            </w:r>
          </w:p>
        </w:tc>
        <w:tc>
          <w:tcPr>
            <w:tcW w:w="1580" w:type="dxa"/>
            <w:vAlign w:val="center"/>
          </w:tcPr>
          <w:p w14:paraId="6BBB5717">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75" w:type="dxa"/>
            <w:vAlign w:val="center"/>
          </w:tcPr>
          <w:p w14:paraId="1201AAE8">
            <w:pPr>
              <w:adjustRightInd w:val="0"/>
              <w:snapToGrid w:val="0"/>
              <w:spacing w:line="240" w:lineRule="auto"/>
              <w:ind w:firstLine="0" w:firstLineChars="0"/>
              <w:jc w:val="center"/>
              <w:rPr>
                <w:rFonts w:hint="eastAsia"/>
                <w:color w:val="000000" w:themeColor="text1"/>
                <w:spacing w:val="-10"/>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0.80</w:t>
            </w:r>
            <w:r>
              <w:rPr>
                <w:rFonts w:hint="eastAsia"/>
                <w:color w:val="000000" w:themeColor="text1"/>
                <w:sz w:val="21"/>
                <w:szCs w:val="21"/>
                <w14:textFill>
                  <w14:solidFill>
                    <w14:schemeClr w14:val="tx1"/>
                  </w14:solidFill>
                </w14:textFill>
              </w:rPr>
              <w:t>t/a</w:t>
            </w:r>
          </w:p>
        </w:tc>
        <w:tc>
          <w:tcPr>
            <w:tcW w:w="1289" w:type="dxa"/>
            <w:shd w:val="clear" w:color="auto" w:fill="auto"/>
            <w:vAlign w:val="center"/>
          </w:tcPr>
          <w:p w14:paraId="52098175">
            <w:pPr>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+0.80</w:t>
            </w:r>
            <w:r>
              <w:rPr>
                <w:rFonts w:hint="eastAsia"/>
                <w:color w:val="000000" w:themeColor="text1"/>
                <w:sz w:val="21"/>
                <w:szCs w:val="21"/>
                <w14:textFill>
                  <w14:solidFill>
                    <w14:schemeClr w14:val="tx1"/>
                  </w14:solidFill>
                </w14:textFill>
              </w:rPr>
              <w:t>t/a</w:t>
            </w:r>
          </w:p>
        </w:tc>
      </w:tr>
    </w:tbl>
    <w:p w14:paraId="21D9AFB2">
      <w:pPr>
        <w:ind w:firstLine="0" w:firstLineChars="0"/>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注：⑥=①+③+④-⑤；⑦=⑥-①</w:t>
      </w:r>
    </w:p>
    <w:p w14:paraId="116FF8F0">
      <w:pPr>
        <w:ind w:firstLine="480"/>
        <w:rPr>
          <w:color w:val="000000" w:themeColor="text1"/>
          <w14:textFill>
            <w14:solidFill>
              <w14:schemeClr w14:val="tx1"/>
            </w14:solidFill>
          </w14:textFill>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425" w:num="1"/>
          <w:docGrid w:type="lines" w:linePitch="312" w:charSpace="0"/>
        </w:sectPr>
      </w:pPr>
    </w:p>
    <w:p w14:paraId="7F1C54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4069715</wp:posOffset>
                </wp:positionH>
                <wp:positionV relativeFrom="paragraph">
                  <wp:posOffset>3155315</wp:posOffset>
                </wp:positionV>
                <wp:extent cx="810260" cy="381000"/>
                <wp:effectExtent l="6350" t="549275" r="21590" b="22225"/>
                <wp:wrapNone/>
                <wp:docPr id="14" name="圆角矩形标注 14"/>
                <wp:cNvGraphicFramePr/>
                <a:graphic xmlns:a="http://schemas.openxmlformats.org/drawingml/2006/main">
                  <a:graphicData uri="http://schemas.microsoft.com/office/word/2010/wordprocessingShape">
                    <wps:wsp>
                      <wps:cNvSpPr/>
                      <wps:spPr>
                        <a:xfrm>
                          <a:off x="0" y="0"/>
                          <a:ext cx="810260" cy="381000"/>
                        </a:xfrm>
                        <a:prstGeom prst="wedgeRoundRectCallout">
                          <a:avLst>
                            <a:gd name="adj1" fmla="val 42633"/>
                            <a:gd name="adj2" fmla="val -185000"/>
                            <a:gd name="adj3" fmla="val 1666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A4B26D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Theme="minorEastAsia"/>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0.45pt;margin-top:248.45pt;height:30pt;width:63.8pt;z-index:251660288;v-text-anchor:middle;mso-width-relative:page;mso-height-relative:page;" fillcolor="#FFFFFF [3212]" filled="t" stroked="t" coordsize="21600,21600" o:gfxdata="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njSjHZAAAA&#10;CwEAAA8AAAAAAAAAAQAgAAAAIgAAAGRycy9kb3ducmV2LnhtbFBLAQIUABQAAAAIAIdO4kABJN0q&#10;xwIAAJQFAAAOAAAAAAAAAAEAIAAAACgBAABkcnMvZTJvRG9jLnhtbFBLBQYAAAAABgAGAFkBAABh&#10;BgAAAAA=&#10;" adj="20009,-29160,14400">
                <v:fill on="t" focussize="0,0"/>
                <v:stroke weight="1pt" color="#FF0000 [2404]" miterlimit="8" joinstyle="miter"/>
                <v:imagedata o:title=""/>
                <o:lock v:ext="edit" aspectratio="f"/>
                <v:textbox>
                  <w:txbxContent>
                    <w:p w14:paraId="6A4B26D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Theme="minorEastAsia"/>
                          <w:sz w:val="21"/>
                          <w:szCs w:val="21"/>
                          <w:lang w:val="en-US" w:eastAsia="zh-CN"/>
                        </w:rPr>
                      </w:pPr>
                      <w:r>
                        <w:rPr>
                          <w:rFonts w:hint="eastAsia"/>
                          <w:b/>
                          <w:bCs/>
                          <w:color w:val="FF0000"/>
                          <w:sz w:val="21"/>
                          <w:szCs w:val="21"/>
                          <w:lang w:val="en-US" w:eastAsia="zh-CN"/>
                        </w:rPr>
                        <w:t>项目位置</w:t>
                      </w:r>
                    </w:p>
                  </w:txbxContent>
                </v:textbox>
              </v:shape>
            </w:pict>
          </mc:Fallback>
        </mc:AlternateContent>
      </w:r>
      <w:r>
        <w:drawing>
          <wp:inline distT="0" distB="0" distL="114300" distR="114300">
            <wp:extent cx="9109075" cy="5541010"/>
            <wp:effectExtent l="0" t="0" r="0" b="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40"/>
                    <a:srcRect t="5008"/>
                    <a:stretch>
                      <a:fillRect/>
                    </a:stretch>
                  </pic:blipFill>
                  <pic:spPr>
                    <a:xfrm>
                      <a:off x="0" y="0"/>
                      <a:ext cx="9109075" cy="5541010"/>
                    </a:xfrm>
                    <a:prstGeom prst="rect">
                      <a:avLst/>
                    </a:prstGeom>
                  </pic:spPr>
                </pic:pic>
              </a:graphicData>
            </a:graphic>
          </wp:inline>
        </w:drawing>
      </w:r>
      <w:r>
        <mc:AlternateContent>
          <mc:Choice Requires="wps">
            <w:drawing>
              <wp:anchor distT="0" distB="0" distL="114300" distR="114300" simplePos="0" relativeHeight="251661312" behindDoc="0" locked="0" layoutInCell="1" allowOverlap="1">
                <wp:simplePos x="0" y="0"/>
                <wp:positionH relativeFrom="column">
                  <wp:posOffset>8475980</wp:posOffset>
                </wp:positionH>
                <wp:positionV relativeFrom="paragraph">
                  <wp:posOffset>5080</wp:posOffset>
                </wp:positionV>
                <wp:extent cx="754380" cy="1116965"/>
                <wp:effectExtent l="4445" t="4445" r="22225" b="21590"/>
                <wp:wrapNone/>
                <wp:docPr id="26" name="文本框 26"/>
                <wp:cNvGraphicFramePr/>
                <a:graphic xmlns:a="http://schemas.openxmlformats.org/drawingml/2006/main">
                  <a:graphicData uri="http://schemas.microsoft.com/office/word/2010/wordprocessingShape">
                    <wps:wsp>
                      <wps:cNvSpPr txBox="1"/>
                      <wps:spPr>
                        <a:xfrm>
                          <a:off x="0" y="0"/>
                          <a:ext cx="754380" cy="111696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0E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7.4pt;margin-top:0.4pt;height:87.95pt;width:59.4pt;z-index:251661312;mso-width-relative:page;mso-height-relative:page;" fillcolor="#FFFFFF" filled="t" stroked="t" coordsize="21600,21600" o:gfxdata="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nTcyNYAAAAKAQAADwAAAAAAAAABACAAAAAiAAAAZHJzL2Rvd25yZXYueG1sUEsBAhQAFAAAAAgA&#10;h07iQB6yeaBgAgAAxwQAAA4AAAAAAAAAAQAgAAAAJQEAAGRycy9lMm9Eb2MueG1sUEsFBgAAAAAG&#10;AAYAWQEAAPcFAAAAAA==&#10;">
                <v:fill on="t" focussize="0,0"/>
                <v:stroke weight="0.5pt" color="#000000 [3204]" joinstyle="round"/>
                <v:imagedata o:title=""/>
                <o:lock v:ext="edit" aspectratio="f"/>
                <v:textbox>
                  <w:txbxContent>
                    <w:p w14:paraId="3DE0E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v:textbox>
              </v:shape>
            </w:pict>
          </mc:Fallback>
        </mc:AlternateContent>
      </w:r>
    </w:p>
    <w:p w14:paraId="624BEB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b/>
          <w:bCs/>
          <w:lang w:eastAsia="zh-CN"/>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t>附图1 项目地理位置图</w:t>
      </w:r>
    </w:p>
    <w:p w14:paraId="06EF70E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4"/>
          <w:szCs w:val="24"/>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6438900</wp:posOffset>
                </wp:positionH>
                <wp:positionV relativeFrom="paragraph">
                  <wp:posOffset>2831465</wp:posOffset>
                </wp:positionV>
                <wp:extent cx="515620" cy="29591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1562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BC9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default" w:ascii="Times New Roman" w:hAnsi="Times New Roman" w:eastAsia="宋体" w:cs="Times New Roman"/>
                                <w:b/>
                                <w:bCs/>
                                <w:color w:val="FFFF00"/>
                                <w:sz w:val="18"/>
                                <w:szCs w:val="18"/>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pt;margin-top:222.95pt;height:23.3pt;width:40.6pt;z-index:251668480;mso-width-relative:page;mso-height-relative:page;" filled="f" stroked="f" coordsize="21600,21600" o:gfxdata="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gHTUTcAAAADAEAAA8AAAAAAAAAAQAgAAAAIgAAAGRy&#10;cy9kb3ducmV2LnhtbFBLAQIUABQAAAAIAIdO4kA51TpqOgIAAGcEAAAOAAAAAAAAAAEAIAAAACsB&#10;AABkcnMvZTJvRG9jLnhtbFBLBQYAAAAABgAGAFkBAADXBQAAAAA=&#10;">
                <v:fill on="f" focussize="0,0"/>
                <v:stroke on="f" weight="0.5pt"/>
                <v:imagedata o:title=""/>
                <o:lock v:ext="edit" aspectratio="f"/>
                <v:textbox>
                  <w:txbxContent>
                    <w:p w14:paraId="547BC9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default" w:ascii="Times New Roman" w:hAnsi="Times New Roman" w:eastAsia="宋体" w:cs="Times New Roman"/>
                          <w:b/>
                          <w:bCs/>
                          <w:color w:val="FFFF00"/>
                          <w:sz w:val="18"/>
                          <w:szCs w:val="18"/>
                          <w:lang w:val="en-US" w:eastAsia="zh-CN"/>
                        </w:rPr>
                        <w:t>500m</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5287010</wp:posOffset>
                </wp:positionH>
                <wp:positionV relativeFrom="paragraph">
                  <wp:posOffset>2665730</wp:posOffset>
                </wp:positionV>
                <wp:extent cx="2231390" cy="702310"/>
                <wp:effectExtent l="0" t="22225" r="8890" b="22225"/>
                <wp:wrapNone/>
                <wp:docPr id="43" name="直接箭头连接符 43"/>
                <wp:cNvGraphicFramePr/>
                <a:graphic xmlns:a="http://schemas.openxmlformats.org/drawingml/2006/main">
                  <a:graphicData uri="http://schemas.microsoft.com/office/word/2010/wordprocessingShape">
                    <wps:wsp>
                      <wps:cNvCnPr/>
                      <wps:spPr>
                        <a:xfrm>
                          <a:off x="5956300" y="3446145"/>
                          <a:ext cx="2231390" cy="702310"/>
                        </a:xfrm>
                        <a:prstGeom prst="straightConnector1">
                          <a:avLst/>
                        </a:prstGeom>
                        <a:ln>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16.3pt;margin-top:209.9pt;height:55.3pt;width:175.7pt;z-index:251715584;mso-width-relative:page;mso-height-relative:page;" filled="f" stroked="t" coordsize="21600,21600" o:gfxdata="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yi&#10;Dl3bAAAADAEAAA8AAAAAAAAAAQAgAAAAIgAAAGRycy9kb3ducmV2LnhtbFBLAQIUABQAAAAIAIdO&#10;4kDogrKYIAIAAAsEAAAOAAAAAAAAAAEAIAAAACoBAABkcnMvZTJvRG9jLnhtbFBLBQYAAAAABgAG&#10;AFkBAAC8BQAAAAA=&#10;">
                <v:fill on="f" focussize="0,0"/>
                <v:stroke weight="1pt" color="#FFFF00 [3204]" miterlimit="8" joinstyle="miter" startarrow="open"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4583430</wp:posOffset>
                </wp:positionH>
                <wp:positionV relativeFrom="paragraph">
                  <wp:posOffset>2525395</wp:posOffset>
                </wp:positionV>
                <wp:extent cx="632460" cy="28511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3246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08F1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eastAsia="宋体" w:cs="Times New Roman"/>
                                <w:b/>
                                <w:bCs/>
                                <w:color w:val="FFFF00"/>
                                <w:sz w:val="18"/>
                                <w:szCs w:val="18"/>
                                <w:lang w:val="en-US" w:eastAsia="zh-CN"/>
                              </w:rPr>
                              <w:t>1</w:t>
                            </w:r>
                            <w:r>
                              <w:rPr>
                                <w:rFonts w:hint="eastAsia" w:cs="Times New Roman"/>
                                <w:b/>
                                <w:bCs/>
                                <w:color w:val="FFFF00"/>
                                <w:sz w:val="18"/>
                                <w:szCs w:val="18"/>
                                <w:lang w:val="en-US" w:eastAsia="zh-CN"/>
                              </w:rPr>
                              <w:t>5</w:t>
                            </w:r>
                            <w:r>
                              <w:rPr>
                                <w:rFonts w:hint="eastAsia" w:eastAsia="宋体" w:cs="Times New Roman"/>
                                <w:b/>
                                <w:bCs/>
                                <w:color w:val="FFFF00"/>
                                <w:sz w:val="18"/>
                                <w:szCs w:val="18"/>
                                <w:lang w:val="en-US" w:eastAsia="zh-CN"/>
                              </w:rPr>
                              <w:t>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9pt;margin-top:198.85pt;height:22.45pt;width:49.8pt;z-index:251673600;mso-width-relative:page;mso-height-relative:page;" filled="f" stroked="f" coordsize="21600,21600" o:gfxdata="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UcAi3AAAAAsBAAAPAAAAAAAAAAEAIAAAACIAAABk&#10;cnMvZG93bnJldi54bWxQSwECFAAUAAAACACHTuJAC2e/KjsCAABnBAAADgAAAAAAAAABACAAAAAr&#10;AQAAZHJzL2Uyb0RvYy54bWxQSwUGAAAAAAYABgBZAQAA2AUAAAAA&#10;">
                <v:fill on="f" focussize="0,0"/>
                <v:stroke on="f" weight="0.5pt"/>
                <v:imagedata o:title=""/>
                <o:lock v:ext="edit" aspectratio="f"/>
                <v:textbox>
                  <w:txbxContent>
                    <w:p w14:paraId="27808F1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eastAsia="宋体" w:cs="Times New Roman"/>
                          <w:b/>
                          <w:bCs/>
                          <w:color w:val="FFFF00"/>
                          <w:sz w:val="18"/>
                          <w:szCs w:val="18"/>
                          <w:lang w:val="en-US" w:eastAsia="zh-CN"/>
                        </w:rPr>
                        <w:t>1</w:t>
                      </w:r>
                      <w:r>
                        <w:rPr>
                          <w:rFonts w:hint="eastAsia" w:cs="Times New Roman"/>
                          <w:b/>
                          <w:bCs/>
                          <w:color w:val="FFFF00"/>
                          <w:sz w:val="18"/>
                          <w:szCs w:val="18"/>
                          <w:lang w:val="en-US" w:eastAsia="zh-CN"/>
                        </w:rPr>
                        <w:t>5</w:t>
                      </w:r>
                      <w:r>
                        <w:rPr>
                          <w:rFonts w:hint="eastAsia" w:eastAsia="宋体" w:cs="Times New Roman"/>
                          <w:b/>
                          <w:bCs/>
                          <w:color w:val="FFFF00"/>
                          <w:sz w:val="18"/>
                          <w:szCs w:val="18"/>
                          <w:lang w:val="en-US" w:eastAsia="zh-CN"/>
                        </w:rPr>
                        <w:t>号楼</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4948555</wp:posOffset>
                </wp:positionH>
                <wp:positionV relativeFrom="paragraph">
                  <wp:posOffset>2750185</wp:posOffset>
                </wp:positionV>
                <wp:extent cx="632460" cy="28511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63246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AB3A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eastAsia="宋体" w:cs="Times New Roman"/>
                                <w:b/>
                                <w:bCs/>
                                <w:color w:val="FFFF00"/>
                                <w:sz w:val="18"/>
                                <w:szCs w:val="18"/>
                                <w:lang w:val="en-US" w:eastAsia="zh-CN"/>
                              </w:rPr>
                              <w:t>1</w:t>
                            </w:r>
                            <w:r>
                              <w:rPr>
                                <w:rFonts w:hint="eastAsia" w:cs="Times New Roman"/>
                                <w:b/>
                                <w:bCs/>
                                <w:color w:val="FFFF00"/>
                                <w:sz w:val="18"/>
                                <w:szCs w:val="18"/>
                                <w:lang w:val="en-US" w:eastAsia="zh-CN"/>
                              </w:rPr>
                              <w:t>7</w:t>
                            </w:r>
                            <w:r>
                              <w:rPr>
                                <w:rFonts w:hint="eastAsia" w:eastAsia="宋体" w:cs="Times New Roman"/>
                                <w:b/>
                                <w:bCs/>
                                <w:color w:val="FFFF00"/>
                                <w:sz w:val="18"/>
                                <w:szCs w:val="18"/>
                                <w:lang w:val="en-US" w:eastAsia="zh-CN"/>
                              </w:rPr>
                              <w:t>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65pt;margin-top:216.55pt;height:22.45pt;width:49.8pt;z-index:251714560;mso-width-relative:page;mso-height-relative:page;" filled="f" stroked="f" coordsize="21600,21600" o:gfxdata="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B3dBHcAAAACwEAAA8AAAAAAAAAAQAgAAAAIgAAAGRy&#10;cy9kb3ducmV2LnhtbFBLAQIUABQAAAAIAIdO4kAuksVcOgIAAGcEAAAOAAAAAAAAAAEAIAAAACsB&#10;AABkcnMvZTJvRG9jLnhtbFBLBQYAAAAABgAGAFkBAADXBQAAAAA=&#10;">
                <v:fill on="f" focussize="0,0"/>
                <v:stroke on="f" weight="0.5pt"/>
                <v:imagedata o:title=""/>
                <o:lock v:ext="edit" aspectratio="f"/>
                <v:textbox>
                  <w:txbxContent>
                    <w:p w14:paraId="4DFAB3A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eastAsia="宋体" w:cs="Times New Roman"/>
                          <w:b/>
                          <w:bCs/>
                          <w:color w:val="FFFF00"/>
                          <w:sz w:val="18"/>
                          <w:szCs w:val="18"/>
                          <w:lang w:val="en-US" w:eastAsia="zh-CN"/>
                        </w:rPr>
                        <w:t>1</w:t>
                      </w:r>
                      <w:r>
                        <w:rPr>
                          <w:rFonts w:hint="eastAsia" w:cs="Times New Roman"/>
                          <w:b/>
                          <w:bCs/>
                          <w:color w:val="FFFF00"/>
                          <w:sz w:val="18"/>
                          <w:szCs w:val="18"/>
                          <w:lang w:val="en-US" w:eastAsia="zh-CN"/>
                        </w:rPr>
                        <w:t>7</w:t>
                      </w:r>
                      <w:r>
                        <w:rPr>
                          <w:rFonts w:hint="eastAsia" w:eastAsia="宋体" w:cs="Times New Roman"/>
                          <w:b/>
                          <w:bCs/>
                          <w:color w:val="FFFF00"/>
                          <w:sz w:val="18"/>
                          <w:szCs w:val="18"/>
                          <w:lang w:val="en-US" w:eastAsia="zh-CN"/>
                        </w:rPr>
                        <w:t>号楼</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5236210</wp:posOffset>
                </wp:positionH>
                <wp:positionV relativeFrom="paragraph">
                  <wp:posOffset>2403475</wp:posOffset>
                </wp:positionV>
                <wp:extent cx="561975" cy="28511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6197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C962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13</w:t>
                            </w:r>
                            <w:r>
                              <w:rPr>
                                <w:rFonts w:hint="eastAsia" w:eastAsia="宋体" w:cs="Times New Roman"/>
                                <w:b/>
                                <w:bCs/>
                                <w:color w:val="FFFF00"/>
                                <w:sz w:val="18"/>
                                <w:szCs w:val="18"/>
                                <w:lang w:val="en-US" w:eastAsia="zh-CN"/>
                              </w:rPr>
                              <w:t>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3pt;margin-top:189.25pt;height:22.45pt;width:44.25pt;z-index:251672576;mso-width-relative:page;mso-height-relative:page;" filled="f" stroked="f" coordsize="21600,21600" o:gfxdata="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62Pt0AAAALAQAADwAAAAAAAAABACAAAAAiAAAA&#10;ZHJzL2Rvd25yZXYueG1sUEsBAhQAFAAAAAgAh07iQE5jzVw7AgAAZwQAAA4AAAAAAAAAAQAgAAAA&#10;LAEAAGRycy9lMm9Eb2MueG1sUEsFBgAAAAAGAAYAWQEAANkFAAAAAA==&#10;">
                <v:fill on="f" focussize="0,0"/>
                <v:stroke on="f" weight="0.5pt"/>
                <v:imagedata o:title=""/>
                <o:lock v:ext="edit" aspectratio="f"/>
                <v:textbox>
                  <w:txbxContent>
                    <w:p w14:paraId="4A8C962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13</w:t>
                      </w:r>
                      <w:r>
                        <w:rPr>
                          <w:rFonts w:hint="eastAsia" w:eastAsia="宋体" w:cs="Times New Roman"/>
                          <w:b/>
                          <w:bCs/>
                          <w:color w:val="FFFF00"/>
                          <w:sz w:val="18"/>
                          <w:szCs w:val="18"/>
                          <w:lang w:val="en-US" w:eastAsia="zh-CN"/>
                        </w:rPr>
                        <w:t>号楼</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4922520</wp:posOffset>
                </wp:positionH>
                <wp:positionV relativeFrom="paragraph">
                  <wp:posOffset>2236470</wp:posOffset>
                </wp:positionV>
                <wp:extent cx="508000" cy="30416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0800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9AA4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7</w:t>
                            </w:r>
                            <w:r>
                              <w:rPr>
                                <w:rFonts w:hint="eastAsia" w:eastAsia="宋体" w:cs="Times New Roman"/>
                                <w:b/>
                                <w:bCs/>
                                <w:color w:val="FFFF00"/>
                                <w:sz w:val="18"/>
                                <w:szCs w:val="18"/>
                                <w:lang w:val="en-US" w:eastAsia="zh-CN"/>
                              </w:rPr>
                              <w:t>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6pt;margin-top:176.1pt;height:23.95pt;width:40pt;z-index:251671552;mso-width-relative:page;mso-height-relative:page;" filled="f" stroked="f" coordsize="21600,21600" o:gfxdata="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&#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aRAe9wAAAALAQAADwAAAAAAAAABACAAAAAiAAAA&#10;ZHJzL2Rvd25yZXYueG1sUEsBAhQAFAAAAAgAh07iQEk7U6Y8AgAAZwQAAA4AAAAAAAAAAQAgAAAA&#10;KwEAAGRycy9lMm9Eb2MueG1sUEsFBgAAAAAGAAYAWQEAANkFAAAAAA==&#10;">
                <v:fill on="f" focussize="0,0"/>
                <v:stroke on="f" weight="0.5pt"/>
                <v:imagedata o:title=""/>
                <o:lock v:ext="edit" aspectratio="f"/>
                <v:textbox>
                  <w:txbxContent>
                    <w:p w14:paraId="5459AA4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7</w:t>
                      </w:r>
                      <w:r>
                        <w:rPr>
                          <w:rFonts w:hint="eastAsia" w:eastAsia="宋体" w:cs="Times New Roman"/>
                          <w:b/>
                          <w:bCs/>
                          <w:color w:val="FFFF00"/>
                          <w:sz w:val="18"/>
                          <w:szCs w:val="18"/>
                          <w:lang w:val="en-US" w:eastAsia="zh-CN"/>
                        </w:rPr>
                        <w:t>号楼</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5071745</wp:posOffset>
                </wp:positionH>
                <wp:positionV relativeFrom="paragraph">
                  <wp:posOffset>2308225</wp:posOffset>
                </wp:positionV>
                <wp:extent cx="195580" cy="172085"/>
                <wp:effectExtent l="5080" t="5715" r="12700" b="20320"/>
                <wp:wrapNone/>
                <wp:docPr id="41" name="任意多边形 41"/>
                <wp:cNvGraphicFramePr/>
                <a:graphic xmlns:a="http://schemas.openxmlformats.org/drawingml/2006/main">
                  <a:graphicData uri="http://schemas.microsoft.com/office/word/2010/wordprocessingShape">
                    <wps:wsp>
                      <wps:cNvSpPr/>
                      <wps:spPr>
                        <a:xfrm>
                          <a:off x="5778500" y="3208020"/>
                          <a:ext cx="195580" cy="172085"/>
                        </a:xfrm>
                        <a:custGeom>
                          <a:avLst/>
                          <a:gdLst>
                            <a:gd name="connisteX0" fmla="*/ 0 w 208915"/>
                            <a:gd name="connsiteY0" fmla="*/ 35560 h 172085"/>
                            <a:gd name="connisteX1" fmla="*/ 180340 w 208915"/>
                            <a:gd name="connsiteY1" fmla="*/ 0 h 172085"/>
                            <a:gd name="connisteX2" fmla="*/ 208915 w 208915"/>
                            <a:gd name="connsiteY2" fmla="*/ 136525 h 172085"/>
                            <a:gd name="connisteX3" fmla="*/ 4445 w 208915"/>
                            <a:gd name="connsiteY3" fmla="*/ 172085 h 172085"/>
                            <a:gd name="connisteX4" fmla="*/ 0 w 208915"/>
                            <a:gd name="connsiteY4" fmla="*/ 35560 h 17208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08915" h="172085">
                              <a:moveTo>
                                <a:pt x="0" y="35560"/>
                              </a:moveTo>
                              <a:lnTo>
                                <a:pt x="180340" y="0"/>
                              </a:lnTo>
                              <a:lnTo>
                                <a:pt x="208915" y="136525"/>
                              </a:lnTo>
                              <a:lnTo>
                                <a:pt x="4445" y="172085"/>
                              </a:lnTo>
                              <a:lnTo>
                                <a:pt x="0" y="35560"/>
                              </a:lnTo>
                              <a:close/>
                            </a:path>
                          </a:pathLst>
                        </a:custGeom>
                        <a:solidFill>
                          <a:srgbClr val="FFC000">
                            <a:alpha val="20000"/>
                          </a:srgbClr>
                        </a:solidFill>
                        <a:ln w="6350">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99.35pt;margin-top:181.75pt;height:13.55pt;width:15.4pt;z-index:251713536;mso-width-relative:page;mso-height-relative:page;" fillcolor="#FFC000" filled="t" stroked="t" coordsize="208915,172085" o:gfxdata="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MU3sddwAAAAL&#10;AQAADwAAAAAAAAABACAAAAAiAAAAZHJzL2Rvd25yZXYueG1sUEsBAhQAFAAAAAgAh07iQMRflZI1&#10;AwAAjwgAAA4AAAAAAAAAAQAgAAAAKwEAAGRycy9lMm9Eb2MueG1sUEsFBgAAAAAGAAYAWQEAANIG&#10;AAAAAA==&#10;" path="m0,35560l180340,0,208915,136525,4445,172085,0,35560xe">
                <v:path o:connectlocs="0,35560;168828,0;195580,136525;4161,172085;0,35560" o:connectangles="0,0,0,0,0"/>
                <v:fill on="t" opacity="13107f" focussize="0,0"/>
                <v:stroke weight="0.5pt" color="#FFC000 [2404]" miterlimit="8" joinstyle="miter"/>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5118735</wp:posOffset>
                </wp:positionH>
                <wp:positionV relativeFrom="paragraph">
                  <wp:posOffset>2781300</wp:posOffset>
                </wp:positionV>
                <wp:extent cx="244475" cy="180975"/>
                <wp:effectExtent l="5715" t="5715" r="8890" b="11430"/>
                <wp:wrapNone/>
                <wp:docPr id="40" name="任意多边形 40"/>
                <wp:cNvGraphicFramePr/>
                <a:graphic xmlns:a="http://schemas.openxmlformats.org/drawingml/2006/main">
                  <a:graphicData uri="http://schemas.microsoft.com/office/word/2010/wordprocessingShape">
                    <wps:wsp>
                      <wps:cNvSpPr/>
                      <wps:spPr>
                        <a:xfrm>
                          <a:off x="5838825" y="3681095"/>
                          <a:ext cx="244475" cy="180975"/>
                        </a:xfrm>
                        <a:custGeom>
                          <a:avLst/>
                          <a:gdLst>
                            <a:gd name="connisteX0" fmla="*/ 0 w 244475"/>
                            <a:gd name="connsiteY0" fmla="*/ 44450 h 180975"/>
                            <a:gd name="connisteX1" fmla="*/ 27940 w 244475"/>
                            <a:gd name="connsiteY1" fmla="*/ 180975 h 180975"/>
                            <a:gd name="connisteX2" fmla="*/ 244475 w 244475"/>
                            <a:gd name="connsiteY2" fmla="*/ 136525 h 180975"/>
                            <a:gd name="connisteX3" fmla="*/ 216535 w 244475"/>
                            <a:gd name="connsiteY3" fmla="*/ 0 h 180975"/>
                            <a:gd name="connisteX4" fmla="*/ 0 w 244475"/>
                            <a:gd name="connsiteY4" fmla="*/ 44450 h 1809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44475" h="180975">
                              <a:moveTo>
                                <a:pt x="0" y="44450"/>
                              </a:moveTo>
                              <a:lnTo>
                                <a:pt x="27940" y="180975"/>
                              </a:lnTo>
                              <a:lnTo>
                                <a:pt x="244475" y="136525"/>
                              </a:lnTo>
                              <a:lnTo>
                                <a:pt x="216535" y="0"/>
                              </a:lnTo>
                              <a:lnTo>
                                <a:pt x="0" y="44450"/>
                              </a:lnTo>
                              <a:close/>
                            </a:path>
                          </a:pathLst>
                        </a:custGeom>
                        <a:solidFill>
                          <a:srgbClr val="FFC000">
                            <a:alpha val="20000"/>
                          </a:srgbClr>
                        </a:solidFill>
                        <a:ln w="6350">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03.05pt;margin-top:219pt;height:14.25pt;width:19.25pt;z-index:251712512;mso-width-relative:page;mso-height-relative:page;" fillcolor="#FFC000" filled="t" stroked="t" coordsize="244475,180975" o:gfxdata="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Ki+neNoAAAALAQAADwAAAAAA&#10;AAABACAAAAAiAAAAZHJzL2Rvd25yZXYueG1sUEsBAhQAFAAAAAgAh07iQECGJ74uAwAAkQgAAA4A&#10;AAAAAAAAAQAgAAAAKQEAAGRycy9lMm9Eb2MueG1sUEsFBgAAAAAGAAYAWQEAAMkGAAAAAA==&#10;" path="m0,44450l27940,180975,244475,136525,216535,0,0,44450xe">
                <v:path o:connectlocs="0,44450;27940,180975;244475,136525;216535,0;0,44450" o:connectangles="0,0,0,0,0"/>
                <v:fill on="t" opacity="13107f" focussize="0,0"/>
                <v:stroke weight="0.5pt" color="#FFC000 [2404]" miterlimit="8" joinstyle="miter"/>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4838065</wp:posOffset>
                </wp:positionH>
                <wp:positionV relativeFrom="paragraph">
                  <wp:posOffset>2584450</wp:posOffset>
                </wp:positionV>
                <wp:extent cx="220345" cy="168910"/>
                <wp:effectExtent l="6350" t="5715" r="17145" b="8255"/>
                <wp:wrapNone/>
                <wp:docPr id="38" name="任意多边形 38"/>
                <wp:cNvGraphicFramePr/>
                <a:graphic xmlns:a="http://schemas.openxmlformats.org/drawingml/2006/main">
                  <a:graphicData uri="http://schemas.microsoft.com/office/word/2010/wordprocessingShape">
                    <wps:wsp>
                      <wps:cNvSpPr/>
                      <wps:spPr>
                        <a:xfrm>
                          <a:off x="5558155" y="3484245"/>
                          <a:ext cx="220345" cy="168910"/>
                        </a:xfrm>
                        <a:custGeom>
                          <a:avLst/>
                          <a:gdLst>
                            <a:gd name="connisteX0" fmla="*/ 0 w 220345"/>
                            <a:gd name="connsiteY0" fmla="*/ 36830 h 168910"/>
                            <a:gd name="connisteX1" fmla="*/ 184150 w 220345"/>
                            <a:gd name="connsiteY1" fmla="*/ 0 h 168910"/>
                            <a:gd name="connisteX2" fmla="*/ 220345 w 220345"/>
                            <a:gd name="connsiteY2" fmla="*/ 136525 h 168910"/>
                            <a:gd name="connisteX3" fmla="*/ 40005 w 220345"/>
                            <a:gd name="connsiteY3" fmla="*/ 168910 h 168910"/>
                            <a:gd name="connisteX4" fmla="*/ 0 w 220345"/>
                            <a:gd name="connsiteY4" fmla="*/ 36830 h 1689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20345" h="168910">
                              <a:moveTo>
                                <a:pt x="0" y="36830"/>
                              </a:moveTo>
                              <a:lnTo>
                                <a:pt x="184150" y="0"/>
                              </a:lnTo>
                              <a:lnTo>
                                <a:pt x="220345" y="136525"/>
                              </a:lnTo>
                              <a:lnTo>
                                <a:pt x="40005" y="168910"/>
                              </a:lnTo>
                              <a:lnTo>
                                <a:pt x="0" y="36830"/>
                              </a:lnTo>
                              <a:close/>
                            </a:path>
                          </a:pathLst>
                        </a:custGeom>
                        <a:solidFill>
                          <a:srgbClr val="FFC000">
                            <a:alpha val="20000"/>
                          </a:srgbClr>
                        </a:solidFill>
                        <a:ln w="6350">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80.95pt;margin-top:203.5pt;height:13.3pt;width:17.35pt;z-index:251711488;mso-width-relative:page;mso-height-relative:page;" fillcolor="#FFC000" filled="t" stroked="t" coordsize="220345,168910" o:gfxdata="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XHTJO2AAAAAsBAAAPAAAAAAAA&#10;AAEAIAAAACIAAABkcnMvZG93bnJldi54bWxQSwECFAAUAAAACACHTuJAiwR2WC8DAACRCAAADgAA&#10;AAAAAAABACAAAAAnAQAAZHJzL2Uyb0RvYy54bWxQSwUGAAAAAAYABgBZAQAAyAYAAAAA&#10;" path="m0,36830l184150,0,220345,136525,40005,168910,0,36830xe">
                <v:path o:connectlocs="0,36830;184150,0;220345,136525;40005,168910;0,36830" o:connectangles="0,0,0,0,0"/>
                <v:fill on="t" opacity="13107f" focussize="0,0"/>
                <v:stroke weight="0.5pt" color="#FFC000 [2404]" miterlimit="8" joinstyle="miter"/>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5367655</wp:posOffset>
                </wp:positionH>
                <wp:positionV relativeFrom="paragraph">
                  <wp:posOffset>2473325</wp:posOffset>
                </wp:positionV>
                <wp:extent cx="196215" cy="168275"/>
                <wp:effectExtent l="5715" t="5715" r="11430" b="8890"/>
                <wp:wrapNone/>
                <wp:docPr id="37" name="任意多边形 37"/>
                <wp:cNvGraphicFramePr/>
                <a:graphic xmlns:a="http://schemas.openxmlformats.org/drawingml/2006/main">
                  <a:graphicData uri="http://schemas.microsoft.com/office/word/2010/wordprocessingShape">
                    <wps:wsp>
                      <wps:cNvSpPr/>
                      <wps:spPr>
                        <a:xfrm>
                          <a:off x="6087745" y="3373120"/>
                          <a:ext cx="196215" cy="168275"/>
                        </a:xfrm>
                        <a:custGeom>
                          <a:avLst/>
                          <a:gdLst>
                            <a:gd name="connisteX0" fmla="*/ 0 w 196215"/>
                            <a:gd name="connsiteY0" fmla="*/ 40005 h 168275"/>
                            <a:gd name="connisteX1" fmla="*/ 172085 w 196215"/>
                            <a:gd name="connsiteY1" fmla="*/ 0 h 168275"/>
                            <a:gd name="connisteX2" fmla="*/ 196215 w 196215"/>
                            <a:gd name="connsiteY2" fmla="*/ 135890 h 168275"/>
                            <a:gd name="connisteX3" fmla="*/ 35560 w 196215"/>
                            <a:gd name="connsiteY3" fmla="*/ 168275 h 168275"/>
                            <a:gd name="connisteX4" fmla="*/ 0 w 196215"/>
                            <a:gd name="connsiteY4" fmla="*/ 40005 h 1682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96215" h="168275">
                              <a:moveTo>
                                <a:pt x="0" y="40005"/>
                              </a:moveTo>
                              <a:lnTo>
                                <a:pt x="172085" y="0"/>
                              </a:lnTo>
                              <a:lnTo>
                                <a:pt x="196215" y="135890"/>
                              </a:lnTo>
                              <a:lnTo>
                                <a:pt x="35560" y="168275"/>
                              </a:lnTo>
                              <a:lnTo>
                                <a:pt x="0" y="40005"/>
                              </a:lnTo>
                              <a:close/>
                            </a:path>
                          </a:pathLst>
                        </a:custGeom>
                        <a:solidFill>
                          <a:srgbClr val="FFC000">
                            <a:alpha val="20000"/>
                          </a:srgbClr>
                        </a:solidFill>
                        <a:ln w="6350">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22.65pt;margin-top:194.75pt;height:13.25pt;width:15.45pt;z-index:251710464;mso-width-relative:page;mso-height-relative:page;" fillcolor="#FFC000" filled="t" stroked="t" coordsize="196215,168275" o:gfxdata="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dx5zAtkAAAALAQAADwAAAAAA&#10;AAABACAAAAAiAAAAZHJzL2Rvd25yZXYueG1sUEsBAhQAFAAAAAgAh07iQDEcNQMvAwAAkQgAAA4A&#10;AAAAAAAAAQAgAAAAKAEAAGRycy9lMm9Eb2MueG1sUEsFBgAAAAAGAAYAWQEAAMkGAAAAAA==&#10;" path="m0,40005l172085,0,196215,135890,35560,168275,0,40005xe">
                <v:path o:connectlocs="0,40005;172085,0;196215,135890;35560,168275;0,40005" o:connectangles="0,0,0,0,0"/>
                <v:fill on="t" opacity="13107f" focussize="0,0"/>
                <v:stroke weight="0.5pt" color="#FFC000 [24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3351530</wp:posOffset>
                </wp:positionH>
                <wp:positionV relativeFrom="paragraph">
                  <wp:posOffset>3145790</wp:posOffset>
                </wp:positionV>
                <wp:extent cx="810260" cy="381000"/>
                <wp:effectExtent l="426720" t="6350" r="20320" b="165100"/>
                <wp:wrapNone/>
                <wp:docPr id="31" name="圆角矩形标注 31"/>
                <wp:cNvGraphicFramePr/>
                <a:graphic xmlns:a="http://schemas.openxmlformats.org/drawingml/2006/main">
                  <a:graphicData uri="http://schemas.microsoft.com/office/word/2010/wordprocessingShape">
                    <wps:wsp>
                      <wps:cNvSpPr/>
                      <wps:spPr>
                        <a:xfrm>
                          <a:off x="0" y="0"/>
                          <a:ext cx="810260" cy="381000"/>
                        </a:xfrm>
                        <a:prstGeom prst="wedgeRoundRectCallout">
                          <a:avLst>
                            <a:gd name="adj1" fmla="val -97257"/>
                            <a:gd name="adj2" fmla="val 85000"/>
                            <a:gd name="adj3" fmla="val 1666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052C9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3.9pt;margin-top:247.7pt;height:30pt;width:63.8pt;z-index:251663360;v-text-anchor:middle;mso-width-relative:page;mso-height-relative:page;" fillcolor="#FFFFFF [3212]" filled="t" stroked="t" coordsize="21600,21600" o:gfxdata="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SYbyzb&#10;AAAADAEAAA8AAAAAAAAAAQAgAAAAIgAAAGRycy9kb3ducmV2LnhtbFBLAQIUABQAAAAIAIdO4kB2&#10;vSSyyAIAAJMFAAAOAAAAAAAAAAEAIAAAACoBAABkcnMvZTJvRG9jLnhtbFBLBQYAAAAABgAGAFkB&#10;AABkBgAAAAA=&#10;" adj="-10208,29160,14400">
                <v:fill on="t" focussize="0,0"/>
                <v:stroke weight="1pt" color="#FF0000 [2404]" miterlimit="8" joinstyle="miter"/>
                <v:imagedata o:title=""/>
                <o:lock v:ext="edit" aspectratio="f"/>
                <v:textbox>
                  <w:txbxContent>
                    <w:p w14:paraId="7052C9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Theme="minorEastAsia"/>
                          <w:sz w:val="21"/>
                          <w:szCs w:val="21"/>
                          <w:lang w:val="en-US" w:eastAsia="zh-CN"/>
                        </w:rPr>
                      </w:pPr>
                      <w:r>
                        <w:rPr>
                          <w:rFonts w:hint="eastAsia"/>
                          <w:b/>
                          <w:bCs/>
                          <w:color w:val="FF0000"/>
                          <w:sz w:val="21"/>
                          <w:szCs w:val="21"/>
                          <w:lang w:val="en-US" w:eastAsia="zh-CN"/>
                        </w:rPr>
                        <w:t>项目位置</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5697220</wp:posOffset>
                </wp:positionH>
                <wp:positionV relativeFrom="paragraph">
                  <wp:posOffset>3848100</wp:posOffset>
                </wp:positionV>
                <wp:extent cx="889635" cy="3937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89635" cy="393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F2A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春雪四季公寓200m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6pt;margin-top:303pt;height:31pt;width:70.05pt;z-index:251669504;mso-width-relative:page;mso-height-relative:page;" filled="f" stroked="f" coordsize="21600,21600" o:gfxdata="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XZVAHcAAAADAEAAA8AAAAAAAAAAQAgAAAAIgAA&#10;AGRycy9kb3ducmV2LnhtbFBLAQIUABQAAAAIAIdO4kBDbfGvPQIAAGcEAAAOAAAAAAAAAAEAIAAA&#10;ACsBAABkcnMvZTJvRG9jLnhtbFBLBQYAAAAABgAGAFkBAADaBQAAAAA=&#10;">
                <v:fill on="f" focussize="0,0"/>
                <v:stroke on="f" weight="0.5pt"/>
                <v:imagedata o:title=""/>
                <o:lock v:ext="edit" aspectratio="f"/>
                <v:textbox>
                  <w:txbxContent>
                    <w:p w14:paraId="11AF2A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春雪四季公寓200m</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5564505</wp:posOffset>
                </wp:positionH>
                <wp:positionV relativeFrom="paragraph">
                  <wp:posOffset>3285490</wp:posOffset>
                </wp:positionV>
                <wp:extent cx="975360" cy="670560"/>
                <wp:effectExtent l="6350" t="5715" r="8890" b="9525"/>
                <wp:wrapNone/>
                <wp:docPr id="35" name="任意多边形 35"/>
                <wp:cNvGraphicFramePr/>
                <a:graphic xmlns:a="http://schemas.openxmlformats.org/drawingml/2006/main">
                  <a:graphicData uri="http://schemas.microsoft.com/office/word/2010/wordprocessingShape">
                    <wps:wsp>
                      <wps:cNvSpPr/>
                      <wps:spPr>
                        <a:xfrm>
                          <a:off x="6279515" y="4175125"/>
                          <a:ext cx="975360" cy="670560"/>
                        </a:xfrm>
                        <a:custGeom>
                          <a:avLst/>
                          <a:gdLst>
                            <a:gd name="connisteX0" fmla="*/ 0 w 975360"/>
                            <a:gd name="connsiteY0" fmla="*/ 182245 h 670560"/>
                            <a:gd name="connisteX1" fmla="*/ 106680 w 975360"/>
                            <a:gd name="connsiteY1" fmla="*/ 670560 h 670560"/>
                            <a:gd name="connisteX2" fmla="*/ 975360 w 975360"/>
                            <a:gd name="connsiteY2" fmla="*/ 492760 h 670560"/>
                            <a:gd name="connisteX3" fmla="*/ 883920 w 975360"/>
                            <a:gd name="connsiteY3" fmla="*/ 0 h 670560"/>
                            <a:gd name="connisteX4" fmla="*/ 0 w 975360"/>
                            <a:gd name="connsiteY4" fmla="*/ 182245 h 6705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75360" h="670560">
                              <a:moveTo>
                                <a:pt x="0" y="182245"/>
                              </a:moveTo>
                              <a:lnTo>
                                <a:pt x="106680" y="670560"/>
                              </a:lnTo>
                              <a:lnTo>
                                <a:pt x="975360" y="492760"/>
                              </a:lnTo>
                              <a:lnTo>
                                <a:pt x="883920" y="0"/>
                              </a:lnTo>
                              <a:lnTo>
                                <a:pt x="0" y="182245"/>
                              </a:lnTo>
                              <a:close/>
                            </a:path>
                          </a:pathLst>
                        </a:custGeom>
                        <a:solidFill>
                          <a:srgbClr val="92D050">
                            <a:alpha val="30000"/>
                          </a:srgbClr>
                        </a:solidFill>
                        <a:ln w="10160">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38.15pt;margin-top:258.7pt;height:52.8pt;width:76.8pt;z-index:251708416;mso-width-relative:page;mso-height-relative:page;" fillcolor="#92D050" filled="t" stroked="t" coordsize="975360,670560" o:gfxdata="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GsgItdsAAAAMAQAA&#10;DwAAAAAAAAABACAAAAAiAAAAZHJzL2Rvd25yZXYueG1sUEsBAhQAFAAAAAgAh07iQGiX0eUzAwAA&#10;mAgAAA4AAAAAAAAAAQAgAAAAKgEAAGRycy9lMm9Eb2MueG1sUEsFBgAAAAAGAAYAWQEAAM8GAAAA&#10;AA==&#10;" path="m0,182245l106680,670560,975360,492760,883920,0,0,182245xe">
                <v:path o:connectlocs="0,182245;106680,670560;975360,492760;883920,0;0,182245" o:connectangles="0,0,0,0,0"/>
                <v:fill on="t" opacity="19660f" focussize="0,0"/>
                <v:stroke weight="0.8pt" color="#92D050 [2404]"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4086225</wp:posOffset>
                </wp:positionH>
                <wp:positionV relativeFrom="paragraph">
                  <wp:posOffset>4257675</wp:posOffset>
                </wp:positionV>
                <wp:extent cx="1182370" cy="48514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182370" cy="485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F827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维尔丽酒店公寓329</w:t>
                            </w:r>
                            <w:r>
                              <w:rPr>
                                <w:rFonts w:hint="eastAsia" w:ascii="Times New Roman" w:hAnsi="Times New Roman" w:eastAsia="宋体" w:cs="Times New Roman"/>
                                <w:b/>
                                <w:bCs/>
                                <w:color w:val="FFFF00"/>
                                <w:sz w:val="18"/>
                                <w:szCs w:val="18"/>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75pt;margin-top:335.25pt;height:38.2pt;width:93.1pt;z-index:251670528;mso-width-relative:page;mso-height-relative:page;" filled="f" stroked="f" coordsize="21600,21600" o:gfxdata="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&#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9pdfcAAAACwEAAA8AAAAAAAAAAQAgAAAAIgAA&#10;AGRycy9kb3ducmV2LnhtbFBLAQIUABQAAAAIAIdO4kA75i0aPQIAAGgEAAAOAAAAAAAAAAEAIAAA&#10;ACsBAABkcnMvZTJvRG9jLnhtbFBLBQYAAAAABgAGAFkBAADaBQAAAAA=&#10;">
                <v:fill on="f" focussize="0,0"/>
                <v:stroke on="f" weight="0.5pt"/>
                <v:imagedata o:title=""/>
                <o:lock v:ext="edit" aspectratio="f"/>
                <v:textbox>
                  <w:txbxContent>
                    <w:p w14:paraId="42CF827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FF00"/>
                          <w:sz w:val="18"/>
                          <w:szCs w:val="18"/>
                          <w:lang w:val="en-US" w:eastAsia="zh-CN"/>
                        </w:rPr>
                      </w:pPr>
                      <w:r>
                        <w:rPr>
                          <w:rFonts w:hint="eastAsia" w:cs="Times New Roman"/>
                          <w:b/>
                          <w:bCs/>
                          <w:color w:val="FFFF00"/>
                          <w:sz w:val="18"/>
                          <w:szCs w:val="18"/>
                          <w:lang w:val="en-US" w:eastAsia="zh-CN"/>
                        </w:rPr>
                        <w:t>维尔丽酒店公寓329</w:t>
                      </w:r>
                      <w:r>
                        <w:rPr>
                          <w:rFonts w:hint="eastAsia" w:ascii="Times New Roman" w:hAnsi="Times New Roman" w:eastAsia="宋体" w:cs="Times New Roman"/>
                          <w:b/>
                          <w:bCs/>
                          <w:color w:val="FFFF00"/>
                          <w:sz w:val="18"/>
                          <w:szCs w:val="18"/>
                          <w:lang w:val="en-US" w:eastAsia="zh-CN"/>
                        </w:rPr>
                        <w:t>m</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4457065</wp:posOffset>
                </wp:positionH>
                <wp:positionV relativeFrom="paragraph">
                  <wp:posOffset>3914775</wp:posOffset>
                </wp:positionV>
                <wp:extent cx="375920" cy="412115"/>
                <wp:effectExtent l="7620" t="7620" r="12700" b="22225"/>
                <wp:wrapNone/>
                <wp:docPr id="36" name="任意多边形 36"/>
                <wp:cNvGraphicFramePr/>
                <a:graphic xmlns:a="http://schemas.openxmlformats.org/drawingml/2006/main">
                  <a:graphicData uri="http://schemas.microsoft.com/office/word/2010/wordprocessingShape">
                    <wps:wsp>
                      <wps:cNvSpPr/>
                      <wps:spPr>
                        <a:xfrm>
                          <a:off x="5177155" y="4814570"/>
                          <a:ext cx="375920" cy="412115"/>
                        </a:xfrm>
                        <a:custGeom>
                          <a:avLst/>
                          <a:gdLst>
                            <a:gd name="connisteX0" fmla="*/ 0 w 375920"/>
                            <a:gd name="connsiteY0" fmla="*/ 76200 h 412115"/>
                            <a:gd name="connisteX1" fmla="*/ 71120 w 375920"/>
                            <a:gd name="connsiteY1" fmla="*/ 412115 h 412115"/>
                            <a:gd name="connisteX2" fmla="*/ 375920 w 375920"/>
                            <a:gd name="connsiteY2" fmla="*/ 365760 h 412115"/>
                            <a:gd name="connisteX3" fmla="*/ 314960 w 375920"/>
                            <a:gd name="connsiteY3" fmla="*/ 0 h 412115"/>
                            <a:gd name="connisteX4" fmla="*/ 0 w 375920"/>
                            <a:gd name="connsiteY4" fmla="*/ 76200 h 41211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75920" h="412115">
                              <a:moveTo>
                                <a:pt x="0" y="76200"/>
                              </a:moveTo>
                              <a:lnTo>
                                <a:pt x="71120" y="412115"/>
                              </a:lnTo>
                              <a:lnTo>
                                <a:pt x="375920" y="365760"/>
                              </a:lnTo>
                              <a:lnTo>
                                <a:pt x="314960" y="0"/>
                              </a:lnTo>
                              <a:lnTo>
                                <a:pt x="0" y="76200"/>
                              </a:lnTo>
                              <a:close/>
                            </a:path>
                          </a:pathLst>
                        </a:custGeom>
                        <a:solidFill>
                          <a:schemeClr val="accent4">
                            <a:alpha val="30000"/>
                          </a:schemeClr>
                        </a:solidFill>
                        <a:ln w="10160">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50.95pt;margin-top:308.25pt;height:32.45pt;width:29.6pt;z-index:251709440;mso-width-relative:page;mso-height-relative:page;" fillcolor="#75BD42 [3207]" filled="t" stroked="t" coordsize="375920,412115" o:gfxdata="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pGNuT9kAAAALAQAADwAA&#10;AAAAAAABACAAAAAiAAAAZHJzL2Rvd25yZXYueG1sUEsBAhQAFAAAAAgAh07iQGOTUCcyAwAAkggA&#10;AA4AAAAAAAAAAQAgAAAAKAEAAGRycy9lMm9Eb2MueG1sUEsFBgAAAAAGAAYAWQEAAMwGAAAAAA==&#10;" path="m0,76200l71120,412115,375920,365760,314960,0,0,76200xe">
                <v:path o:connectlocs="0,76200;71120,412115;375920,365760;314960,0;0,76200" o:connectangles="0,0,0,0,0"/>
                <v:fill on="t" opacity="19660f" focussize="0,0"/>
                <v:stroke weight="0.8pt" color="#92D050 [24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189230</wp:posOffset>
                </wp:positionH>
                <wp:positionV relativeFrom="paragraph">
                  <wp:posOffset>4427855</wp:posOffset>
                </wp:positionV>
                <wp:extent cx="227965" cy="133350"/>
                <wp:effectExtent l="9525" t="9525" r="10160" b="9525"/>
                <wp:wrapNone/>
                <wp:docPr id="34" name="矩形 34"/>
                <wp:cNvGraphicFramePr/>
                <a:graphic xmlns:a="http://schemas.openxmlformats.org/drawingml/2006/main">
                  <a:graphicData uri="http://schemas.microsoft.com/office/word/2010/wordprocessingShape">
                    <wps:wsp>
                      <wps:cNvSpPr/>
                      <wps:spPr>
                        <a:xfrm>
                          <a:off x="0" y="0"/>
                          <a:ext cx="227965" cy="13335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348.65pt;height:10.5pt;width:17.95pt;z-index:251665408;v-text-anchor:middle;mso-width-relative:page;mso-height-relative:page;" filled="f" stroked="t" coordsize="21600,21600" o:gfxdata="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Y3FB2QAAAAkBAAAPAAAAAAAAAAEAIAAAACIAAABkcnMvZG93bnJldi54&#10;bWxQSwECFAAUAAAACACHTuJAPkb99msCAADMBAAADgAAAAAAAAABACAAAAAoAQAAZHJzL2Uyb0Rv&#10;Yy54bWxQSwUGAAAAAAYABgBZAQAABQYAAAAA&#10;">
                <v:fill on="f" focussize="0,0"/>
                <v:stroke weight="1.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217805</wp:posOffset>
                </wp:positionH>
                <wp:positionV relativeFrom="paragraph">
                  <wp:posOffset>4766310</wp:posOffset>
                </wp:positionV>
                <wp:extent cx="161925" cy="161925"/>
                <wp:effectExtent l="6350" t="6350" r="22225" b="22225"/>
                <wp:wrapNone/>
                <wp:docPr id="33" name="椭圆 33"/>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15pt;margin-top:375.3pt;height:12.75pt;width:12.75pt;z-index:251667456;v-text-anchor:middle;mso-width-relative:page;mso-height-relative:page;" filled="f" stroked="t" coordsize="21600,21600" o:gfxdata="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mjEG1wAAAAkBAAAPAAAAAAAAAAEAIAAAACIAAABkcnMvZG93bnJldi54bWxQ&#10;SwECFAAUAAAACACHTuJAONxpDGoCAADPBAAADgAAAAAAAAABACAAAAAmAQAAZHJzL2Uyb0RvYy54&#10;bWxQSwUGAAAAAAYABgBZAQAAAgYAAAAA&#10;">
                <v:fill on="f" focussize="0,0"/>
                <v:stroke weight="1pt" color="#00B050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180975</wp:posOffset>
                </wp:positionH>
                <wp:positionV relativeFrom="paragraph">
                  <wp:posOffset>5108575</wp:posOffset>
                </wp:positionV>
                <wp:extent cx="227965" cy="133350"/>
                <wp:effectExtent l="9525" t="9525" r="10160" b="9525"/>
                <wp:wrapNone/>
                <wp:docPr id="32" name="矩形 32"/>
                <wp:cNvGraphicFramePr/>
                <a:graphic xmlns:a="http://schemas.openxmlformats.org/drawingml/2006/main">
                  <a:graphicData uri="http://schemas.microsoft.com/office/word/2010/wordprocessingShape">
                    <wps:wsp>
                      <wps:cNvSpPr/>
                      <wps:spPr>
                        <a:xfrm>
                          <a:off x="0" y="0"/>
                          <a:ext cx="227965" cy="133350"/>
                        </a:xfrm>
                        <a:prstGeom prst="rect">
                          <a:avLst/>
                        </a:prstGeom>
                        <a:solidFill>
                          <a:srgbClr val="00B050">
                            <a:alpha val="30000"/>
                          </a:srgbClr>
                        </a:solidFill>
                        <a:ln w="19050">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5pt;margin-top:402.25pt;height:10.5pt;width:17.95pt;z-index:251666432;v-text-anchor:middle;mso-width-relative:page;mso-height-relative:page;" fillcolor="#00B050" filled="t" stroked="t" coordsize="21600,21600" o:gfxdata="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CnAbNcAAAAJAQAADwAAAAAAAAABACAAAAAi&#10;AAAAZHJzL2Rvd25yZXYueG1sUEsBAhQAFAAAAAgAh07iQHqHw059AgAAFgUAAA4AAAAAAAAAAQAg&#10;AAAAJgEAAGRycy9lMm9Eb2MueG1sUEsFBgAAAAAGAAYAWQEAABUGAAAAAA==&#10;">
                <v:fill on="t" opacity="19660f" focussize="0,0"/>
                <v:stroke weight="1.5pt" color="#00B050 [2404]"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79375</wp:posOffset>
                </wp:positionH>
                <wp:positionV relativeFrom="paragraph">
                  <wp:posOffset>3981450</wp:posOffset>
                </wp:positionV>
                <wp:extent cx="1626870" cy="1496060"/>
                <wp:effectExtent l="4445" t="5080" r="14605" b="7620"/>
                <wp:wrapNone/>
                <wp:docPr id="39" name="文本框 39"/>
                <wp:cNvGraphicFramePr/>
                <a:graphic xmlns:a="http://schemas.openxmlformats.org/drawingml/2006/main">
                  <a:graphicData uri="http://schemas.microsoft.com/office/word/2010/wordprocessingShape">
                    <wps:wsp>
                      <wps:cNvSpPr txBox="1"/>
                      <wps:spPr>
                        <a:xfrm>
                          <a:off x="0" y="0"/>
                          <a:ext cx="1626870" cy="1496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70C47">
                            <w:pPr>
                              <w:keepNext w:val="0"/>
                              <w:keepLines w:val="0"/>
                              <w:pageBreakBefore w:val="0"/>
                              <w:widowControl w:val="0"/>
                              <w:kinsoku/>
                              <w:wordWrap/>
                              <w:overflowPunct/>
                              <w:topLinePunct w:val="0"/>
                              <w:bidi w:val="0"/>
                              <w:adjustRightInd w:val="0"/>
                              <w:snapToGrid w:val="0"/>
                              <w:spacing w:line="408"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5F06468B">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639150BC">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500m范围</w:t>
                            </w:r>
                          </w:p>
                          <w:p w14:paraId="5C995C70">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环境保护目标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313.5pt;height:117.8pt;width:128.1pt;z-index:251664384;mso-width-relative:page;mso-height-relative:page;" fillcolor="#FFFFFF [3201]" filled="t" stroked="t" coordsize="21600,21600" o:gfxdata="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nm&#10;6Y/XAAAACgEAAA8AAAAAAAAAAQAgAAAAIgAAAGRycy9kb3ducmV2LnhtbFBLAQIUABQAAAAIAIdO&#10;4kCHDhbAXQIAALoEAAAOAAAAAAAAAAEAIAAAACYBAABkcnMvZTJvRG9jLnhtbFBLBQYAAAAABgAG&#10;AFkBAAD1BQAAAAA=&#10;">
                <v:fill on="t" focussize="0,0"/>
                <v:stroke weight="0.5pt" color="#000000 [3204]" joinstyle="round"/>
                <v:imagedata o:title=""/>
                <o:lock v:ext="edit" aspectratio="f"/>
                <v:textbox>
                  <w:txbxContent>
                    <w:p w14:paraId="6FB70C47">
                      <w:pPr>
                        <w:keepNext w:val="0"/>
                        <w:keepLines w:val="0"/>
                        <w:pageBreakBefore w:val="0"/>
                        <w:widowControl w:val="0"/>
                        <w:kinsoku/>
                        <w:wordWrap/>
                        <w:overflowPunct/>
                        <w:topLinePunct w:val="0"/>
                        <w:bidi w:val="0"/>
                        <w:adjustRightInd w:val="0"/>
                        <w:snapToGrid w:val="0"/>
                        <w:spacing w:line="408"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5F06468B">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639150BC">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500m范围</w:t>
                      </w:r>
                    </w:p>
                    <w:p w14:paraId="5C995C70">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环境保护目标</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8421370</wp:posOffset>
                </wp:positionH>
                <wp:positionV relativeFrom="paragraph">
                  <wp:posOffset>45720</wp:posOffset>
                </wp:positionV>
                <wp:extent cx="754380" cy="1116965"/>
                <wp:effectExtent l="4445" t="4445" r="22225" b="21590"/>
                <wp:wrapNone/>
                <wp:docPr id="29" name="文本框 29"/>
                <wp:cNvGraphicFramePr/>
                <a:graphic xmlns:a="http://schemas.openxmlformats.org/drawingml/2006/main">
                  <a:graphicData uri="http://schemas.microsoft.com/office/word/2010/wordprocessingShape">
                    <wps:wsp>
                      <wps:cNvSpPr txBox="1"/>
                      <wps:spPr>
                        <a:xfrm>
                          <a:off x="0" y="0"/>
                          <a:ext cx="754380" cy="111696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C5A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1pt;margin-top:3.6pt;height:87.95pt;width:59.4pt;z-index:251662336;mso-width-relative:page;mso-height-relative:page;" fillcolor="#FFFFFF" filled="t" stroked="t" coordsize="21600,21600" o:gfxdata="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2/SVtYAAAALAQAADwAAAAAAAAABACAAAAAiAAAAZHJzL2Rvd25yZXYueG1sUEsBAhQAFAAAAAgA&#10;h07iQKEqtKhgAgAAxwQAAA4AAAAAAAAAAQAgAAAAJQEAAGRycy9lMm9Eb2MueG1sUEsFBgAAAAAG&#10;AAYAWQEAAPcFAAAAAA==&#10;">
                <v:fill on="t" focussize="0,0"/>
                <v:stroke weight="0.5pt" color="#000000 [3204]" joinstyle="round"/>
                <v:imagedata o:title=""/>
                <o:lock v:ext="edit" aspectratio="f"/>
                <v:textbox>
                  <w:txbxContent>
                    <w:p w14:paraId="7AFC5A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v:textbox>
              </v:shape>
            </w:pict>
          </mc:Fallback>
        </mc:AlternateContent>
      </w:r>
      <w:r>
        <w:drawing>
          <wp:inline distT="0" distB="0" distL="114300" distR="114300">
            <wp:extent cx="9109075" cy="5435600"/>
            <wp:effectExtent l="0" t="0" r="0" b="0"/>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42"/>
                    <a:srcRect t="6815"/>
                    <a:stretch>
                      <a:fillRect/>
                    </a:stretch>
                  </pic:blipFill>
                  <pic:spPr>
                    <a:xfrm>
                      <a:off x="0" y="0"/>
                      <a:ext cx="9109075" cy="5435600"/>
                    </a:xfrm>
                    <a:prstGeom prst="rect">
                      <a:avLst/>
                    </a:prstGeom>
                  </pic:spPr>
                </pic:pic>
              </a:graphicData>
            </a:graphic>
          </wp:inline>
        </w:drawing>
      </w:r>
    </w:p>
    <w:p w14:paraId="194462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sz w:val="24"/>
          <w:szCs w:val="24"/>
          <w:lang w:val="en-US" w:eastAsia="zh-CN"/>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sz w:val="24"/>
          <w:szCs w:val="24"/>
          <w:lang w:val="en-US" w:eastAsia="zh-CN"/>
        </w:rPr>
        <w:t>附图2 项目周边关系图</w:t>
      </w:r>
    </w:p>
    <w:p w14:paraId="0B1A06A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sz w:val="24"/>
        </w:rPr>
        <mc:AlternateContent>
          <mc:Choice Requires="wps">
            <w:drawing>
              <wp:anchor distT="0" distB="0" distL="114300" distR="114300" simplePos="0" relativeHeight="251695104" behindDoc="0" locked="0" layoutInCell="1" allowOverlap="1">
                <wp:simplePos x="0" y="0"/>
                <wp:positionH relativeFrom="column">
                  <wp:posOffset>2136775</wp:posOffset>
                </wp:positionH>
                <wp:positionV relativeFrom="paragraph">
                  <wp:posOffset>4182110</wp:posOffset>
                </wp:positionV>
                <wp:extent cx="661670" cy="76200"/>
                <wp:effectExtent l="0" t="0" r="5080" b="0"/>
                <wp:wrapNone/>
                <wp:docPr id="106" name="矩形 106"/>
                <wp:cNvGraphicFramePr/>
                <a:graphic xmlns:a="http://schemas.openxmlformats.org/drawingml/2006/main">
                  <a:graphicData uri="http://schemas.microsoft.com/office/word/2010/wordprocessingShape">
                    <wps:wsp>
                      <wps:cNvSpPr/>
                      <wps:spPr>
                        <a:xfrm>
                          <a:off x="2856865" y="5082540"/>
                          <a:ext cx="661670" cy="762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25pt;margin-top:329.3pt;height:6pt;width:52.1pt;z-index:251695104;v-text-anchor:middle;mso-width-relative:page;mso-height-relative:page;" fillcolor="#FFFFFF [3212]" filled="t" stroked="f" coordsize="21600,21600" o:gfxdata="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&#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XVQo2gAAAAsBAAAPAAAAAAAAAAEAIAAAACIAAABk&#10;cnMvZG93bnJldi54bWxQSwECFAAUAAAACACHTuJAGw5zY3YCAADZBAAADgAAAAAAAAABACAAAAAp&#10;AQAAZHJzL2Uyb0RvYy54bWxQSwUGAAAAAAYABgBZAQAAEQ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4914900</wp:posOffset>
                </wp:positionH>
                <wp:positionV relativeFrom="paragraph">
                  <wp:posOffset>4601210</wp:posOffset>
                </wp:positionV>
                <wp:extent cx="161925" cy="99695"/>
                <wp:effectExtent l="0" t="0" r="9525" b="14605"/>
                <wp:wrapNone/>
                <wp:docPr id="121" name="矩形 121"/>
                <wp:cNvGraphicFramePr/>
                <a:graphic xmlns:a="http://schemas.openxmlformats.org/drawingml/2006/main">
                  <a:graphicData uri="http://schemas.microsoft.com/office/word/2010/wordprocessingShape">
                    <wps:wsp>
                      <wps:cNvSpPr/>
                      <wps:spPr>
                        <a:xfrm>
                          <a:off x="5634990" y="5501005"/>
                          <a:ext cx="161925" cy="9969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pt;margin-top:362.3pt;height:7.85pt;width:12.75pt;z-index:251702272;v-text-anchor:middle;mso-width-relative:page;mso-height-relative:page;" fillcolor="#FFFFFF [3212]" filled="t" stroked="f" coordsize="21600,21600" o:gfxdata="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Q2eYM2wAAAAsBAAAPAAAAAAAAAAEAIAAAACIAAABk&#10;cnMvZG93bnJldi54bWxQSwECFAAUAAAACACHTuJAG0//QXUCAADZBAAADgAAAAAAAAABACAAAAAq&#10;AQAAZHJzL2Uyb0RvYy54bWxQSwUGAAAAAAYABgBZAQAAEQ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4914900</wp:posOffset>
                </wp:positionH>
                <wp:positionV relativeFrom="paragraph">
                  <wp:posOffset>4129405</wp:posOffset>
                </wp:positionV>
                <wp:extent cx="147955" cy="119380"/>
                <wp:effectExtent l="0" t="0" r="4445" b="13970"/>
                <wp:wrapNone/>
                <wp:docPr id="120" name="矩形 120"/>
                <wp:cNvGraphicFramePr/>
                <a:graphic xmlns:a="http://schemas.openxmlformats.org/drawingml/2006/main">
                  <a:graphicData uri="http://schemas.microsoft.com/office/word/2010/wordprocessingShape">
                    <wps:wsp>
                      <wps:cNvSpPr/>
                      <wps:spPr>
                        <a:xfrm>
                          <a:off x="5634990" y="5029200"/>
                          <a:ext cx="147955" cy="1193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pt;margin-top:325.15pt;height:9.4pt;width:11.65pt;z-index:251701248;v-text-anchor:middle;mso-width-relative:page;mso-height-relative:page;" fillcolor="#FFFFFF [3212]" filled="t" stroked="f" coordsize="21600,21600" o:gfxdata="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1aaYdsAAAALAQAADwAAAAAAAAABACAAAAAiAAAA&#10;ZHJzL2Rvd25yZXYueG1sUEsBAhQAFAAAAAgAh07iQDhufHp2AgAA2gQAAA4AAAAAAAAAAQAgAAAA&#10;KgEAAGRycy9lMm9Eb2MueG1sUEsFBgAAAAAGAAYAWQEAABI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3877945</wp:posOffset>
                </wp:positionH>
                <wp:positionV relativeFrom="paragraph">
                  <wp:posOffset>5221605</wp:posOffset>
                </wp:positionV>
                <wp:extent cx="362585" cy="99060"/>
                <wp:effectExtent l="0" t="0" r="18415" b="15240"/>
                <wp:wrapNone/>
                <wp:docPr id="119" name="矩形 119"/>
                <wp:cNvGraphicFramePr/>
                <a:graphic xmlns:a="http://schemas.openxmlformats.org/drawingml/2006/main">
                  <a:graphicData uri="http://schemas.microsoft.com/office/word/2010/wordprocessingShape">
                    <wps:wsp>
                      <wps:cNvSpPr/>
                      <wps:spPr>
                        <a:xfrm>
                          <a:off x="4598035" y="6121400"/>
                          <a:ext cx="362585" cy="9906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35pt;margin-top:411.15pt;height:7.8pt;width:28.55pt;z-index:251700224;v-text-anchor:middle;mso-width-relative:page;mso-height-relative:page;" fillcolor="#FFFFFF [3212]" filled="t" stroked="f" coordsize="21600,21600" o:gfxdata="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3IUL7aAAAACwEAAA8AAAAAAAAAAQAgAAAAIgAA&#10;AGRycy9kb3ducmV2LnhtbFBLAQIUABQAAAAIAIdO4kBr0djseAIAANkEAAAOAAAAAAAAAAEAIAAA&#10;ACkBAABkcnMvZTJvRG9jLnhtbFBLBQYAAAAABgAGAFkBAAAT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2075180</wp:posOffset>
                </wp:positionH>
                <wp:positionV relativeFrom="paragraph">
                  <wp:posOffset>3765550</wp:posOffset>
                </wp:positionV>
                <wp:extent cx="863600" cy="316865"/>
                <wp:effectExtent l="0" t="0" r="12700" b="6985"/>
                <wp:wrapNone/>
                <wp:docPr id="105" name="矩形 105"/>
                <wp:cNvGraphicFramePr/>
                <a:graphic xmlns:a="http://schemas.openxmlformats.org/drawingml/2006/main">
                  <a:graphicData uri="http://schemas.microsoft.com/office/word/2010/wordprocessingShape">
                    <wps:wsp>
                      <wps:cNvSpPr/>
                      <wps:spPr>
                        <a:xfrm>
                          <a:off x="2862580" y="4665345"/>
                          <a:ext cx="863600" cy="3168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296.5pt;height:24.95pt;width:68pt;z-index:251694080;v-text-anchor:middle;mso-width-relative:page;mso-height-relative:page;" fillcolor="#FFFFFF [3212]" filled="t" stroked="f" coordsize="21600,21600" o:gfxdata="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N1Ivf2wAAAAsBAAAPAAAAAAAAAAEAIAAAACIA&#10;AABkcnMvZG93bnJldi54bWxQSwECFAAUAAAACACHTuJA9q3qg3gCAADaBAAADgAAAAAAAAABACAA&#10;AAAqAQAAZHJzL2Uyb0RvYy54bWxQSwUGAAAAAAYABgBZAQAAF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2030730</wp:posOffset>
                </wp:positionH>
                <wp:positionV relativeFrom="paragraph">
                  <wp:posOffset>2088515</wp:posOffset>
                </wp:positionV>
                <wp:extent cx="927100" cy="481965"/>
                <wp:effectExtent l="0" t="0" r="6350" b="13335"/>
                <wp:wrapNone/>
                <wp:docPr id="104" name="矩形 104"/>
                <wp:cNvGraphicFramePr/>
                <a:graphic xmlns:a="http://schemas.openxmlformats.org/drawingml/2006/main">
                  <a:graphicData uri="http://schemas.microsoft.com/office/word/2010/wordprocessingShape">
                    <wps:wsp>
                      <wps:cNvSpPr/>
                      <wps:spPr>
                        <a:xfrm>
                          <a:off x="2836545" y="2988310"/>
                          <a:ext cx="927100" cy="4819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9pt;margin-top:164.45pt;height:37.95pt;width:73pt;z-index:251693056;v-text-anchor:middle;mso-width-relative:page;mso-height-relative:page;" fillcolor="#FFFFFF [3212]" filled="t" stroked="f" coordsize="21600,21600" o:gfxdata="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IzhQXaAAAACwEAAA8AAAAAAAAAAQAgAAAAIgAA&#10;AGRycy9kb3ducmV2LnhtbFBLAQIUABQAAAAIAIdO4kDNJPlxeAIAANoEAAAOAAAAAAAAAAEAIAAA&#10;ACkBAABkcnMvZTJvRG9jLnhtbFBLBQYAAAAABgAGAFkBAAAT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361950</wp:posOffset>
                </wp:positionH>
                <wp:positionV relativeFrom="paragraph">
                  <wp:posOffset>4813935</wp:posOffset>
                </wp:positionV>
                <wp:extent cx="487045" cy="298450"/>
                <wp:effectExtent l="0" t="0" r="8255" b="6350"/>
                <wp:wrapNone/>
                <wp:docPr id="110" name="矩形 110"/>
                <wp:cNvGraphicFramePr/>
                <a:graphic xmlns:a="http://schemas.openxmlformats.org/drawingml/2006/main">
                  <a:graphicData uri="http://schemas.microsoft.com/office/word/2010/wordprocessingShape">
                    <wps:wsp>
                      <wps:cNvSpPr/>
                      <wps:spPr>
                        <a:xfrm>
                          <a:off x="1235710" y="5713730"/>
                          <a:ext cx="487045" cy="2984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379.05pt;height:23.5pt;width:38.35pt;z-index:251699200;v-text-anchor:middle;mso-width-relative:page;mso-height-relative:page;" fillcolor="#FFFFFF [3212]" filled="t" stroked="f" coordsize="21600,21600" o:gfxdata="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PS7V9kAAAAKAQAADwAAAAAAAAABACAAAAAiAAAAZHJz&#10;L2Rvd25yZXYueG1sUEsBAhQAFAAAAAgAh07iQArvWi11AgAA2gQAAA4AAAAAAAAAAQAgAAAAKAEA&#10;AGRycy9lMm9Eb2MueG1sUEsFBgAAAAAGAAYAWQEAAA8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1266825</wp:posOffset>
                </wp:positionH>
                <wp:positionV relativeFrom="paragraph">
                  <wp:posOffset>4868545</wp:posOffset>
                </wp:positionV>
                <wp:extent cx="252730" cy="266700"/>
                <wp:effectExtent l="0" t="0" r="13970" b="0"/>
                <wp:wrapNone/>
                <wp:docPr id="109" name="矩形 109"/>
                <wp:cNvGraphicFramePr/>
                <a:graphic xmlns:a="http://schemas.openxmlformats.org/drawingml/2006/main">
                  <a:graphicData uri="http://schemas.microsoft.com/office/word/2010/wordprocessingShape">
                    <wps:wsp>
                      <wps:cNvSpPr/>
                      <wps:spPr>
                        <a:xfrm>
                          <a:off x="1986915" y="5768340"/>
                          <a:ext cx="252730"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75pt;margin-top:383.35pt;height:21pt;width:19.9pt;z-index:251698176;v-text-anchor:middle;mso-width-relative:page;mso-height-relative:page;" fillcolor="#FFFFFF [3212]" filled="t" stroked="f" coordsize="21600,21600" o:gfxdata="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&#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yGw+NoAAAALAQAADwAAAAAAAAABACAAAAAiAAAA&#10;ZHJzL2Rvd25yZXYueG1sUEsBAhQAFAAAAAgAh07iQOGd/dh3AgAA2gQAAA4AAAAAAAAAAQAgAAAA&#10;KQEAAGRycy9lMm9Eb2MueG1sUEsFBgAAAAAGAAYAWQEAABI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1538605</wp:posOffset>
                </wp:positionH>
                <wp:positionV relativeFrom="paragraph">
                  <wp:posOffset>4472940</wp:posOffset>
                </wp:positionV>
                <wp:extent cx="299720" cy="200025"/>
                <wp:effectExtent l="0" t="0" r="5080" b="9525"/>
                <wp:wrapNone/>
                <wp:docPr id="108" name="矩形 108"/>
                <wp:cNvGraphicFramePr/>
                <a:graphic xmlns:a="http://schemas.openxmlformats.org/drawingml/2006/main">
                  <a:graphicData uri="http://schemas.microsoft.com/office/word/2010/wordprocessingShape">
                    <wps:wsp>
                      <wps:cNvSpPr/>
                      <wps:spPr>
                        <a:xfrm>
                          <a:off x="2258695" y="5372735"/>
                          <a:ext cx="299720" cy="2000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15pt;margin-top:352.2pt;height:15.75pt;width:23.6pt;z-index:251697152;v-text-anchor:middle;mso-width-relative:page;mso-height-relative:page;" fillcolor="#FFFFFF [3212]" filled="t" stroked="f" coordsize="21600,21600" o:gfxdata="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BPkHI2wAAAAsBAAAPAAAAAAAAAAEAIAAAACIA&#10;AABkcnMvZG93bnJldi54bWxQSwECFAAUAAAACACHTuJA82vm4HgCAADaBAAADgAAAAAAAAABACAA&#10;AAAqAQAAZHJzL2Uyb0RvYy54bWxQSwUGAAAAAAYABgBZAQAAF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2255520</wp:posOffset>
                </wp:positionH>
                <wp:positionV relativeFrom="paragraph">
                  <wp:posOffset>4863465</wp:posOffset>
                </wp:positionV>
                <wp:extent cx="142875" cy="261620"/>
                <wp:effectExtent l="0" t="0" r="9525" b="5080"/>
                <wp:wrapNone/>
                <wp:docPr id="107" name="矩形 107"/>
                <wp:cNvGraphicFramePr/>
                <a:graphic xmlns:a="http://schemas.openxmlformats.org/drawingml/2006/main">
                  <a:graphicData uri="http://schemas.microsoft.com/office/word/2010/wordprocessingShape">
                    <wps:wsp>
                      <wps:cNvSpPr/>
                      <wps:spPr>
                        <a:xfrm>
                          <a:off x="2975610" y="5763260"/>
                          <a:ext cx="142875" cy="26162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6pt;margin-top:382.95pt;height:20.6pt;width:11.25pt;z-index:251696128;v-text-anchor:middle;mso-width-relative:page;mso-height-relative:page;" fillcolor="#FFFFFF [3212]" filled="t" stroked="f" coordsize="21600,21600" o:gfxdata="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z872NsAAAALAQAADwAAAAAAAAABACAAAAAi&#10;AAAAZHJzL2Rvd25yZXYueG1sUEsBAhQAFAAAAAgAh07iQDmN++x5AgAA2gQAAA4AAAAAAAAAAQAg&#10;AAAAKgEAAGRycy9lMm9Eb2MueG1sUEsFBgAAAAAGAAYAWQEAABU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2830830</wp:posOffset>
                </wp:positionH>
                <wp:positionV relativeFrom="paragraph">
                  <wp:posOffset>401320</wp:posOffset>
                </wp:positionV>
                <wp:extent cx="343535" cy="95250"/>
                <wp:effectExtent l="0" t="0" r="18415" b="0"/>
                <wp:wrapNone/>
                <wp:docPr id="103" name="矩形 103"/>
                <wp:cNvGraphicFramePr/>
                <a:graphic xmlns:a="http://schemas.openxmlformats.org/drawingml/2006/main">
                  <a:graphicData uri="http://schemas.microsoft.com/office/word/2010/wordprocessingShape">
                    <wps:wsp>
                      <wps:cNvSpPr/>
                      <wps:spPr>
                        <a:xfrm>
                          <a:off x="3550920" y="1301115"/>
                          <a:ext cx="343535" cy="952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9pt;margin-top:31.6pt;height:7.5pt;width:27.05pt;z-index:251692032;v-text-anchor:middle;mso-width-relative:page;mso-height-relative:page;" fillcolor="#FFFFFF [3212]" filled="t" stroked="f" coordsize="21600,21600" o:gfxdata="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Q4cKNoAAAAJAQAADwAAAAAAAAABACAAAAAiAAAA&#10;ZHJzL2Rvd25yZXYueG1sUEsBAhQAFAAAAAgAh07iQMijos93AgAA2QQAAA4AAAAAAAAAAQAgAAAA&#10;KQEAAGRycy9lMm9Eb2MueG1sUEsFBgAAAAAGAAYAWQEAABI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3904615</wp:posOffset>
                </wp:positionH>
                <wp:positionV relativeFrom="paragraph">
                  <wp:posOffset>4522470</wp:posOffset>
                </wp:positionV>
                <wp:extent cx="820420" cy="391160"/>
                <wp:effectExtent l="0" t="0" r="17780" b="8890"/>
                <wp:wrapNone/>
                <wp:docPr id="102" name="矩形 102"/>
                <wp:cNvGraphicFramePr/>
                <a:graphic xmlns:a="http://schemas.openxmlformats.org/drawingml/2006/main">
                  <a:graphicData uri="http://schemas.microsoft.com/office/word/2010/wordprocessingShape">
                    <wps:wsp>
                      <wps:cNvSpPr/>
                      <wps:spPr>
                        <a:xfrm>
                          <a:off x="4624705" y="5422265"/>
                          <a:ext cx="820420" cy="39116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45pt;margin-top:356.1pt;height:30.8pt;width:64.6pt;z-index:251691008;v-text-anchor:middle;mso-width-relative:page;mso-height-relative:page;" fillcolor="#FFFFFF [3212]" filled="t" stroked="f" coordsize="21600,21600" o:gfxdata="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HMtII2wAAAAsBAAAPAAAAAAAAAAEAIAAAACIA&#10;AABkcnMvZG93bnJldi54bWxQSwECFAAUAAAACACHTuJArjB2bHgCAADaBAAADgAAAAAAAAABACAA&#10;AAAqAQAAZHJzL2Uyb0RvYy54bWxQSwUGAAAAAAYABgBZAQAAF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7186295</wp:posOffset>
                </wp:positionH>
                <wp:positionV relativeFrom="paragraph">
                  <wp:posOffset>3088640</wp:posOffset>
                </wp:positionV>
                <wp:extent cx="868045" cy="381000"/>
                <wp:effectExtent l="0" t="0" r="8255" b="0"/>
                <wp:wrapNone/>
                <wp:docPr id="101" name="矩形 101"/>
                <wp:cNvGraphicFramePr/>
                <a:graphic xmlns:a="http://schemas.openxmlformats.org/drawingml/2006/main">
                  <a:graphicData uri="http://schemas.microsoft.com/office/word/2010/wordprocessingShape">
                    <wps:wsp>
                      <wps:cNvSpPr/>
                      <wps:spPr>
                        <a:xfrm>
                          <a:off x="7906385" y="3988435"/>
                          <a:ext cx="868045" cy="3810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85pt;margin-top:243.2pt;height:30pt;width:68.35pt;z-index:251689984;v-text-anchor:middle;mso-width-relative:page;mso-height-relative:page;" fillcolor="#FFFFFF [3212]" filled="t" stroked="f" coordsize="21600,21600" o:gfxdata="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4ec53bAAAADQEAAA8AAAAAAAAAAQAgAAAAIgAA&#10;AGRycy9kb3ducmV2LnhtbFBLAQIUABQAAAAIAIdO4kC43E8CdwIAANoEAAAOAAAAAAAAAAEAIAAA&#10;ACoBAABkcnMvZTJvRG9jLnhtbFBLBQYAAAAABgAGAFkBAAATBg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5499100</wp:posOffset>
                </wp:positionH>
                <wp:positionV relativeFrom="paragraph">
                  <wp:posOffset>1026795</wp:posOffset>
                </wp:positionV>
                <wp:extent cx="156845" cy="339090"/>
                <wp:effectExtent l="0" t="0" r="14605" b="3810"/>
                <wp:wrapNone/>
                <wp:docPr id="97" name="矩形 97"/>
                <wp:cNvGraphicFramePr/>
                <a:graphic xmlns:a="http://schemas.openxmlformats.org/drawingml/2006/main">
                  <a:graphicData uri="http://schemas.microsoft.com/office/word/2010/wordprocessingShape">
                    <wps:wsp>
                      <wps:cNvSpPr/>
                      <wps:spPr>
                        <a:xfrm>
                          <a:off x="6219190" y="1957705"/>
                          <a:ext cx="156845" cy="3390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3pt;margin-top:80.85pt;height:26.7pt;width:12.35pt;z-index:251688960;v-text-anchor:middle;mso-width-relative:page;mso-height-relative:page;" fillcolor="#FFFFFF [3212]" filled="t" stroked="f" coordsize="21600,21600" o:gfxdata="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6E1gstoAAAALAQAADwAAAAAAAAABACAAAAAiAAAA&#10;ZHJzL2Rvd25yZXYueG1sUEsBAhQAFAAAAAgAh07iQFW0sHB3AgAA2AQAAA4AAAAAAAAAAQAgAAAA&#10;KQEAAGRycy9lMm9Eb2MueG1sUEsFBgAAAAAGAAYAWQEAABI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4972685</wp:posOffset>
                </wp:positionH>
                <wp:positionV relativeFrom="paragraph">
                  <wp:posOffset>1108075</wp:posOffset>
                </wp:positionV>
                <wp:extent cx="179070" cy="209550"/>
                <wp:effectExtent l="0" t="0" r="11430" b="0"/>
                <wp:wrapNone/>
                <wp:docPr id="94" name="文本框 94"/>
                <wp:cNvGraphicFramePr/>
                <a:graphic xmlns:a="http://schemas.openxmlformats.org/drawingml/2006/main">
                  <a:graphicData uri="http://schemas.microsoft.com/office/word/2010/wordprocessingShape">
                    <wps:wsp>
                      <wps:cNvSpPr txBox="1"/>
                      <wps:spPr>
                        <a:xfrm>
                          <a:off x="5692775" y="2007870"/>
                          <a:ext cx="17907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4637B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5pt;margin-top:87.25pt;height:16.5pt;width:14.1pt;z-index:251687936;mso-width-relative:page;mso-height-relative:page;" fillcolor="#FFFFFF [3201]" filled="t" stroked="f" coordsize="21600,21600" o:gfxdata="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NYFl1gAA&#10;AAsBAAAPAAAAAAAAAAEAIAAAACIAAABkcnMvZG93bnJldi54bWxQSwECFAAUAAAACACHTuJAaLoU&#10;4FkCAACcBAAADgAAAAAAAAABACAAAAAlAQAAZHJzL2Uyb0RvYy54bWxQSwUGAAAAAAYABgBZAQAA&#10;8AUAAAAA&#10;">
                <v:fill on="t" focussize="0,0"/>
                <v:stroke on="f" weight="0.5pt"/>
                <v:imagedata o:title=""/>
                <o:lock v:ext="edit" aspectratio="f"/>
                <v:textbox>
                  <w:txbxContent>
                    <w:p w14:paraId="754637B8"/>
                  </w:txbxContent>
                </v:textbox>
              </v:shape>
            </w:pict>
          </mc:Fallback>
        </mc:AlternateContent>
      </w:r>
    </w:p>
    <w:p w14:paraId="1B98A7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rPr>
        <w:t>附图3 项目平面布置图</w:t>
      </w:r>
      <w:r>
        <w:rPr>
          <w:rFonts w:hint="eastAsia"/>
          <w:b/>
          <w:bCs/>
          <w:lang w:eastAsia="zh-CN"/>
        </w:rPr>
        <w:t>（</w:t>
      </w:r>
      <w:r>
        <w:rPr>
          <w:rFonts w:hint="eastAsia"/>
          <w:b/>
          <w:bCs/>
          <w:lang w:val="en-US" w:eastAsia="zh-CN"/>
        </w:rPr>
        <w:t>1层</w:t>
      </w:r>
      <w:r>
        <w:rPr>
          <w:rFonts w:hint="eastAsia"/>
          <w:b/>
          <w:bCs/>
          <w:lang w:eastAsia="zh-CN"/>
        </w:rPr>
        <w:t>）</w:t>
      </w:r>
    </w:p>
    <w:p w14:paraId="285C5F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p>
    <w:p w14:paraId="0ED3C7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rPr>
        <w:t>附图3 项目平面布置图</w:t>
      </w:r>
      <w:r>
        <w:rPr>
          <w:rFonts w:hint="eastAsia"/>
          <w:b/>
          <w:bCs/>
          <w:lang w:eastAsia="zh-CN"/>
        </w:rPr>
        <w:t>（</w:t>
      </w:r>
      <w:r>
        <w:rPr>
          <w:rFonts w:hint="eastAsia"/>
          <w:b/>
          <w:bCs/>
          <w:lang w:val="en-US" w:eastAsia="zh-CN"/>
        </w:rPr>
        <w:t>2层</w:t>
      </w:r>
      <w:r>
        <w:rPr>
          <w:rFonts w:hint="eastAsia"/>
          <w:b/>
          <w:bCs/>
          <w:lang w:eastAsia="zh-CN"/>
        </w:rPr>
        <w:t>）</w:t>
      </w:r>
    </w:p>
    <w:p w14:paraId="0B9315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rPr>
      </w:pPr>
    </w:p>
    <w:p w14:paraId="79A7F5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rPr>
        <w:t>附图3 项目平面布置图</w:t>
      </w:r>
      <w:r>
        <w:rPr>
          <w:rFonts w:hint="eastAsia"/>
          <w:b/>
          <w:bCs/>
          <w:lang w:eastAsia="zh-CN"/>
        </w:rPr>
        <w:t>（</w:t>
      </w:r>
      <w:r>
        <w:rPr>
          <w:rFonts w:hint="eastAsia"/>
          <w:b/>
          <w:bCs/>
          <w:lang w:val="en-US" w:eastAsia="zh-CN"/>
        </w:rPr>
        <w:t>3层</w:t>
      </w:r>
      <w:r>
        <w:rPr>
          <w:rFonts w:hint="eastAsia"/>
          <w:b/>
          <w:bCs/>
          <w:lang w:eastAsia="zh-CN"/>
        </w:rPr>
        <w:t>）</w:t>
      </w:r>
    </w:p>
    <w:p w14:paraId="2FD301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14:paraId="2EDC323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247650</wp:posOffset>
                </wp:positionH>
                <wp:positionV relativeFrom="paragraph">
                  <wp:posOffset>5252720</wp:posOffset>
                </wp:positionV>
                <wp:extent cx="161925" cy="161925"/>
                <wp:effectExtent l="19050" t="21590" r="28575" b="26035"/>
                <wp:wrapNone/>
                <wp:docPr id="78" name="五角星 78"/>
                <wp:cNvGraphicFramePr/>
                <a:graphic xmlns:a="http://schemas.openxmlformats.org/drawingml/2006/main">
                  <a:graphicData uri="http://schemas.microsoft.com/office/word/2010/wordprocessingShape">
                    <wps:wsp>
                      <wps:cNvSpPr/>
                      <wps:spPr>
                        <a:xfrm>
                          <a:off x="0" y="0"/>
                          <a:ext cx="161925" cy="161925"/>
                        </a:xfrm>
                        <a:prstGeom prst="star5">
                          <a:avLst/>
                        </a:prstGeom>
                        <a:solidFill>
                          <a:srgbClr val="FF00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5pt;margin-top:413.6pt;height:12.75pt;width:12.75pt;z-index:251677696;v-text-anchor:middle;mso-width-relative:page;mso-height-relative:page;" fillcolor="#FF0000" filled="t" stroked="t" coordsize="161925,161925" o:gfxdata="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NMLJ2gAAAAkBAAAPAAAAAAAAAAEAIAAAACIAAABkcnMv&#10;ZG93bnJldi54bWxQSwECFAAUAAAACACHTuJAXPLCDXMCAAD5BAAADgAAAAAAAAABACAAAAApAQAA&#10;ZHJzL2Uyb0RvYy54bWxQSwUGAAAAAAYABgBZAQAADgYAAAAA&#10;" path="m0,61849l61850,61850,80962,0,100074,61850,161924,61849,111886,100074,130999,161924,80962,123698,30925,161924,50038,100074xe">
                <v:path o:connectlocs="80962,0;0,61849;30925,161924;130999,161924;161924,61849" o:connectangles="247,164,82,82,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246380</wp:posOffset>
                </wp:positionH>
                <wp:positionV relativeFrom="paragraph">
                  <wp:posOffset>4933950</wp:posOffset>
                </wp:positionV>
                <wp:extent cx="161925" cy="161925"/>
                <wp:effectExtent l="14605" t="14605" r="13970" b="13970"/>
                <wp:wrapNone/>
                <wp:docPr id="92" name="椭圆 92"/>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w="28575">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pt;margin-top:388.5pt;height:12.75pt;width:12.75pt;z-index:251678720;v-text-anchor:middle;mso-width-relative:page;mso-height-relative:page;" fillcolor="#FFFFFF [3212]" filled="t" stroked="t" coordsize="21600,21600" o:gfxdata="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PDCB9YAAAAJAQAADwAAAAAAAAABACAAAAAiAAAAZHJzL2Rv&#10;d25yZXYueG1sUEsBAhQAFAAAAAgAh07iQE8ghhx1AgAA+AQAAA4AAAAAAAAAAQAgAAAAJQEAAGRy&#10;cy9lMm9Eb2MueG1sUEsFBgAAAAAGAAYAWQEAAAwGAAAAAA==&#10;">
                <v:fill on="t" focussize="0,0"/>
                <v:stroke weight="2.25pt" color="#00B050 [24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245745</wp:posOffset>
                </wp:positionH>
                <wp:positionV relativeFrom="paragraph">
                  <wp:posOffset>4592955</wp:posOffset>
                </wp:positionV>
                <wp:extent cx="161925" cy="161925"/>
                <wp:effectExtent l="14605" t="14605" r="13970" b="13970"/>
                <wp:wrapNone/>
                <wp:docPr id="86" name="椭圆 86"/>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w="28575">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35pt;margin-top:361.65pt;height:12.75pt;width:12.75pt;z-index:251676672;v-text-anchor:middle;mso-width-relative:page;mso-height-relative:page;" fillcolor="#FFFFFF [3212]" filled="t" stroked="t" coordsize="21600,21600" o:gfxdata="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6Jz6zZAAAACQEAAA8AAAAAAAAAAQAgAAAAIgAAAGRycy9k&#10;b3ducmV2LnhtbFBLAQIUABQAAAAIAIdO4kCc4IWUcwIAAPgEAAAOAAAAAAAAAAEAIAAAACgBAABk&#10;cnMvZTJvRG9jLnhtbFBLBQYAAAAABgAGAFkBAAANBgAAAAA=&#10;">
                <v:fill on="t" focussize="0,0"/>
                <v:stroke weight="2.25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204470</wp:posOffset>
                </wp:positionH>
                <wp:positionV relativeFrom="paragraph">
                  <wp:posOffset>4258310</wp:posOffset>
                </wp:positionV>
                <wp:extent cx="227965" cy="133350"/>
                <wp:effectExtent l="9525" t="9525" r="10160" b="9525"/>
                <wp:wrapNone/>
                <wp:docPr id="87" name="矩形 87"/>
                <wp:cNvGraphicFramePr/>
                <a:graphic xmlns:a="http://schemas.openxmlformats.org/drawingml/2006/main">
                  <a:graphicData uri="http://schemas.microsoft.com/office/word/2010/wordprocessingShape">
                    <wps:wsp>
                      <wps:cNvSpPr/>
                      <wps:spPr>
                        <a:xfrm>
                          <a:off x="0" y="0"/>
                          <a:ext cx="227965" cy="13335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335.3pt;height:10.5pt;width:17.95pt;z-index:251675648;v-text-anchor:middle;mso-width-relative:page;mso-height-relative:page;" filled="f" stroked="t" coordsize="21600,21600" o:gfxdata="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uOBuNgAAAAJAQAADwAAAAAAAAABACAAAAAiAAAAZHJzL2Rvd25yZXYueG1s&#10;UEsBAhQAFAAAAAgAh07iQJeQm/JqAgAAzAQAAA4AAAAAAAAAAQAgAAAAJwEAAGRycy9lMm9Eb2Mu&#10;eG1sUEsFBgAAAAAGAAYAWQEAAAMGAAAAAA==&#10;">
                <v:fill on="f" focussize="0,0"/>
                <v:stroke weight="1.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paragraph">
                  <wp:posOffset>3821430</wp:posOffset>
                </wp:positionV>
                <wp:extent cx="1252855" cy="1708150"/>
                <wp:effectExtent l="4445" t="4445" r="19050" b="20955"/>
                <wp:wrapNone/>
                <wp:docPr id="88" name="文本框 88"/>
                <wp:cNvGraphicFramePr/>
                <a:graphic xmlns:a="http://schemas.openxmlformats.org/drawingml/2006/main">
                  <a:graphicData uri="http://schemas.microsoft.com/office/word/2010/wordprocessingShape">
                    <wps:wsp>
                      <wps:cNvSpPr txBox="1"/>
                      <wps:spPr>
                        <a:xfrm>
                          <a:off x="0" y="0"/>
                          <a:ext cx="1252855" cy="170815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401042">
                            <w:pPr>
                              <w:keepNext w:val="0"/>
                              <w:keepLines w:val="0"/>
                              <w:pageBreakBefore w:val="0"/>
                              <w:widowControl w:val="0"/>
                              <w:kinsoku/>
                              <w:wordWrap/>
                              <w:overflowPunct/>
                              <w:topLinePunct w:val="0"/>
                              <w:bidi w:val="0"/>
                              <w:adjustRightInd w:val="0"/>
                              <w:snapToGrid w:val="0"/>
                              <w:spacing w:line="408"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16B1E2BF">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3A4D77D0">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废水排口</w:t>
                            </w:r>
                          </w:p>
                          <w:p w14:paraId="0C23DA0D">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废气排口</w:t>
                            </w:r>
                          </w:p>
                          <w:p w14:paraId="75D73DCD">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300.9pt;height:134.5pt;width:98.65pt;z-index:251674624;mso-width-relative:page;mso-height-relative:page;" fillcolor="#FFFFFF [3212]" filled="t" stroked="t" coordsize="21600,21600" o:gfxdata="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s8A2PW&#10;AAAACAEAAA8AAAAAAAAAAQAgAAAAIgAAAGRycy9kb3ducmV2LnhtbFBLAQIUABQAAAAIAIdO4kBu&#10;BPoiWwIAALoEAAAOAAAAAAAAAAEAIAAAACUBAABkcnMvZTJvRG9jLnhtbFBLBQYAAAAABgAGAFkB&#10;AADyBQAAAAA=&#10;">
                <v:fill on="t" focussize="0,0"/>
                <v:stroke weight="0.5pt" color="#000000 [3204]" joinstyle="round"/>
                <v:imagedata o:title=""/>
                <o:lock v:ext="edit" aspectratio="f"/>
                <v:textbox>
                  <w:txbxContent>
                    <w:p w14:paraId="7E401042">
                      <w:pPr>
                        <w:keepNext w:val="0"/>
                        <w:keepLines w:val="0"/>
                        <w:pageBreakBefore w:val="0"/>
                        <w:widowControl w:val="0"/>
                        <w:kinsoku/>
                        <w:wordWrap/>
                        <w:overflowPunct/>
                        <w:topLinePunct w:val="0"/>
                        <w:bidi w:val="0"/>
                        <w:adjustRightInd w:val="0"/>
                        <w:snapToGrid w:val="0"/>
                        <w:spacing w:line="408"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图例</w:t>
                      </w:r>
                    </w:p>
                    <w:p w14:paraId="16B1E2BF">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项目位置</w:t>
                      </w:r>
                    </w:p>
                    <w:p w14:paraId="3A4D77D0">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废水排口</w:t>
                      </w:r>
                    </w:p>
                    <w:p w14:paraId="0C23DA0D">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废气排口</w:t>
                      </w:r>
                    </w:p>
                    <w:p w14:paraId="75D73DCD">
                      <w:pPr>
                        <w:keepNext w:val="0"/>
                        <w:keepLines w:val="0"/>
                        <w:pageBreakBefore w:val="0"/>
                        <w:widowControl w:val="0"/>
                        <w:kinsoku/>
                        <w:wordWrap/>
                        <w:overflowPunct/>
                        <w:topLinePunct w:val="0"/>
                        <w:bidi w:val="0"/>
                        <w:adjustRightInd/>
                        <w:snapToGrid/>
                        <w:spacing w:line="408" w:lineRule="auto"/>
                        <w:ind w:left="528" w:leftChars="22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噪声监测点</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8425180</wp:posOffset>
                </wp:positionH>
                <wp:positionV relativeFrom="paragraph">
                  <wp:posOffset>12700</wp:posOffset>
                </wp:positionV>
                <wp:extent cx="754380" cy="1116965"/>
                <wp:effectExtent l="4445" t="4445" r="22225" b="21590"/>
                <wp:wrapNone/>
                <wp:docPr id="79" name="文本框 79"/>
                <wp:cNvGraphicFramePr/>
                <a:graphic xmlns:a="http://schemas.openxmlformats.org/drawingml/2006/main">
                  <a:graphicData uri="http://schemas.microsoft.com/office/word/2010/wordprocessingShape">
                    <wps:wsp>
                      <wps:cNvSpPr txBox="1"/>
                      <wps:spPr>
                        <a:xfrm>
                          <a:off x="0" y="0"/>
                          <a:ext cx="754380" cy="111696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4A9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4pt;margin-top:1pt;height:87.95pt;width:59.4pt;z-index:251679744;mso-width-relative:page;mso-height-relative:page;" fillcolor="#FFFFFF" filled="t" stroked="t" coordsize="21600,21600" o:gfxdata="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qhOhdYAAAALAQAADwAAAAAAAAABACAAAAAiAAAAZHJzL2Rvd25yZXYueG1sUEsBAhQAFAAAAAgA&#10;h07iQB321ihgAgAAxwQAAA4AAAAAAAAAAQAgAAAAJQEAAGRycy9lMm9Eb2MueG1sUEsFBgAAAAAG&#10;AAYAWQEAAPcFAAAAAA==&#10;">
                <v:fill on="t" focussize="0,0"/>
                <v:stroke weight="0.5pt" color="#000000 [3204]" joinstyle="round"/>
                <v:imagedata o:title=""/>
                <o:lock v:ext="edit" aspectratio="f"/>
                <v:textbox>
                  <w:txbxContent>
                    <w:p w14:paraId="5B54A9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rPr>
                      </w:pPr>
                      <w:r>
                        <w:rPr>
                          <w:rFonts w:hint="eastAsia" w:ascii="Arial" w:hAnsi="Arial" w:eastAsia="宋体" w:cs="Arial"/>
                        </w:rPr>
                        <w:drawing>
                          <wp:inline distT="0" distB="0" distL="114300" distR="114300">
                            <wp:extent cx="563245" cy="966470"/>
                            <wp:effectExtent l="0" t="0" r="8255" b="50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1"/>
                                    <a:stretch>
                                      <a:fillRect/>
                                    </a:stretch>
                                  </pic:blipFill>
                                  <pic:spPr>
                                    <a:xfrm>
                                      <a:off x="0" y="0"/>
                                      <a:ext cx="563245" cy="966470"/>
                                    </a:xfrm>
                                    <a:prstGeom prst="rect">
                                      <a:avLst/>
                                    </a:prstGeom>
                                    <a:noFill/>
                                    <a:ln w="9525">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4337685</wp:posOffset>
                </wp:positionH>
                <wp:positionV relativeFrom="paragraph">
                  <wp:posOffset>3307715</wp:posOffset>
                </wp:positionV>
                <wp:extent cx="632460" cy="24828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63246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258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DW001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5pt;margin-top:260.45pt;height:19.55pt;width:49.8pt;z-index:251683840;mso-width-relative:page;mso-height-relative:page;" filled="f" stroked="f" coordsize="21600,21600" o:gfxdata="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Zy9DdsAAAALAQAADwAAAAAAAAABACAAAAAiAAAAZHJz&#10;L2Rvd25yZXYueG1sUEsBAhQAFAAAAAgAh07iQF0kuHQ6AgAAZwQAAA4AAAAAAAAAAQAgAAAAKgEA&#10;AGRycy9lMm9Eb2MueG1sUEsFBgAAAAAGAAYAWQEAANYFAAAAAA==&#10;">
                <v:fill on="f" focussize="0,0"/>
                <v:stroke on="f" weight="0.5pt"/>
                <v:imagedata o:title=""/>
                <o:lock v:ext="edit" aspectratio="f"/>
                <v:textbox>
                  <w:txbxContent>
                    <w:p w14:paraId="66D258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DW001</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4583430</wp:posOffset>
                </wp:positionH>
                <wp:positionV relativeFrom="paragraph">
                  <wp:posOffset>3556635</wp:posOffset>
                </wp:positionV>
                <wp:extent cx="107950" cy="107950"/>
                <wp:effectExtent l="14605" t="14605" r="29845" b="29845"/>
                <wp:wrapNone/>
                <wp:docPr id="89" name="椭圆 8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bg1"/>
                        </a:solidFill>
                        <a:ln w="28575">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0.9pt;margin-top:280.05pt;height:8.5pt;width:8.5pt;z-index:251680768;v-text-anchor:middle;mso-width-relative:page;mso-height-relative:page;" fillcolor="#FFFFFF [3212]" filled="t" stroked="t" coordsize="21600,21600" o:gfxdata="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mtn2V2QAAAAsBAAAPAAAAAAAAAAEAIAAAACIAAABkcnMv&#10;ZG93bnJldi54bWxQSwECFAAUAAAACACHTuJA3Yvjm3QCAAD4BAAADgAAAAAAAAABACAAAAAoAQAA&#10;ZHJzL2Uyb0RvYy54bWxQSwUGAAAAAAYABgBZAQAADgYAAAAA&#10;">
                <v:fill on="t" focussize="0,0"/>
                <v:stroke weight="2.25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3930015</wp:posOffset>
                </wp:positionH>
                <wp:positionV relativeFrom="paragraph">
                  <wp:posOffset>2656205</wp:posOffset>
                </wp:positionV>
                <wp:extent cx="632460" cy="2482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63246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43D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209.15pt;height:19.55pt;width:49.8pt;z-index:251685888;mso-width-relative:page;mso-height-relative:page;" filled="f" stroked="f" coordsize="21600,21600" o:gfxdata="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ExZmrbAAAACwEAAA8AAAAAAAAAAQAgAAAAIgAAAGRy&#10;cy9kb3ducmV2LnhtbFBLAQIUABQAAAAIAIdO4kAHW3ucOwIAAGcEAAAOAAAAAAAAAAEAIAAAACoB&#10;AABkcnMvZTJvRG9jLnhtbFBLBQYAAAAABgAGAFkBAADXBQAAAAA=&#10;">
                <v:fill on="f" focussize="0,0"/>
                <v:stroke on="f" weight="0.5pt"/>
                <v:imagedata o:title=""/>
                <o:lock v:ext="edit" aspectratio="f"/>
                <v:textbox>
                  <w:txbxContent>
                    <w:p w14:paraId="40543D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DA001</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4204335</wp:posOffset>
                </wp:positionH>
                <wp:positionV relativeFrom="paragraph">
                  <wp:posOffset>2574925</wp:posOffset>
                </wp:positionV>
                <wp:extent cx="107950" cy="107950"/>
                <wp:effectExtent l="14605" t="14605" r="29845" b="29845"/>
                <wp:wrapNone/>
                <wp:docPr id="91" name="椭圆 9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bg1"/>
                        </a:solidFill>
                        <a:ln w="28575">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1.05pt;margin-top:202.75pt;height:8.5pt;width:8.5pt;z-index:251686912;v-text-anchor:middle;mso-width-relative:page;mso-height-relative:page;" fillcolor="#FFFFFF [3212]" filled="t" stroked="t" coordsize="21600,21600" o:gfxdata="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Aaypv1wAAAAsBAAAPAAAAAAAAAAEAIAAAACIAAABkcnMvZG93&#10;bnJldi54bWxQSwECFAAUAAAACACHTuJA2Aucp3MCAAD4BAAADgAAAAAAAAABACAAAAAmAQAAZHJz&#10;L2Uyb0RvYy54bWxQSwUGAAAAAAYABgBZAQAACwYAAAAA&#10;">
                <v:fill on="t" focussize="0,0"/>
                <v:stroke weight="2.25pt" color="#00B050 [2404]" miterlimit="8" joinstyle="miter"/>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4149725</wp:posOffset>
                </wp:positionH>
                <wp:positionV relativeFrom="paragraph">
                  <wp:posOffset>2933065</wp:posOffset>
                </wp:positionV>
                <wp:extent cx="107950" cy="107950"/>
                <wp:effectExtent l="19050" t="21590" r="25400" b="22860"/>
                <wp:wrapNone/>
                <wp:docPr id="74" name="五角星 74"/>
                <wp:cNvGraphicFramePr/>
                <a:graphic xmlns:a="http://schemas.openxmlformats.org/drawingml/2006/main">
                  <a:graphicData uri="http://schemas.microsoft.com/office/word/2010/wordprocessingShape">
                    <wps:wsp>
                      <wps:cNvSpPr/>
                      <wps:spPr>
                        <a:xfrm>
                          <a:off x="0" y="0"/>
                          <a:ext cx="107950" cy="107950"/>
                        </a:xfrm>
                        <a:prstGeom prst="star5">
                          <a:avLst/>
                        </a:prstGeom>
                        <a:solidFill>
                          <a:srgbClr val="FF00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6.75pt;margin-top:230.95pt;height:8.5pt;width:8.5pt;z-index:251717632;v-text-anchor:middle;mso-width-relative:page;mso-height-relative:page;" fillcolor="#FF0000" filled="t" stroked="t" coordsize="107950,107950" o:gfxdata="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H/3YjaAAAACwEAAA8AAAAAAAAAAQAgAAAAIgAAAGRy&#10;cy9kb3ducmV2LnhtbFBLAQIUABQAAAAIAIdO4kBSaKLydQIAAPkEAAAOAAAAAAAAAAEAIAAAACkB&#10;AABkcnMvZTJvRG9jLnhtbFBLBQYAAAAABgAGAFkBAAAQBgAAAAA=&#10;" path="m0,41233l41233,41233,53975,0,66716,41233,107949,41233,74591,66716,87333,107949,53975,82465,20616,107949,33358,66716xe">
                <v:path o:connectlocs="53975,0;0,41233;20616,107949;87333,107949;107949,41233" o:connectangles="247,164,82,82,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3764915</wp:posOffset>
                </wp:positionH>
                <wp:positionV relativeFrom="paragraph">
                  <wp:posOffset>2719070</wp:posOffset>
                </wp:positionV>
                <wp:extent cx="107950" cy="107950"/>
                <wp:effectExtent l="19050" t="21590" r="25400" b="22860"/>
                <wp:wrapNone/>
                <wp:docPr id="81" name="五角星 81"/>
                <wp:cNvGraphicFramePr/>
                <a:graphic xmlns:a="http://schemas.openxmlformats.org/drawingml/2006/main">
                  <a:graphicData uri="http://schemas.microsoft.com/office/word/2010/wordprocessingShape">
                    <wps:wsp>
                      <wps:cNvSpPr/>
                      <wps:spPr>
                        <a:xfrm>
                          <a:off x="0" y="0"/>
                          <a:ext cx="107950" cy="107950"/>
                        </a:xfrm>
                        <a:prstGeom prst="star5">
                          <a:avLst/>
                        </a:prstGeom>
                        <a:solidFill>
                          <a:srgbClr val="FF00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6.45pt;margin-top:214.1pt;height:8.5pt;width:8.5pt;z-index:251684864;v-text-anchor:middle;mso-width-relative:page;mso-height-relative:page;" fillcolor="#FF0000" filled="t" stroked="t" coordsize="107950,107950" o:gfxdata="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pGLxtkAAAALAQAADwAAAAAAAAABACAAAAAiAAAAZHJzL2Rv&#10;d25yZXYueG1sUEsBAhQAFAAAAAgAh07iQAN/PXhyAgAA+QQAAA4AAAAAAAAAAQAgAAAAKAEAAGRy&#10;cy9lMm9Eb2MueG1sUEsFBgAAAAAGAAYAWQEAAAwGAAAAAA==&#10;" path="m0,41233l41233,41233,53975,0,66716,41233,107949,41233,74591,66716,87333,107949,53975,82465,20616,107949,33358,66716xe">
                <v:path o:connectlocs="53975,0;0,41233;20616,107949;87333,107949;107949,41233" o:connectangles="247,164,82,82,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4414520</wp:posOffset>
                </wp:positionH>
                <wp:positionV relativeFrom="paragraph">
                  <wp:posOffset>2581275</wp:posOffset>
                </wp:positionV>
                <wp:extent cx="107950" cy="107950"/>
                <wp:effectExtent l="19050" t="21590" r="25400" b="22860"/>
                <wp:wrapNone/>
                <wp:docPr id="96" name="五角星 96"/>
                <wp:cNvGraphicFramePr/>
                <a:graphic xmlns:a="http://schemas.openxmlformats.org/drawingml/2006/main">
                  <a:graphicData uri="http://schemas.microsoft.com/office/word/2010/wordprocessingShape">
                    <wps:wsp>
                      <wps:cNvSpPr/>
                      <wps:spPr>
                        <a:xfrm>
                          <a:off x="0" y="0"/>
                          <a:ext cx="107950" cy="107950"/>
                        </a:xfrm>
                        <a:prstGeom prst="star5">
                          <a:avLst/>
                        </a:prstGeom>
                        <a:solidFill>
                          <a:srgbClr val="FF00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7.6pt;margin-top:203.25pt;height:8.5pt;width:8.5pt;z-index:251682816;v-text-anchor:middle;mso-width-relative:page;mso-height-relative:page;" fillcolor="#FF0000" filled="t" stroked="t" coordsize="107950,107950" o:gfxdata="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2CcCbZAAAACwEAAA8AAAAAAAAAAQAgAAAAIgAAAGRycy9k&#10;b3ducmV2LnhtbFBLAQIUABQAAAAIAIdO4kB9d+ancwIAAPkEAAAOAAAAAAAAAAEAIAAAACgBAABk&#10;cnMvZTJvRG9jLnhtbFBLBQYAAAAABgAGAFkBAAANBgAAAAA=&#10;" path="m0,41233l41233,41233,53975,0,66716,41233,107949,41233,74591,66716,87333,107949,53975,82465,20616,107949,33358,66716xe">
                <v:path o:connectlocs="53975,0;0,41233;20616,107949;87333,107949;107949,41233" o:connectangles="247,164,82,82,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4014470</wp:posOffset>
                </wp:positionH>
                <wp:positionV relativeFrom="paragraph">
                  <wp:posOffset>2366010</wp:posOffset>
                </wp:positionV>
                <wp:extent cx="107950" cy="107950"/>
                <wp:effectExtent l="19050" t="21590" r="25400" b="22860"/>
                <wp:wrapNone/>
                <wp:docPr id="95" name="五角星 95"/>
                <wp:cNvGraphicFramePr/>
                <a:graphic xmlns:a="http://schemas.openxmlformats.org/drawingml/2006/main">
                  <a:graphicData uri="http://schemas.microsoft.com/office/word/2010/wordprocessingShape">
                    <wps:wsp>
                      <wps:cNvSpPr/>
                      <wps:spPr>
                        <a:xfrm>
                          <a:off x="0" y="0"/>
                          <a:ext cx="107950" cy="107950"/>
                        </a:xfrm>
                        <a:prstGeom prst="star5">
                          <a:avLst/>
                        </a:prstGeom>
                        <a:solidFill>
                          <a:srgbClr val="FF00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6.1pt;margin-top:186.3pt;height:8.5pt;width:8.5pt;z-index:251681792;v-text-anchor:middle;mso-width-relative:page;mso-height-relative:page;" fillcolor="#FF0000" filled="t" stroked="t" coordsize="107950,107950" o:gfxdata="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bh2K9kAAAALAQAADwAAAAAAAAABACAAAAAiAAAAZHJz&#10;L2Rvd25yZXYueG1sUEsBAhQAFAAAAAgAh07iQNzsr+d1AgAA+QQAAA4AAAAAAAAAAQAgAAAAKAEA&#10;AGRycy9lMm9Eb2MueG1sUEsFBgAAAAAGAAYAWQEAAA8GAAAAAA==&#10;" path="m0,41233l41233,41233,53975,0,66716,41233,107949,41233,74591,66716,87333,107949,53975,82465,20616,107949,33358,66716xe">
                <v:path o:connectlocs="53975,0;0,41233;20616,107949;87333,107949;107949,41233" o:connectangles="247,164,82,82,0"/>
                <v:fill on="t"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4109720</wp:posOffset>
                </wp:positionH>
                <wp:positionV relativeFrom="paragraph">
                  <wp:posOffset>3860165</wp:posOffset>
                </wp:positionV>
                <wp:extent cx="1661160" cy="331470"/>
                <wp:effectExtent l="0" t="0" r="0" b="0"/>
                <wp:wrapNone/>
                <wp:docPr id="71" name="文本框 71"/>
                <wp:cNvGraphicFramePr/>
                <a:graphic xmlns:a="http://schemas.openxmlformats.org/drawingml/2006/main">
                  <a:graphicData uri="http://schemas.microsoft.com/office/word/2010/wordprocessingShape">
                    <wps:wsp>
                      <wps:cNvSpPr txBox="1"/>
                      <wps:spPr>
                        <a:xfrm rot="21180000">
                          <a:off x="0" y="0"/>
                          <a:ext cx="1661160"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7EE90">
                            <w:pPr>
                              <w:rPr>
                                <w:rFonts w:hint="default" w:eastAsia="宋体"/>
                                <w:b/>
                                <w:bCs/>
                                <w:lang w:val="en-US" w:eastAsia="zh-CN"/>
                              </w:rPr>
                            </w:pPr>
                            <w:r>
                              <w:rPr>
                                <w:rFonts w:hint="eastAsia"/>
                                <w:b/>
                                <w:bCs/>
                                <w:color w:val="FF0000"/>
                                <w:lang w:val="en-US" w:eastAsia="zh-CN"/>
                              </w:rPr>
                              <w:t>中鼎北路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6pt;margin-top:303.95pt;height:26.1pt;width:130.8pt;rotation:-458752f;z-index:251716608;mso-width-relative:page;mso-height-relative:page;" filled="f" stroked="f" coordsize="21600,21600" o:gfxdata="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VvmXp2gAAAAsBAAAPAAAAAAAAAAEA&#10;IAAAACIAAABkcnMvZG93bnJldi54bWxQSwECFAAUAAAACACHTuJATsopiEYCAAB3BAAADgAAAAAA&#10;AAABACAAAAApAQAAZHJzL2Uyb0RvYy54bWxQSwUGAAAAAAYABgBZAQAA4QUAAAAA&#10;">
                <v:fill on="f" focussize="0,0"/>
                <v:stroke on="f" weight="0.5pt"/>
                <v:imagedata o:title=""/>
                <o:lock v:ext="edit" aspectratio="f"/>
                <v:textbox>
                  <w:txbxContent>
                    <w:p w14:paraId="05F7EE90">
                      <w:pPr>
                        <w:rPr>
                          <w:rFonts w:hint="default" w:eastAsia="宋体"/>
                          <w:b/>
                          <w:bCs/>
                          <w:lang w:val="en-US" w:eastAsia="zh-CN"/>
                        </w:rPr>
                      </w:pPr>
                      <w:r>
                        <w:rPr>
                          <w:rFonts w:hint="eastAsia"/>
                          <w:b/>
                          <w:bCs/>
                          <w:color w:val="FF0000"/>
                          <w:lang w:val="en-US" w:eastAsia="zh-CN"/>
                        </w:rPr>
                        <w:t>中鼎北路</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2274570</wp:posOffset>
                </wp:positionH>
                <wp:positionV relativeFrom="paragraph">
                  <wp:posOffset>2080895</wp:posOffset>
                </wp:positionV>
                <wp:extent cx="402590" cy="1607820"/>
                <wp:effectExtent l="0" t="0" r="0" b="0"/>
                <wp:wrapNone/>
                <wp:docPr id="93" name="文本框 93"/>
                <wp:cNvGraphicFramePr/>
                <a:graphic xmlns:a="http://schemas.openxmlformats.org/drawingml/2006/main">
                  <a:graphicData uri="http://schemas.microsoft.com/office/word/2010/wordprocessingShape">
                    <wps:wsp>
                      <wps:cNvSpPr txBox="1"/>
                      <wps:spPr>
                        <a:xfrm rot="21120000">
                          <a:off x="0" y="0"/>
                          <a:ext cx="402590" cy="160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6841F">
                            <w:pPr>
                              <w:rPr>
                                <w:rFonts w:hint="eastAsia" w:eastAsia="宋体"/>
                                <w:b/>
                                <w:bCs/>
                                <w:color w:val="FF0000"/>
                                <w:lang w:val="en-US" w:eastAsia="zh-CN"/>
                              </w:rPr>
                            </w:pPr>
                            <w:r>
                              <w:rPr>
                                <w:rFonts w:hint="eastAsia"/>
                                <w:b/>
                                <w:bCs/>
                                <w:color w:val="FF0000"/>
                                <w:lang w:val="en-US" w:eastAsia="zh-CN"/>
                              </w:rPr>
                              <w:t>隆金时大街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1pt;margin-top:163.85pt;height:126.6pt;width:31.7pt;rotation:-524288f;z-index:251705344;mso-width-relative:page;mso-height-relative:page;" filled="f" stroked="f" coordsize="21600,21600" o:gfxdata="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IXoMzbAAAACwEAAA8AAAAAAAAA&#10;AQAgAAAAIgAAAGRycy9kb3ducmV2LnhtbFBLAQIUABQAAAAIAIdO4kADSH+wRwIAAHcEAAAOAAAA&#10;AAAAAAEAIAAAACoBAABkcnMvZTJvRG9jLnhtbFBLBQYAAAAABgAGAFkBAADjBQAAAAA=&#10;">
                <v:fill on="f" focussize="0,0"/>
                <v:stroke on="f" weight="0.5pt"/>
                <v:imagedata o:title=""/>
                <o:lock v:ext="edit" aspectratio="f"/>
                <v:textbox>
                  <w:txbxContent>
                    <w:p w14:paraId="1C26841F">
                      <w:pPr>
                        <w:rPr>
                          <w:rFonts w:hint="eastAsia" w:eastAsia="宋体"/>
                          <w:b/>
                          <w:bCs/>
                          <w:color w:val="FF0000"/>
                          <w:lang w:val="en-US" w:eastAsia="zh-CN"/>
                        </w:rPr>
                      </w:pPr>
                      <w:r>
                        <w:rPr>
                          <w:rFonts w:hint="eastAsia"/>
                          <w:b/>
                          <w:bCs/>
                          <w:color w:val="FF0000"/>
                          <w:lang w:val="en-US" w:eastAsia="zh-CN"/>
                        </w:rPr>
                        <w:t>隆金时大街</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7216140</wp:posOffset>
                </wp:positionH>
                <wp:positionV relativeFrom="paragraph">
                  <wp:posOffset>619125</wp:posOffset>
                </wp:positionV>
                <wp:extent cx="402590" cy="1607820"/>
                <wp:effectExtent l="0" t="0" r="0" b="0"/>
                <wp:wrapNone/>
                <wp:docPr id="90" name="文本框 90"/>
                <wp:cNvGraphicFramePr/>
                <a:graphic xmlns:a="http://schemas.openxmlformats.org/drawingml/2006/main">
                  <a:graphicData uri="http://schemas.microsoft.com/office/word/2010/wordprocessingShape">
                    <wps:wsp>
                      <wps:cNvSpPr txBox="1"/>
                      <wps:spPr>
                        <a:xfrm rot="20940000">
                          <a:off x="7181215" y="3286760"/>
                          <a:ext cx="402590" cy="160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07341">
                            <w:pPr>
                              <w:rPr>
                                <w:rFonts w:hint="eastAsia" w:eastAsia="宋体"/>
                                <w:b/>
                                <w:bCs/>
                                <w:color w:val="FF0000"/>
                                <w:lang w:val="en-US" w:eastAsia="zh-CN"/>
                              </w:rPr>
                            </w:pPr>
                            <w:r>
                              <w:rPr>
                                <w:rFonts w:hint="eastAsia"/>
                                <w:b/>
                                <w:bCs/>
                                <w:color w:val="FF0000"/>
                                <w:lang w:val="en-US" w:eastAsia="zh-CN"/>
                              </w:rPr>
                              <w:t>隆金业大街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2pt;margin-top:48.75pt;height:126.6pt;width:31.7pt;rotation:-720896f;z-index:251704320;mso-width-relative:page;mso-height-relative:page;" filled="f" stroked="f" coordsize="21600,21600" o:gfxdata="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JSN4DZAAAADAEA&#10;AA8AAAAAAAAAAQAgAAAAIgAAAGRycy9kb3ducmV2LnhtbFBLAQIUABQAAAAIAIdO4kB+hxJaUgIA&#10;AIMEAAAOAAAAAAAAAAEAIAAAACgBAABkcnMvZTJvRG9jLnhtbFBLBQYAAAAABgAGAFkBAADsBQAA&#10;AAA=&#10;">
                <v:fill on="f" focussize="0,0"/>
                <v:stroke on="f" weight="0.5pt"/>
                <v:imagedata o:title=""/>
                <o:lock v:ext="edit" aspectratio="f"/>
                <v:textbox>
                  <w:txbxContent>
                    <w:p w14:paraId="57107341">
                      <w:pPr>
                        <w:rPr>
                          <w:rFonts w:hint="eastAsia" w:eastAsia="宋体"/>
                          <w:b/>
                          <w:bCs/>
                          <w:color w:val="FF0000"/>
                          <w:lang w:val="en-US" w:eastAsia="zh-CN"/>
                        </w:rPr>
                      </w:pPr>
                      <w:r>
                        <w:rPr>
                          <w:rFonts w:hint="eastAsia"/>
                          <w:b/>
                          <w:bCs/>
                          <w:color w:val="FF0000"/>
                          <w:lang w:val="en-US" w:eastAsia="zh-CN"/>
                        </w:rPr>
                        <w:t>隆金业大街</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3533775</wp:posOffset>
                </wp:positionH>
                <wp:positionV relativeFrom="paragraph">
                  <wp:posOffset>575310</wp:posOffset>
                </wp:positionV>
                <wp:extent cx="1661160" cy="331470"/>
                <wp:effectExtent l="0" t="0" r="0" b="0"/>
                <wp:wrapNone/>
                <wp:docPr id="25" name="文本框 25"/>
                <wp:cNvGraphicFramePr/>
                <a:graphic xmlns:a="http://schemas.openxmlformats.org/drawingml/2006/main">
                  <a:graphicData uri="http://schemas.microsoft.com/office/word/2010/wordprocessingShape">
                    <wps:wsp>
                      <wps:cNvSpPr txBox="1"/>
                      <wps:spPr>
                        <a:xfrm rot="21180000">
                          <a:off x="4971415" y="2159000"/>
                          <a:ext cx="1661160"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62973">
                            <w:pPr>
                              <w:rPr>
                                <w:rFonts w:hint="default" w:eastAsia="宋体"/>
                                <w:b/>
                                <w:bCs/>
                                <w:lang w:val="en-US" w:eastAsia="zh-CN"/>
                              </w:rPr>
                            </w:pPr>
                            <w:r>
                              <w:rPr>
                                <w:rFonts w:hint="eastAsia"/>
                                <w:b/>
                                <w:bCs/>
                                <w:color w:val="FF0000"/>
                                <w:lang w:val="en-US" w:eastAsia="zh-CN"/>
                              </w:rPr>
                              <w:t>鼎利路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25pt;margin-top:45.3pt;height:26.1pt;width:130.8pt;rotation:-458752f;z-index:251703296;mso-width-relative:page;mso-height-relative:page;" filled="f" stroked="f" coordsize="21600,21600" o:gfxdata="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Sh1idoAAAAKAQAA&#10;DwAAAAAAAAABACAAAAAiAAAAZHJzL2Rvd25yZXYueG1sUEsBAhQAFAAAAAgAh07iQNEASbBQAgAA&#10;gwQAAA4AAAAAAAAAAQAgAAAAKQEAAGRycy9lMm9Eb2MueG1sUEsFBgAAAAAGAAYAWQEAAOsFAAAA&#10;AA==&#10;">
                <v:fill on="f" focussize="0,0"/>
                <v:stroke on="f" weight="0.5pt"/>
                <v:imagedata o:title=""/>
                <o:lock v:ext="edit" aspectratio="f"/>
                <v:textbox>
                  <w:txbxContent>
                    <w:p w14:paraId="55B62973">
                      <w:pPr>
                        <w:rPr>
                          <w:rFonts w:hint="default" w:eastAsia="宋体"/>
                          <w:b/>
                          <w:bCs/>
                          <w:lang w:val="en-US" w:eastAsia="zh-CN"/>
                        </w:rPr>
                      </w:pPr>
                      <w:r>
                        <w:rPr>
                          <w:rFonts w:hint="eastAsia"/>
                          <w:b/>
                          <w:bCs/>
                          <w:color w:val="FF0000"/>
                          <w:lang w:val="en-US" w:eastAsia="zh-CN"/>
                        </w:rPr>
                        <w:t>鼎利路</w:t>
                      </w:r>
                    </w:p>
                  </w:txbxContent>
                </v:textbox>
              </v:shape>
            </w:pict>
          </mc:Fallback>
        </mc:AlternateContent>
      </w:r>
      <w:r>
        <w:rPr>
          <w:sz w:val="21"/>
        </w:rPr>
        <w:drawing>
          <wp:inline distT="0" distB="0" distL="114300" distR="114300">
            <wp:extent cx="9107805" cy="5525135"/>
            <wp:effectExtent l="0" t="0" r="5715" b="6985"/>
            <wp:docPr id="70" name="图片 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
                    <pic:cNvPicPr>
                      <a:picLocks noChangeAspect="1"/>
                    </pic:cNvPicPr>
                  </pic:nvPicPr>
                  <pic:blipFill>
                    <a:blip r:embed="rId43"/>
                    <a:srcRect l="4468" t="9504"/>
                    <a:stretch>
                      <a:fillRect/>
                    </a:stretch>
                  </pic:blipFill>
                  <pic:spPr>
                    <a:xfrm>
                      <a:off x="0" y="0"/>
                      <a:ext cx="9107805" cy="5525135"/>
                    </a:xfrm>
                    <a:prstGeom prst="rect">
                      <a:avLst/>
                    </a:prstGeom>
                  </pic:spPr>
                </pic:pic>
              </a:graphicData>
            </a:graphic>
          </wp:inline>
        </w:drawing>
      </w:r>
      <w:r>
        <w:rPr>
          <w:rFonts w:hint="eastAsia"/>
          <w:b/>
          <w:bCs/>
        </w:rPr>
        <w:t>附图4 项目监测点位示意图</w:t>
      </w:r>
    </w:p>
    <w:p w14:paraId="33FA88C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lang w:val="en-US" w:eastAsia="zh-CN"/>
        </w:rPr>
      </w:pPr>
      <w:r>
        <w:rPr>
          <w:rFonts w:hint="eastAsia"/>
          <w:b/>
          <w:bCs/>
          <w:lang w:val="en-US" w:eastAsia="zh-CN"/>
        </w:rPr>
        <w:t>附件1：营业执照</w:t>
      </w:r>
    </w:p>
    <w:p w14:paraId="056692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position w:val="-282"/>
        </w:rPr>
        <w:drawing>
          <wp:inline distT="0" distB="0" distL="0" distR="0">
            <wp:extent cx="5821680" cy="8091170"/>
            <wp:effectExtent l="0" t="0" r="0" b="1270"/>
            <wp:docPr id="6" name="IM 4"/>
            <wp:cNvGraphicFramePr/>
            <a:graphic xmlns:a="http://schemas.openxmlformats.org/drawingml/2006/main">
              <a:graphicData uri="http://schemas.openxmlformats.org/drawingml/2006/picture">
                <pic:pic xmlns:pic="http://schemas.openxmlformats.org/drawingml/2006/picture">
                  <pic:nvPicPr>
                    <pic:cNvPr id="6" name="IM 4"/>
                    <pic:cNvPicPr/>
                  </pic:nvPicPr>
                  <pic:blipFill>
                    <a:blip r:embed="rId44"/>
                    <a:stretch>
                      <a:fillRect/>
                    </a:stretch>
                  </pic:blipFill>
                  <pic:spPr>
                    <a:xfrm>
                      <a:off x="0" y="0"/>
                      <a:ext cx="5821680" cy="8091170"/>
                    </a:xfrm>
                    <a:prstGeom prst="rect">
                      <a:avLst/>
                    </a:prstGeom>
                  </pic:spPr>
                </pic:pic>
              </a:graphicData>
            </a:graphic>
          </wp:inline>
        </w:drawing>
      </w:r>
    </w:p>
    <w:p w14:paraId="6F128FC3">
      <w:pPr>
        <w:keepNext w:val="0"/>
        <w:keepLines w:val="0"/>
        <w:pageBreakBefore w:val="0"/>
        <w:widowControl w:val="0"/>
        <w:kinsoku/>
        <w:wordWrap/>
        <w:overflowPunct/>
        <w:topLinePunct w:val="0"/>
        <w:autoSpaceDE/>
        <w:autoSpaceDN/>
        <w:bidi w:val="0"/>
        <w:adjustRightInd/>
        <w:snapToGrid/>
        <w:ind w:firstLine="0" w:firstLineChars="0"/>
        <w:jc w:val="center"/>
        <w:textAlignment w:val="auto"/>
        <w:sectPr>
          <w:pgSz w:w="11906" w:h="16838"/>
          <w:pgMar w:top="1134" w:right="1134" w:bottom="1134" w:left="1417"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bookmarkEnd w:id="0"/>
    </w:p>
    <w:p w14:paraId="553E644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lang w:val="en-US" w:eastAsia="zh-CN"/>
        </w:rPr>
      </w:pPr>
      <w:r>
        <w:rPr>
          <w:rFonts w:hint="eastAsia"/>
          <w:b/>
          <w:bCs/>
          <w:lang w:val="en-US" w:eastAsia="zh-CN"/>
        </w:rPr>
        <w:t>附件2：租赁合同</w:t>
      </w:r>
    </w:p>
    <w:p w14:paraId="5FC183D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drawing>
          <wp:inline distT="0" distB="0" distL="114300" distR="114300">
            <wp:extent cx="5657850" cy="8001000"/>
            <wp:effectExtent l="0" t="0" r="1143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45"/>
                    <a:stretch>
                      <a:fillRect/>
                    </a:stretch>
                  </pic:blipFill>
                  <pic:spPr>
                    <a:xfrm>
                      <a:off x="0" y="0"/>
                      <a:ext cx="5657850" cy="8001000"/>
                    </a:xfrm>
                    <a:prstGeom prst="rect">
                      <a:avLst/>
                    </a:prstGeom>
                    <a:noFill/>
                    <a:ln>
                      <a:noFill/>
                    </a:ln>
                  </pic:spPr>
                </pic:pic>
              </a:graphicData>
            </a:graphic>
          </wp:inline>
        </w:drawing>
      </w:r>
      <w:r>
        <w:drawing>
          <wp:inline distT="0" distB="0" distL="114300" distR="114300">
            <wp:extent cx="5667375" cy="8001000"/>
            <wp:effectExtent l="0" t="0" r="1905"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46"/>
                    <a:stretch>
                      <a:fillRect/>
                    </a:stretch>
                  </pic:blipFill>
                  <pic:spPr>
                    <a:xfrm>
                      <a:off x="0" y="0"/>
                      <a:ext cx="5667375" cy="8001000"/>
                    </a:xfrm>
                    <a:prstGeom prst="rect">
                      <a:avLst/>
                    </a:prstGeom>
                    <a:noFill/>
                    <a:ln>
                      <a:noFill/>
                    </a:ln>
                  </pic:spPr>
                </pic:pic>
              </a:graphicData>
            </a:graphic>
          </wp:inline>
        </w:drawing>
      </w:r>
      <w:r>
        <w:drawing>
          <wp:inline distT="0" distB="0" distL="114300" distR="114300">
            <wp:extent cx="5667375" cy="8010525"/>
            <wp:effectExtent l="0" t="0" r="1905" b="571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47"/>
                    <a:stretch>
                      <a:fillRect/>
                    </a:stretch>
                  </pic:blipFill>
                  <pic:spPr>
                    <a:xfrm>
                      <a:off x="0" y="0"/>
                      <a:ext cx="5667375" cy="8010525"/>
                    </a:xfrm>
                    <a:prstGeom prst="rect">
                      <a:avLst/>
                    </a:prstGeom>
                    <a:noFill/>
                    <a:ln>
                      <a:noFill/>
                    </a:ln>
                  </pic:spPr>
                </pic:pic>
              </a:graphicData>
            </a:graphic>
          </wp:inline>
        </w:drawing>
      </w:r>
      <w:r>
        <w:drawing>
          <wp:inline distT="0" distB="0" distL="114300" distR="114300">
            <wp:extent cx="5657850" cy="8010525"/>
            <wp:effectExtent l="0" t="0" r="11430" b="571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48"/>
                    <a:stretch>
                      <a:fillRect/>
                    </a:stretch>
                  </pic:blipFill>
                  <pic:spPr>
                    <a:xfrm>
                      <a:off x="0" y="0"/>
                      <a:ext cx="5657850" cy="8010525"/>
                    </a:xfrm>
                    <a:prstGeom prst="rect">
                      <a:avLst/>
                    </a:prstGeom>
                    <a:noFill/>
                    <a:ln>
                      <a:noFill/>
                    </a:ln>
                  </pic:spPr>
                </pic:pic>
              </a:graphicData>
            </a:graphic>
          </wp:inline>
        </w:drawing>
      </w:r>
    </w:p>
    <w:p w14:paraId="6DE0687E">
      <w:pPr>
        <w:keepNext w:val="0"/>
        <w:keepLines w:val="0"/>
        <w:pageBreakBefore w:val="0"/>
        <w:widowControl w:val="0"/>
        <w:kinsoku/>
        <w:wordWrap/>
        <w:overflowPunct/>
        <w:topLinePunct w:val="0"/>
        <w:autoSpaceDE/>
        <w:autoSpaceDN/>
        <w:bidi w:val="0"/>
        <w:adjustRightInd/>
        <w:snapToGrid/>
        <w:ind w:firstLine="0" w:firstLineChars="0"/>
        <w:jc w:val="center"/>
        <w:textAlignment w:val="auto"/>
        <w:sectPr>
          <w:pgSz w:w="11906" w:h="16838"/>
          <w:pgMar w:top="1134" w:right="1134" w:bottom="1134" w:left="1417" w:header="851" w:footer="992" w:gutter="0"/>
          <w:pgBorders>
            <w:top w:val="none" w:sz="0" w:space="0"/>
            <w:left w:val="none" w:sz="0" w:space="0"/>
            <w:bottom w:val="none" w:sz="0" w:space="0"/>
            <w:right w:val="none" w:sz="0" w:space="0"/>
          </w:pgBorders>
          <w:cols w:space="425" w:num="1"/>
          <w:docGrid w:type="lines" w:linePitch="312" w:charSpace="0"/>
        </w:sectPr>
      </w:pPr>
    </w:p>
    <w:p w14:paraId="28B8B1F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b/>
          <w:bCs/>
          <w:lang w:val="en-US" w:eastAsia="zh-CN"/>
        </w:rPr>
        <w:t>附件3：不动产权证</w:t>
      </w:r>
    </w:p>
    <w:p w14:paraId="51CEBD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5659120" cy="8221345"/>
            <wp:effectExtent l="0" t="0" r="10160" b="825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49"/>
                    <a:stretch>
                      <a:fillRect/>
                    </a:stretch>
                  </pic:blipFill>
                  <pic:spPr>
                    <a:xfrm>
                      <a:off x="0" y="0"/>
                      <a:ext cx="5659120" cy="8221345"/>
                    </a:xfrm>
                    <a:prstGeom prst="rect">
                      <a:avLst/>
                    </a:prstGeom>
                    <a:noFill/>
                    <a:ln>
                      <a:noFill/>
                    </a:ln>
                  </pic:spPr>
                </pic:pic>
              </a:graphicData>
            </a:graphic>
          </wp:inline>
        </w:drawing>
      </w:r>
      <w:r>
        <w:drawing>
          <wp:inline distT="0" distB="0" distL="114300" distR="114300">
            <wp:extent cx="5659120" cy="8020050"/>
            <wp:effectExtent l="0" t="0" r="10160" b="1143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50"/>
                    <a:stretch>
                      <a:fillRect/>
                    </a:stretch>
                  </pic:blipFill>
                  <pic:spPr>
                    <a:xfrm>
                      <a:off x="0" y="0"/>
                      <a:ext cx="5659120" cy="8020050"/>
                    </a:xfrm>
                    <a:prstGeom prst="rect">
                      <a:avLst/>
                    </a:prstGeom>
                    <a:noFill/>
                    <a:ln>
                      <a:noFill/>
                    </a:ln>
                  </pic:spPr>
                </pic:pic>
              </a:graphicData>
            </a:graphic>
          </wp:inline>
        </w:drawing>
      </w:r>
      <w:r>
        <w:drawing>
          <wp:inline distT="0" distB="0" distL="114300" distR="114300">
            <wp:extent cx="5659120" cy="8256270"/>
            <wp:effectExtent l="0" t="0" r="1016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1"/>
                    <a:stretch>
                      <a:fillRect/>
                    </a:stretch>
                  </pic:blipFill>
                  <pic:spPr>
                    <a:xfrm>
                      <a:off x="0" y="0"/>
                      <a:ext cx="5659120" cy="8256270"/>
                    </a:xfrm>
                    <a:prstGeom prst="rect">
                      <a:avLst/>
                    </a:prstGeom>
                    <a:noFill/>
                    <a:ln>
                      <a:noFill/>
                    </a:ln>
                  </pic:spPr>
                </pic:pic>
              </a:graphicData>
            </a:graphic>
          </wp:inline>
        </w:drawing>
      </w:r>
      <w:r>
        <w:drawing>
          <wp:inline distT="0" distB="0" distL="114300" distR="114300">
            <wp:extent cx="5659120" cy="8009890"/>
            <wp:effectExtent l="0" t="0" r="1016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5659120" cy="8009890"/>
                    </a:xfrm>
                    <a:prstGeom prst="rect">
                      <a:avLst/>
                    </a:prstGeom>
                    <a:noFill/>
                    <a:ln>
                      <a:noFill/>
                    </a:ln>
                  </pic:spPr>
                </pic:pic>
              </a:graphicData>
            </a:graphic>
          </wp:inline>
        </w:drawing>
      </w:r>
      <w:r>
        <w:drawing>
          <wp:inline distT="0" distB="0" distL="114300" distR="114300">
            <wp:extent cx="5659120" cy="8000365"/>
            <wp:effectExtent l="0" t="0" r="1016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tretch>
                      <a:fillRect/>
                    </a:stretch>
                  </pic:blipFill>
                  <pic:spPr>
                    <a:xfrm>
                      <a:off x="0" y="0"/>
                      <a:ext cx="5659120" cy="8000365"/>
                    </a:xfrm>
                    <a:prstGeom prst="rect">
                      <a:avLst/>
                    </a:prstGeom>
                    <a:noFill/>
                    <a:ln>
                      <a:noFill/>
                    </a:ln>
                  </pic:spPr>
                </pic:pic>
              </a:graphicData>
            </a:graphic>
          </wp:inline>
        </w:drawing>
      </w:r>
    </w:p>
    <w:sectPr>
      <w:pgSz w:w="11906" w:h="16838"/>
      <w:pgMar w:top="1134" w:right="1134" w:bottom="1134"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6786B1-DEF7-46BE-AB46-9299B93034FF}"/>
  </w:font>
  <w:font w:name="Arial">
    <w:panose1 w:val="020B0604020202020204"/>
    <w:charset w:val="01"/>
    <w:family w:val="swiss"/>
    <w:pitch w:val="default"/>
    <w:sig w:usb0="E0002EFF" w:usb1="C000785B" w:usb2="00000009" w:usb3="00000000" w:csb0="400001FF" w:csb1="FFFF0000"/>
    <w:embedRegular r:id="rId2" w:fontKey="{FBB2B680-076A-4077-B963-5435D9D61B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楷体_GB2312">
    <w:panose1 w:val="02000000000000000000"/>
    <w:charset w:val="86"/>
    <w:family w:val="auto"/>
    <w:pitch w:val="default"/>
    <w:sig w:usb0="A00002BF" w:usb1="184F6CFA" w:usb2="00000012" w:usb3="00000000" w:csb0="00040001" w:csb1="00000000"/>
    <w:embedRegular r:id="rId3" w:fontKey="{148978D9-DF57-4F0E-9DBB-35D24F601BE2}"/>
  </w:font>
  <w:font w:name="仿宋">
    <w:panose1 w:val="02010609060101010101"/>
    <w:charset w:val="86"/>
    <w:family w:val="modern"/>
    <w:pitch w:val="default"/>
    <w:sig w:usb0="800002BF" w:usb1="38CF7CFA" w:usb2="00000016" w:usb3="00000000" w:csb0="00040001" w:csb1="00000000"/>
    <w:embedRegular r:id="rId4" w:fontKey="{7966789F-FB48-4A28-9244-88E9AB4D52DC}"/>
  </w:font>
  <w:font w:name="微软雅黑">
    <w:panose1 w:val="020B0503020204020204"/>
    <w:charset w:val="86"/>
    <w:family w:val="swiss"/>
    <w:pitch w:val="default"/>
    <w:sig w:usb0="80000287" w:usb1="2ACF3C50" w:usb2="00000016" w:usb3="00000000" w:csb0="0004001F" w:csb1="00000000"/>
    <w:embedRegular r:id="rId5" w:fontKey="{803D6D94-884F-4220-AF55-974D710A11D1}"/>
  </w:font>
  <w:font w:name="Cambria Math">
    <w:panose1 w:val="02040503050406030204"/>
    <w:charset w:val="00"/>
    <w:family w:val="roman"/>
    <w:pitch w:val="default"/>
    <w:sig w:usb0="E00006FF" w:usb1="420024FF" w:usb2="02000000" w:usb3="00000000" w:csb0="2000019F" w:csb1="00000000"/>
    <w:embedRegular r:id="rId6" w:fontKey="{7DDB3B61-C79A-4E4C-8281-2381A4C98C68}"/>
  </w:font>
  <w:font w:name="楷体">
    <w:panose1 w:val="02010609060101010101"/>
    <w:charset w:val="86"/>
    <w:family w:val="modern"/>
    <w:pitch w:val="default"/>
    <w:sig w:usb0="800002BF" w:usb1="38CF7CFA" w:usb2="00000016" w:usb3="00000000" w:csb0="00040001" w:csb1="00000000"/>
    <w:embedRegular r:id="rId7" w:fontKey="{83D09267-ED5B-4AA0-BE79-460E5C825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794EA">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9B434">
                          <w:pPr>
                            <w:pStyle w:val="16"/>
                            <w:ind w:firstLine="36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339B434">
                    <w:pPr>
                      <w:pStyle w:val="16"/>
                      <w:ind w:firstLine="36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56AA3C"/>
    <w:multiLevelType w:val="singleLevel"/>
    <w:tmpl w:val="D056AA3C"/>
    <w:lvl w:ilvl="0" w:tentative="0">
      <w:start w:val="2"/>
      <w:numFmt w:val="decimal"/>
      <w:suff w:val="nothing"/>
      <w:lvlText w:val="%1、"/>
      <w:lvlJc w:val="left"/>
    </w:lvl>
  </w:abstractNum>
  <w:abstractNum w:abstractNumId="1">
    <w:nsid w:val="D060F93D"/>
    <w:multiLevelType w:val="multilevel"/>
    <w:tmpl w:val="D060F93D"/>
    <w:lvl w:ilvl="0" w:tentative="0">
      <w:start w:val="1"/>
      <w:numFmt w:val="none"/>
      <w:pStyle w:val="2"/>
      <w:suff w:val="nothing"/>
      <w:lvlText w:val="表4-"/>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OTQyYWQxMTk4OThiOTA2YzA1YjgxN2IzYjZkMmIifQ=="/>
  </w:docVars>
  <w:rsids>
    <w:rsidRoot w:val="1D7F664E"/>
    <w:rsid w:val="00006542"/>
    <w:rsid w:val="000552F4"/>
    <w:rsid w:val="00066BDC"/>
    <w:rsid w:val="00247343"/>
    <w:rsid w:val="003D2A10"/>
    <w:rsid w:val="00466B8F"/>
    <w:rsid w:val="005673A4"/>
    <w:rsid w:val="00645991"/>
    <w:rsid w:val="00672910"/>
    <w:rsid w:val="00691900"/>
    <w:rsid w:val="0072374A"/>
    <w:rsid w:val="00882190"/>
    <w:rsid w:val="0095325B"/>
    <w:rsid w:val="009B607C"/>
    <w:rsid w:val="00A67D58"/>
    <w:rsid w:val="00B06E28"/>
    <w:rsid w:val="00B405E6"/>
    <w:rsid w:val="00B62863"/>
    <w:rsid w:val="00C3559B"/>
    <w:rsid w:val="00C65016"/>
    <w:rsid w:val="00D01278"/>
    <w:rsid w:val="00D02529"/>
    <w:rsid w:val="00D64827"/>
    <w:rsid w:val="00DC5579"/>
    <w:rsid w:val="00FC1153"/>
    <w:rsid w:val="010F3B4F"/>
    <w:rsid w:val="01131056"/>
    <w:rsid w:val="013B2B96"/>
    <w:rsid w:val="01487285"/>
    <w:rsid w:val="01561DDD"/>
    <w:rsid w:val="01582DA0"/>
    <w:rsid w:val="016245C6"/>
    <w:rsid w:val="01861B12"/>
    <w:rsid w:val="019A6605"/>
    <w:rsid w:val="01B34E22"/>
    <w:rsid w:val="01B464A4"/>
    <w:rsid w:val="01C17EC5"/>
    <w:rsid w:val="01C31216"/>
    <w:rsid w:val="01E5212E"/>
    <w:rsid w:val="01EE19B6"/>
    <w:rsid w:val="01F54D28"/>
    <w:rsid w:val="01FE2A2A"/>
    <w:rsid w:val="0206306B"/>
    <w:rsid w:val="02092C09"/>
    <w:rsid w:val="021330FC"/>
    <w:rsid w:val="02214A54"/>
    <w:rsid w:val="022C24DE"/>
    <w:rsid w:val="0230085D"/>
    <w:rsid w:val="02344146"/>
    <w:rsid w:val="02377801"/>
    <w:rsid w:val="02561432"/>
    <w:rsid w:val="026B412B"/>
    <w:rsid w:val="026C7317"/>
    <w:rsid w:val="028265A2"/>
    <w:rsid w:val="028B5457"/>
    <w:rsid w:val="028E4F47"/>
    <w:rsid w:val="02CE3596"/>
    <w:rsid w:val="02CF10B4"/>
    <w:rsid w:val="02FF7BF3"/>
    <w:rsid w:val="03045584"/>
    <w:rsid w:val="030F42DA"/>
    <w:rsid w:val="03345AEF"/>
    <w:rsid w:val="03517FC2"/>
    <w:rsid w:val="0365214C"/>
    <w:rsid w:val="036828CB"/>
    <w:rsid w:val="037979A5"/>
    <w:rsid w:val="03AF696B"/>
    <w:rsid w:val="03B804CE"/>
    <w:rsid w:val="03C2759E"/>
    <w:rsid w:val="03C5651D"/>
    <w:rsid w:val="03D670CD"/>
    <w:rsid w:val="03E219EE"/>
    <w:rsid w:val="03E868D9"/>
    <w:rsid w:val="03EA2651"/>
    <w:rsid w:val="03F84D6E"/>
    <w:rsid w:val="03FA55FA"/>
    <w:rsid w:val="03FB485E"/>
    <w:rsid w:val="04113B7D"/>
    <w:rsid w:val="041E34E3"/>
    <w:rsid w:val="04294F27"/>
    <w:rsid w:val="04320460"/>
    <w:rsid w:val="043A5387"/>
    <w:rsid w:val="043F0BEF"/>
    <w:rsid w:val="04425FE9"/>
    <w:rsid w:val="04481D8A"/>
    <w:rsid w:val="044830FC"/>
    <w:rsid w:val="044E4D03"/>
    <w:rsid w:val="04531FA4"/>
    <w:rsid w:val="048E17C3"/>
    <w:rsid w:val="04A171B4"/>
    <w:rsid w:val="04A647CA"/>
    <w:rsid w:val="04B018D8"/>
    <w:rsid w:val="04C3537C"/>
    <w:rsid w:val="04D561BE"/>
    <w:rsid w:val="04D623D1"/>
    <w:rsid w:val="04E95E25"/>
    <w:rsid w:val="04EF43C3"/>
    <w:rsid w:val="04F01EE9"/>
    <w:rsid w:val="04F76DD4"/>
    <w:rsid w:val="04FD0162"/>
    <w:rsid w:val="05252F09"/>
    <w:rsid w:val="052971A9"/>
    <w:rsid w:val="0533099B"/>
    <w:rsid w:val="053571E9"/>
    <w:rsid w:val="054512FC"/>
    <w:rsid w:val="05571F68"/>
    <w:rsid w:val="05687CD1"/>
    <w:rsid w:val="05775184"/>
    <w:rsid w:val="05790131"/>
    <w:rsid w:val="05A01219"/>
    <w:rsid w:val="05A056BD"/>
    <w:rsid w:val="05C03C5B"/>
    <w:rsid w:val="05CA44E8"/>
    <w:rsid w:val="05CA686F"/>
    <w:rsid w:val="05E23147"/>
    <w:rsid w:val="06147E59"/>
    <w:rsid w:val="062005AC"/>
    <w:rsid w:val="06226E8B"/>
    <w:rsid w:val="0628019F"/>
    <w:rsid w:val="06292F03"/>
    <w:rsid w:val="06450013"/>
    <w:rsid w:val="06500D91"/>
    <w:rsid w:val="06565D7C"/>
    <w:rsid w:val="065A3ABE"/>
    <w:rsid w:val="065C550D"/>
    <w:rsid w:val="06782196"/>
    <w:rsid w:val="067F19C3"/>
    <w:rsid w:val="068A357C"/>
    <w:rsid w:val="068A3BAA"/>
    <w:rsid w:val="06934A15"/>
    <w:rsid w:val="06974444"/>
    <w:rsid w:val="06AE3E0A"/>
    <w:rsid w:val="06BC5734"/>
    <w:rsid w:val="06C929F2"/>
    <w:rsid w:val="06D2363E"/>
    <w:rsid w:val="06D36151"/>
    <w:rsid w:val="06DE46EF"/>
    <w:rsid w:val="06EA0626"/>
    <w:rsid w:val="06F765CC"/>
    <w:rsid w:val="07086385"/>
    <w:rsid w:val="07180075"/>
    <w:rsid w:val="071A5C49"/>
    <w:rsid w:val="072B7A21"/>
    <w:rsid w:val="07366080"/>
    <w:rsid w:val="07442078"/>
    <w:rsid w:val="0752149C"/>
    <w:rsid w:val="0765056A"/>
    <w:rsid w:val="07762B7A"/>
    <w:rsid w:val="07870EEC"/>
    <w:rsid w:val="078B414B"/>
    <w:rsid w:val="07A113DB"/>
    <w:rsid w:val="07FB6F8A"/>
    <w:rsid w:val="08030FD8"/>
    <w:rsid w:val="08200903"/>
    <w:rsid w:val="08283669"/>
    <w:rsid w:val="08654626"/>
    <w:rsid w:val="08751B15"/>
    <w:rsid w:val="08A94889"/>
    <w:rsid w:val="08AA16AC"/>
    <w:rsid w:val="08AC6127"/>
    <w:rsid w:val="08B4139B"/>
    <w:rsid w:val="08C276F9"/>
    <w:rsid w:val="08E25FED"/>
    <w:rsid w:val="08E367C5"/>
    <w:rsid w:val="08F57ACE"/>
    <w:rsid w:val="08FB1CFE"/>
    <w:rsid w:val="092B4317"/>
    <w:rsid w:val="093554A9"/>
    <w:rsid w:val="0955056D"/>
    <w:rsid w:val="0966277A"/>
    <w:rsid w:val="096859D0"/>
    <w:rsid w:val="097A7B38"/>
    <w:rsid w:val="099E36D5"/>
    <w:rsid w:val="09A17C56"/>
    <w:rsid w:val="09EB2C7F"/>
    <w:rsid w:val="0A210598"/>
    <w:rsid w:val="0A2E773B"/>
    <w:rsid w:val="0A3C4DE9"/>
    <w:rsid w:val="0A40746F"/>
    <w:rsid w:val="0A410AF1"/>
    <w:rsid w:val="0A4F1460"/>
    <w:rsid w:val="0A531E98"/>
    <w:rsid w:val="0A5B19B0"/>
    <w:rsid w:val="0A5C592B"/>
    <w:rsid w:val="0A720890"/>
    <w:rsid w:val="0AA50CE2"/>
    <w:rsid w:val="0AC65F33"/>
    <w:rsid w:val="0AE0249E"/>
    <w:rsid w:val="0AE20526"/>
    <w:rsid w:val="0AF142C5"/>
    <w:rsid w:val="0AFD221C"/>
    <w:rsid w:val="0AFD2C6A"/>
    <w:rsid w:val="0B212DFC"/>
    <w:rsid w:val="0B2847EE"/>
    <w:rsid w:val="0B3B1DF4"/>
    <w:rsid w:val="0B4374F7"/>
    <w:rsid w:val="0B495EAF"/>
    <w:rsid w:val="0B4C599F"/>
    <w:rsid w:val="0B5B5445"/>
    <w:rsid w:val="0B6D3B2E"/>
    <w:rsid w:val="0B802441"/>
    <w:rsid w:val="0B8B471A"/>
    <w:rsid w:val="0B9506CA"/>
    <w:rsid w:val="0B9A0544"/>
    <w:rsid w:val="0BA61872"/>
    <w:rsid w:val="0BB47AAC"/>
    <w:rsid w:val="0BBC2B25"/>
    <w:rsid w:val="0BC82EEF"/>
    <w:rsid w:val="0BD41AA3"/>
    <w:rsid w:val="0BFC5617"/>
    <w:rsid w:val="0C0F534B"/>
    <w:rsid w:val="0C16522F"/>
    <w:rsid w:val="0C1A0147"/>
    <w:rsid w:val="0C1E1526"/>
    <w:rsid w:val="0C2B3807"/>
    <w:rsid w:val="0C3D61A1"/>
    <w:rsid w:val="0C566AD6"/>
    <w:rsid w:val="0C676F35"/>
    <w:rsid w:val="0C757885"/>
    <w:rsid w:val="0C796C68"/>
    <w:rsid w:val="0C9037C8"/>
    <w:rsid w:val="0CAC1A83"/>
    <w:rsid w:val="0CAD246E"/>
    <w:rsid w:val="0CC35E19"/>
    <w:rsid w:val="0CC668A5"/>
    <w:rsid w:val="0CC771C3"/>
    <w:rsid w:val="0CCE0D62"/>
    <w:rsid w:val="0CDD3AEB"/>
    <w:rsid w:val="0CE265BB"/>
    <w:rsid w:val="0CE76C15"/>
    <w:rsid w:val="0CF05602"/>
    <w:rsid w:val="0CF46A23"/>
    <w:rsid w:val="0CFB6560"/>
    <w:rsid w:val="0D0070F9"/>
    <w:rsid w:val="0D3779E5"/>
    <w:rsid w:val="0D4E1EA3"/>
    <w:rsid w:val="0D5375F4"/>
    <w:rsid w:val="0D6C5E39"/>
    <w:rsid w:val="0D761631"/>
    <w:rsid w:val="0DA0008B"/>
    <w:rsid w:val="0DA90E87"/>
    <w:rsid w:val="0DC14423"/>
    <w:rsid w:val="0DD81DC1"/>
    <w:rsid w:val="0DDA7292"/>
    <w:rsid w:val="0DE11669"/>
    <w:rsid w:val="0DED64B7"/>
    <w:rsid w:val="0DF06534"/>
    <w:rsid w:val="0E1C0F1B"/>
    <w:rsid w:val="0E2520B0"/>
    <w:rsid w:val="0E2844A2"/>
    <w:rsid w:val="0E2C2CF0"/>
    <w:rsid w:val="0E2F31E9"/>
    <w:rsid w:val="0E3270CE"/>
    <w:rsid w:val="0E4C3A5C"/>
    <w:rsid w:val="0E5139F9"/>
    <w:rsid w:val="0E534F1C"/>
    <w:rsid w:val="0E7A7053"/>
    <w:rsid w:val="0E813BB2"/>
    <w:rsid w:val="0E941B37"/>
    <w:rsid w:val="0E9872D6"/>
    <w:rsid w:val="0EA76787"/>
    <w:rsid w:val="0EAC6E81"/>
    <w:rsid w:val="0EB1363B"/>
    <w:rsid w:val="0ED23CF1"/>
    <w:rsid w:val="0ED2440E"/>
    <w:rsid w:val="0EE91E83"/>
    <w:rsid w:val="0EEF7049"/>
    <w:rsid w:val="0EF12AE6"/>
    <w:rsid w:val="0F0C3DC3"/>
    <w:rsid w:val="0F1123B2"/>
    <w:rsid w:val="0F135152"/>
    <w:rsid w:val="0F20786F"/>
    <w:rsid w:val="0F242EBB"/>
    <w:rsid w:val="0F2C1390"/>
    <w:rsid w:val="0F2F6D43"/>
    <w:rsid w:val="0F306279"/>
    <w:rsid w:val="0F5157A2"/>
    <w:rsid w:val="0F5337A0"/>
    <w:rsid w:val="0F601DE7"/>
    <w:rsid w:val="0F612CBB"/>
    <w:rsid w:val="0F6A0FB2"/>
    <w:rsid w:val="0F7B115A"/>
    <w:rsid w:val="0F89169A"/>
    <w:rsid w:val="0F9335DC"/>
    <w:rsid w:val="0FA364D6"/>
    <w:rsid w:val="0FB436F8"/>
    <w:rsid w:val="0FBB0798"/>
    <w:rsid w:val="0FD85487"/>
    <w:rsid w:val="0FF35FE1"/>
    <w:rsid w:val="0FFD54BA"/>
    <w:rsid w:val="1000054D"/>
    <w:rsid w:val="10031A91"/>
    <w:rsid w:val="10284C2D"/>
    <w:rsid w:val="103233B6"/>
    <w:rsid w:val="104135F9"/>
    <w:rsid w:val="1047050D"/>
    <w:rsid w:val="105C1B2F"/>
    <w:rsid w:val="107309EB"/>
    <w:rsid w:val="107B3A42"/>
    <w:rsid w:val="10962C7F"/>
    <w:rsid w:val="10AA3894"/>
    <w:rsid w:val="10BD35C7"/>
    <w:rsid w:val="10C201D6"/>
    <w:rsid w:val="10DC54E5"/>
    <w:rsid w:val="10EE19D3"/>
    <w:rsid w:val="10F6011B"/>
    <w:rsid w:val="10F66AD9"/>
    <w:rsid w:val="10FE4BED"/>
    <w:rsid w:val="11205904"/>
    <w:rsid w:val="112E7C05"/>
    <w:rsid w:val="11472E91"/>
    <w:rsid w:val="114D6B16"/>
    <w:rsid w:val="11550591"/>
    <w:rsid w:val="115B2DE0"/>
    <w:rsid w:val="115F467E"/>
    <w:rsid w:val="11603F53"/>
    <w:rsid w:val="1167347A"/>
    <w:rsid w:val="116F05ED"/>
    <w:rsid w:val="11897CE8"/>
    <w:rsid w:val="11B34581"/>
    <w:rsid w:val="11B4202D"/>
    <w:rsid w:val="11C23AB8"/>
    <w:rsid w:val="11C646FD"/>
    <w:rsid w:val="11DB182B"/>
    <w:rsid w:val="11E20355"/>
    <w:rsid w:val="11EA579E"/>
    <w:rsid w:val="11F272A1"/>
    <w:rsid w:val="120C1B9A"/>
    <w:rsid w:val="122338FE"/>
    <w:rsid w:val="124318AA"/>
    <w:rsid w:val="124D4F3D"/>
    <w:rsid w:val="12541D09"/>
    <w:rsid w:val="126852A7"/>
    <w:rsid w:val="12694F95"/>
    <w:rsid w:val="12705219"/>
    <w:rsid w:val="12793437"/>
    <w:rsid w:val="127F4960"/>
    <w:rsid w:val="12A14823"/>
    <w:rsid w:val="12A93A7E"/>
    <w:rsid w:val="12E11932"/>
    <w:rsid w:val="12E8187E"/>
    <w:rsid w:val="130C7BC0"/>
    <w:rsid w:val="130D39B9"/>
    <w:rsid w:val="13283BBE"/>
    <w:rsid w:val="133C054F"/>
    <w:rsid w:val="134B68D6"/>
    <w:rsid w:val="13547AE7"/>
    <w:rsid w:val="1358363C"/>
    <w:rsid w:val="13844D91"/>
    <w:rsid w:val="139059DF"/>
    <w:rsid w:val="13AF6401"/>
    <w:rsid w:val="13B815A3"/>
    <w:rsid w:val="13BA1693"/>
    <w:rsid w:val="13C54541"/>
    <w:rsid w:val="13CF6CB0"/>
    <w:rsid w:val="13F53078"/>
    <w:rsid w:val="141008D4"/>
    <w:rsid w:val="141177C1"/>
    <w:rsid w:val="141A488D"/>
    <w:rsid w:val="14261483"/>
    <w:rsid w:val="1426657D"/>
    <w:rsid w:val="14292B56"/>
    <w:rsid w:val="142B7C44"/>
    <w:rsid w:val="143355A5"/>
    <w:rsid w:val="143D67CD"/>
    <w:rsid w:val="143E4A1F"/>
    <w:rsid w:val="144B713C"/>
    <w:rsid w:val="14554352"/>
    <w:rsid w:val="145B1CE7"/>
    <w:rsid w:val="1473046D"/>
    <w:rsid w:val="147541B9"/>
    <w:rsid w:val="148604F7"/>
    <w:rsid w:val="149F15FA"/>
    <w:rsid w:val="14B7657F"/>
    <w:rsid w:val="14BF71E2"/>
    <w:rsid w:val="14C173FE"/>
    <w:rsid w:val="14DA013C"/>
    <w:rsid w:val="14EA592F"/>
    <w:rsid w:val="150B4161"/>
    <w:rsid w:val="151E65FF"/>
    <w:rsid w:val="152158DE"/>
    <w:rsid w:val="15564E61"/>
    <w:rsid w:val="155C30D0"/>
    <w:rsid w:val="157006D8"/>
    <w:rsid w:val="157248F3"/>
    <w:rsid w:val="157B75AD"/>
    <w:rsid w:val="157F6158"/>
    <w:rsid w:val="158406B3"/>
    <w:rsid w:val="15A96BAD"/>
    <w:rsid w:val="15CA5E3E"/>
    <w:rsid w:val="15D85533"/>
    <w:rsid w:val="15DF5D8E"/>
    <w:rsid w:val="15E038B4"/>
    <w:rsid w:val="15E310A2"/>
    <w:rsid w:val="160F7CF5"/>
    <w:rsid w:val="16145295"/>
    <w:rsid w:val="162866FA"/>
    <w:rsid w:val="16331C36"/>
    <w:rsid w:val="16430175"/>
    <w:rsid w:val="16463A85"/>
    <w:rsid w:val="165C7A79"/>
    <w:rsid w:val="168D57EA"/>
    <w:rsid w:val="169E17A5"/>
    <w:rsid w:val="16A14DF1"/>
    <w:rsid w:val="16BA1700"/>
    <w:rsid w:val="16BA4105"/>
    <w:rsid w:val="16CE5A82"/>
    <w:rsid w:val="16DA75EF"/>
    <w:rsid w:val="16DC22CD"/>
    <w:rsid w:val="16DC407B"/>
    <w:rsid w:val="16E53C9C"/>
    <w:rsid w:val="16F21AF1"/>
    <w:rsid w:val="17006E75"/>
    <w:rsid w:val="17036C7B"/>
    <w:rsid w:val="17097AFE"/>
    <w:rsid w:val="17143815"/>
    <w:rsid w:val="17151730"/>
    <w:rsid w:val="17295AAA"/>
    <w:rsid w:val="173A1679"/>
    <w:rsid w:val="17457E73"/>
    <w:rsid w:val="17531C1E"/>
    <w:rsid w:val="175638F3"/>
    <w:rsid w:val="177B7D38"/>
    <w:rsid w:val="177E100C"/>
    <w:rsid w:val="178A3929"/>
    <w:rsid w:val="178F443B"/>
    <w:rsid w:val="17935082"/>
    <w:rsid w:val="179708A5"/>
    <w:rsid w:val="17B15508"/>
    <w:rsid w:val="17B374D2"/>
    <w:rsid w:val="17C3523B"/>
    <w:rsid w:val="17E07B9B"/>
    <w:rsid w:val="180126BC"/>
    <w:rsid w:val="180715CC"/>
    <w:rsid w:val="180B1120"/>
    <w:rsid w:val="18324570"/>
    <w:rsid w:val="18365A0D"/>
    <w:rsid w:val="184E52CB"/>
    <w:rsid w:val="18506ACF"/>
    <w:rsid w:val="18511548"/>
    <w:rsid w:val="18772E29"/>
    <w:rsid w:val="189B2150"/>
    <w:rsid w:val="18A706B9"/>
    <w:rsid w:val="18B25F38"/>
    <w:rsid w:val="18B56296"/>
    <w:rsid w:val="18B57F73"/>
    <w:rsid w:val="18C4730F"/>
    <w:rsid w:val="18C9036F"/>
    <w:rsid w:val="18D725FB"/>
    <w:rsid w:val="18E3357D"/>
    <w:rsid w:val="18E92A80"/>
    <w:rsid w:val="18F50BC4"/>
    <w:rsid w:val="18F97167"/>
    <w:rsid w:val="19033B41"/>
    <w:rsid w:val="190C3604"/>
    <w:rsid w:val="191A0F86"/>
    <w:rsid w:val="19226886"/>
    <w:rsid w:val="19235F91"/>
    <w:rsid w:val="19501EDC"/>
    <w:rsid w:val="19502AFF"/>
    <w:rsid w:val="196D35EC"/>
    <w:rsid w:val="198F3627"/>
    <w:rsid w:val="19971CFA"/>
    <w:rsid w:val="19996254"/>
    <w:rsid w:val="19AB252D"/>
    <w:rsid w:val="19B67531"/>
    <w:rsid w:val="19BC6185"/>
    <w:rsid w:val="19C86B39"/>
    <w:rsid w:val="19D86C87"/>
    <w:rsid w:val="19DE010A"/>
    <w:rsid w:val="1A005443"/>
    <w:rsid w:val="1A2024D1"/>
    <w:rsid w:val="1A306A7E"/>
    <w:rsid w:val="1A332204"/>
    <w:rsid w:val="1A41348C"/>
    <w:rsid w:val="1A475CB0"/>
    <w:rsid w:val="1A502127"/>
    <w:rsid w:val="1A7D5911"/>
    <w:rsid w:val="1A8E101F"/>
    <w:rsid w:val="1AA72BF2"/>
    <w:rsid w:val="1AB95B8E"/>
    <w:rsid w:val="1ACB4B33"/>
    <w:rsid w:val="1AD10108"/>
    <w:rsid w:val="1AD34930"/>
    <w:rsid w:val="1AD91884"/>
    <w:rsid w:val="1ADA340E"/>
    <w:rsid w:val="1ADB18F0"/>
    <w:rsid w:val="1AE15B68"/>
    <w:rsid w:val="1AEE6496"/>
    <w:rsid w:val="1B1E590D"/>
    <w:rsid w:val="1B26620D"/>
    <w:rsid w:val="1B32070E"/>
    <w:rsid w:val="1B324BB2"/>
    <w:rsid w:val="1B385F1B"/>
    <w:rsid w:val="1B4B0275"/>
    <w:rsid w:val="1B621343"/>
    <w:rsid w:val="1B636B19"/>
    <w:rsid w:val="1B781C36"/>
    <w:rsid w:val="1B834860"/>
    <w:rsid w:val="1B9238A2"/>
    <w:rsid w:val="1B955310"/>
    <w:rsid w:val="1B972659"/>
    <w:rsid w:val="1BAB226E"/>
    <w:rsid w:val="1BB362FC"/>
    <w:rsid w:val="1BBD04CE"/>
    <w:rsid w:val="1BD6378F"/>
    <w:rsid w:val="1BD658B7"/>
    <w:rsid w:val="1BD72DB7"/>
    <w:rsid w:val="1BE307BE"/>
    <w:rsid w:val="1BE31E18"/>
    <w:rsid w:val="1BEF055C"/>
    <w:rsid w:val="1BF105C9"/>
    <w:rsid w:val="1BF63E31"/>
    <w:rsid w:val="1BFB1C48"/>
    <w:rsid w:val="1C0844E5"/>
    <w:rsid w:val="1C093B64"/>
    <w:rsid w:val="1C137F33"/>
    <w:rsid w:val="1C1D316C"/>
    <w:rsid w:val="1C220782"/>
    <w:rsid w:val="1C2E5379"/>
    <w:rsid w:val="1C352774"/>
    <w:rsid w:val="1C511068"/>
    <w:rsid w:val="1C5B5A42"/>
    <w:rsid w:val="1C633B5F"/>
    <w:rsid w:val="1CCB706C"/>
    <w:rsid w:val="1CCE090A"/>
    <w:rsid w:val="1CF704DD"/>
    <w:rsid w:val="1D062D03"/>
    <w:rsid w:val="1D0D64EE"/>
    <w:rsid w:val="1D28626C"/>
    <w:rsid w:val="1D2C40BC"/>
    <w:rsid w:val="1D3339B8"/>
    <w:rsid w:val="1D4D7A81"/>
    <w:rsid w:val="1D513588"/>
    <w:rsid w:val="1D6848BB"/>
    <w:rsid w:val="1D6F5C49"/>
    <w:rsid w:val="1D7D375A"/>
    <w:rsid w:val="1D7F664E"/>
    <w:rsid w:val="1D835C05"/>
    <w:rsid w:val="1DA314E7"/>
    <w:rsid w:val="1DA376A1"/>
    <w:rsid w:val="1DAF3752"/>
    <w:rsid w:val="1DC61725"/>
    <w:rsid w:val="1DD67A76"/>
    <w:rsid w:val="1DDE4B7D"/>
    <w:rsid w:val="1DEF28E6"/>
    <w:rsid w:val="1DF776D4"/>
    <w:rsid w:val="1DFE521F"/>
    <w:rsid w:val="1E125451"/>
    <w:rsid w:val="1E27481D"/>
    <w:rsid w:val="1E5D4164"/>
    <w:rsid w:val="1E697AC5"/>
    <w:rsid w:val="1E8F3F05"/>
    <w:rsid w:val="1E9B2A6E"/>
    <w:rsid w:val="1EA26DE3"/>
    <w:rsid w:val="1EA46DB9"/>
    <w:rsid w:val="1EBB0A1A"/>
    <w:rsid w:val="1ECA5BD2"/>
    <w:rsid w:val="1EDE4F0A"/>
    <w:rsid w:val="1F016D75"/>
    <w:rsid w:val="1F160FF7"/>
    <w:rsid w:val="1F2B5BA0"/>
    <w:rsid w:val="1F3D3CDF"/>
    <w:rsid w:val="1FA37E2C"/>
    <w:rsid w:val="1FBA6F24"/>
    <w:rsid w:val="1FBE07C2"/>
    <w:rsid w:val="1FCB2D12"/>
    <w:rsid w:val="1FDC04D4"/>
    <w:rsid w:val="1FE0306F"/>
    <w:rsid w:val="1FE82025"/>
    <w:rsid w:val="1FE8583F"/>
    <w:rsid w:val="1FEF3071"/>
    <w:rsid w:val="20103DF1"/>
    <w:rsid w:val="20166850"/>
    <w:rsid w:val="202251F5"/>
    <w:rsid w:val="202C6073"/>
    <w:rsid w:val="203171E6"/>
    <w:rsid w:val="20344F28"/>
    <w:rsid w:val="2035289C"/>
    <w:rsid w:val="2043516B"/>
    <w:rsid w:val="20511980"/>
    <w:rsid w:val="207738CD"/>
    <w:rsid w:val="207B66B3"/>
    <w:rsid w:val="20806F21"/>
    <w:rsid w:val="209A0447"/>
    <w:rsid w:val="20A26336"/>
    <w:rsid w:val="20BD4F1E"/>
    <w:rsid w:val="20D65FDF"/>
    <w:rsid w:val="20D83B05"/>
    <w:rsid w:val="20DD6F2F"/>
    <w:rsid w:val="20DE23E5"/>
    <w:rsid w:val="20E96031"/>
    <w:rsid w:val="20EA3839"/>
    <w:rsid w:val="20F73C1B"/>
    <w:rsid w:val="21056B7A"/>
    <w:rsid w:val="210E5779"/>
    <w:rsid w:val="212C5BFF"/>
    <w:rsid w:val="213243E7"/>
    <w:rsid w:val="21362A4F"/>
    <w:rsid w:val="213E2CCB"/>
    <w:rsid w:val="21456AA0"/>
    <w:rsid w:val="214667F0"/>
    <w:rsid w:val="216B2E85"/>
    <w:rsid w:val="21723F5A"/>
    <w:rsid w:val="217355DC"/>
    <w:rsid w:val="217B495E"/>
    <w:rsid w:val="21851140"/>
    <w:rsid w:val="21C85928"/>
    <w:rsid w:val="21F52EF8"/>
    <w:rsid w:val="21FC1A76"/>
    <w:rsid w:val="21FD67B0"/>
    <w:rsid w:val="21FE134A"/>
    <w:rsid w:val="22037739"/>
    <w:rsid w:val="224F6049"/>
    <w:rsid w:val="225A3B0B"/>
    <w:rsid w:val="2260264E"/>
    <w:rsid w:val="2265586D"/>
    <w:rsid w:val="22A53EBB"/>
    <w:rsid w:val="22AB456A"/>
    <w:rsid w:val="22C5455D"/>
    <w:rsid w:val="22D25944"/>
    <w:rsid w:val="22DE117B"/>
    <w:rsid w:val="22E03145"/>
    <w:rsid w:val="22E06CA1"/>
    <w:rsid w:val="22E83DA8"/>
    <w:rsid w:val="22F866E1"/>
    <w:rsid w:val="2302587B"/>
    <w:rsid w:val="23144B9D"/>
    <w:rsid w:val="23146F6E"/>
    <w:rsid w:val="2369313B"/>
    <w:rsid w:val="23903502"/>
    <w:rsid w:val="23AA2DDC"/>
    <w:rsid w:val="23B263CE"/>
    <w:rsid w:val="23B731E9"/>
    <w:rsid w:val="23C14D25"/>
    <w:rsid w:val="23F80BF7"/>
    <w:rsid w:val="24102AC5"/>
    <w:rsid w:val="24150BCD"/>
    <w:rsid w:val="242515DF"/>
    <w:rsid w:val="242D23BA"/>
    <w:rsid w:val="243454F7"/>
    <w:rsid w:val="24350EEC"/>
    <w:rsid w:val="244514B2"/>
    <w:rsid w:val="245C1D7E"/>
    <w:rsid w:val="24C34791"/>
    <w:rsid w:val="24C3687B"/>
    <w:rsid w:val="24C83E91"/>
    <w:rsid w:val="24D64800"/>
    <w:rsid w:val="24DB5972"/>
    <w:rsid w:val="24EF49B0"/>
    <w:rsid w:val="24FD5565"/>
    <w:rsid w:val="25050C41"/>
    <w:rsid w:val="250F5CA3"/>
    <w:rsid w:val="25292B82"/>
    <w:rsid w:val="253A0D01"/>
    <w:rsid w:val="254E25E8"/>
    <w:rsid w:val="2551032A"/>
    <w:rsid w:val="25585215"/>
    <w:rsid w:val="25707907"/>
    <w:rsid w:val="25844B13"/>
    <w:rsid w:val="258A49D0"/>
    <w:rsid w:val="2596017E"/>
    <w:rsid w:val="25983863"/>
    <w:rsid w:val="259A75DB"/>
    <w:rsid w:val="25EA5336"/>
    <w:rsid w:val="25EF656B"/>
    <w:rsid w:val="25F25669"/>
    <w:rsid w:val="26087276"/>
    <w:rsid w:val="2611293C"/>
    <w:rsid w:val="2615270F"/>
    <w:rsid w:val="26241EA6"/>
    <w:rsid w:val="262E743E"/>
    <w:rsid w:val="263649D1"/>
    <w:rsid w:val="2637689C"/>
    <w:rsid w:val="265F25D3"/>
    <w:rsid w:val="26612D6B"/>
    <w:rsid w:val="26642ABE"/>
    <w:rsid w:val="266611FB"/>
    <w:rsid w:val="266D29E7"/>
    <w:rsid w:val="26751DF6"/>
    <w:rsid w:val="26AE46BA"/>
    <w:rsid w:val="26C07516"/>
    <w:rsid w:val="26CB7A40"/>
    <w:rsid w:val="26E30416"/>
    <w:rsid w:val="26EF1BA9"/>
    <w:rsid w:val="26F176CF"/>
    <w:rsid w:val="26F471BF"/>
    <w:rsid w:val="26FE1DEC"/>
    <w:rsid w:val="27021EA4"/>
    <w:rsid w:val="27027B2E"/>
    <w:rsid w:val="27147861"/>
    <w:rsid w:val="27265E9C"/>
    <w:rsid w:val="27375C8E"/>
    <w:rsid w:val="27457A1B"/>
    <w:rsid w:val="2751016E"/>
    <w:rsid w:val="278247CB"/>
    <w:rsid w:val="278C6174"/>
    <w:rsid w:val="279462AC"/>
    <w:rsid w:val="279966F9"/>
    <w:rsid w:val="279E24B9"/>
    <w:rsid w:val="27BD3A55"/>
    <w:rsid w:val="27D14230"/>
    <w:rsid w:val="27E2526A"/>
    <w:rsid w:val="27E4338C"/>
    <w:rsid w:val="27E74A6A"/>
    <w:rsid w:val="27F22F73"/>
    <w:rsid w:val="27FD6994"/>
    <w:rsid w:val="280C4E96"/>
    <w:rsid w:val="28135D84"/>
    <w:rsid w:val="281A4A03"/>
    <w:rsid w:val="282B0917"/>
    <w:rsid w:val="283F090E"/>
    <w:rsid w:val="283F2E1B"/>
    <w:rsid w:val="28497097"/>
    <w:rsid w:val="28601B73"/>
    <w:rsid w:val="28695A0E"/>
    <w:rsid w:val="286D5D13"/>
    <w:rsid w:val="28726663"/>
    <w:rsid w:val="28E82D54"/>
    <w:rsid w:val="28EA087A"/>
    <w:rsid w:val="291458F7"/>
    <w:rsid w:val="291B4343"/>
    <w:rsid w:val="292C2C40"/>
    <w:rsid w:val="292E6FFB"/>
    <w:rsid w:val="29413A4D"/>
    <w:rsid w:val="294361DC"/>
    <w:rsid w:val="294855A0"/>
    <w:rsid w:val="29842A7C"/>
    <w:rsid w:val="298F31CF"/>
    <w:rsid w:val="29916F47"/>
    <w:rsid w:val="29AC6221"/>
    <w:rsid w:val="29B6517A"/>
    <w:rsid w:val="29D07A70"/>
    <w:rsid w:val="29D37560"/>
    <w:rsid w:val="29DC75D4"/>
    <w:rsid w:val="29E77AA6"/>
    <w:rsid w:val="2A0E1655"/>
    <w:rsid w:val="2A200A15"/>
    <w:rsid w:val="2A2722E3"/>
    <w:rsid w:val="2A292AA6"/>
    <w:rsid w:val="2A5E2BEC"/>
    <w:rsid w:val="2A705473"/>
    <w:rsid w:val="2A9B3276"/>
    <w:rsid w:val="2ABA427C"/>
    <w:rsid w:val="2ACF5F79"/>
    <w:rsid w:val="2AD0584D"/>
    <w:rsid w:val="2AD25A69"/>
    <w:rsid w:val="2AD571B7"/>
    <w:rsid w:val="2AD83742"/>
    <w:rsid w:val="2ADF3F09"/>
    <w:rsid w:val="2AFD7873"/>
    <w:rsid w:val="2B0F57E0"/>
    <w:rsid w:val="2B140A52"/>
    <w:rsid w:val="2B284CA6"/>
    <w:rsid w:val="2B364EF4"/>
    <w:rsid w:val="2B4A7991"/>
    <w:rsid w:val="2B591CE7"/>
    <w:rsid w:val="2B870AF0"/>
    <w:rsid w:val="2B9439E6"/>
    <w:rsid w:val="2B9824B0"/>
    <w:rsid w:val="2B9D6077"/>
    <w:rsid w:val="2B9F79A5"/>
    <w:rsid w:val="2BA625F3"/>
    <w:rsid w:val="2BB1742D"/>
    <w:rsid w:val="2BBA718F"/>
    <w:rsid w:val="2BBC1634"/>
    <w:rsid w:val="2BBE7D9C"/>
    <w:rsid w:val="2BC576B3"/>
    <w:rsid w:val="2BC85C3C"/>
    <w:rsid w:val="2BCB0D10"/>
    <w:rsid w:val="2BCE7FDF"/>
    <w:rsid w:val="2BDB110D"/>
    <w:rsid w:val="2C112293"/>
    <w:rsid w:val="2C2E3173"/>
    <w:rsid w:val="2C3B319A"/>
    <w:rsid w:val="2C4402A1"/>
    <w:rsid w:val="2C6A65D2"/>
    <w:rsid w:val="2CA376BD"/>
    <w:rsid w:val="2CB318EF"/>
    <w:rsid w:val="2CBA0563"/>
    <w:rsid w:val="2CC664C0"/>
    <w:rsid w:val="2CDA29B3"/>
    <w:rsid w:val="2CFD0465"/>
    <w:rsid w:val="2D0A2D91"/>
    <w:rsid w:val="2D1265F1"/>
    <w:rsid w:val="2D1F0559"/>
    <w:rsid w:val="2D224D02"/>
    <w:rsid w:val="2D387E1E"/>
    <w:rsid w:val="2D612B18"/>
    <w:rsid w:val="2D684463"/>
    <w:rsid w:val="2D6C5D01"/>
    <w:rsid w:val="2D7626DC"/>
    <w:rsid w:val="2D88501B"/>
    <w:rsid w:val="2D941213"/>
    <w:rsid w:val="2DA350AD"/>
    <w:rsid w:val="2DB9081B"/>
    <w:rsid w:val="2DBE1CB8"/>
    <w:rsid w:val="2DCA6ECC"/>
    <w:rsid w:val="2DCC2C44"/>
    <w:rsid w:val="2DE0049D"/>
    <w:rsid w:val="2DEA131C"/>
    <w:rsid w:val="2E0F7678"/>
    <w:rsid w:val="2E114AFB"/>
    <w:rsid w:val="2E244142"/>
    <w:rsid w:val="2E2E579B"/>
    <w:rsid w:val="2E60513A"/>
    <w:rsid w:val="2E753B2D"/>
    <w:rsid w:val="2E774004"/>
    <w:rsid w:val="2E840E29"/>
    <w:rsid w:val="2E8D23D3"/>
    <w:rsid w:val="2E980D78"/>
    <w:rsid w:val="2E9D6949"/>
    <w:rsid w:val="2EAD0D31"/>
    <w:rsid w:val="2ECF08DB"/>
    <w:rsid w:val="2ED906EF"/>
    <w:rsid w:val="2EEF601B"/>
    <w:rsid w:val="2EFC2E12"/>
    <w:rsid w:val="2F4021D3"/>
    <w:rsid w:val="2F6C023B"/>
    <w:rsid w:val="2F745341"/>
    <w:rsid w:val="2F7D0BFC"/>
    <w:rsid w:val="2F803F42"/>
    <w:rsid w:val="2F8F217B"/>
    <w:rsid w:val="2F975005"/>
    <w:rsid w:val="2FAC2100"/>
    <w:rsid w:val="2FBE46A6"/>
    <w:rsid w:val="2FD47F42"/>
    <w:rsid w:val="2FD944DB"/>
    <w:rsid w:val="2FE5304B"/>
    <w:rsid w:val="2FF10740"/>
    <w:rsid w:val="2FF43D8C"/>
    <w:rsid w:val="2FFD4C04"/>
    <w:rsid w:val="302C78DA"/>
    <w:rsid w:val="30303A1F"/>
    <w:rsid w:val="303D4A56"/>
    <w:rsid w:val="305330D0"/>
    <w:rsid w:val="3070548A"/>
    <w:rsid w:val="30782C0F"/>
    <w:rsid w:val="30A47D28"/>
    <w:rsid w:val="30A9101A"/>
    <w:rsid w:val="30C145B6"/>
    <w:rsid w:val="30C47547"/>
    <w:rsid w:val="30C65728"/>
    <w:rsid w:val="30CB25D0"/>
    <w:rsid w:val="30D85418"/>
    <w:rsid w:val="30E91115"/>
    <w:rsid w:val="30FC55EE"/>
    <w:rsid w:val="31127610"/>
    <w:rsid w:val="31197F4E"/>
    <w:rsid w:val="311E19F3"/>
    <w:rsid w:val="311E37B6"/>
    <w:rsid w:val="31206D03"/>
    <w:rsid w:val="31211DB6"/>
    <w:rsid w:val="313308E4"/>
    <w:rsid w:val="313A1C72"/>
    <w:rsid w:val="314E5151"/>
    <w:rsid w:val="31636260"/>
    <w:rsid w:val="316A39E1"/>
    <w:rsid w:val="316D029A"/>
    <w:rsid w:val="31794E91"/>
    <w:rsid w:val="317C7E46"/>
    <w:rsid w:val="31813D45"/>
    <w:rsid w:val="3186639E"/>
    <w:rsid w:val="31AB2B70"/>
    <w:rsid w:val="31AD4B3A"/>
    <w:rsid w:val="31CC4FC0"/>
    <w:rsid w:val="3222750B"/>
    <w:rsid w:val="3250694A"/>
    <w:rsid w:val="32515B40"/>
    <w:rsid w:val="326B2236"/>
    <w:rsid w:val="326E42CA"/>
    <w:rsid w:val="327411B4"/>
    <w:rsid w:val="32A61CB5"/>
    <w:rsid w:val="32A93F8C"/>
    <w:rsid w:val="32AC094E"/>
    <w:rsid w:val="32B11D48"/>
    <w:rsid w:val="32B819E9"/>
    <w:rsid w:val="32B96D04"/>
    <w:rsid w:val="32E75A7E"/>
    <w:rsid w:val="32F715D4"/>
    <w:rsid w:val="330D0F5A"/>
    <w:rsid w:val="3314338B"/>
    <w:rsid w:val="331E0810"/>
    <w:rsid w:val="332520C3"/>
    <w:rsid w:val="33702DDF"/>
    <w:rsid w:val="337C30AF"/>
    <w:rsid w:val="338053ED"/>
    <w:rsid w:val="33A064D1"/>
    <w:rsid w:val="33A822A1"/>
    <w:rsid w:val="33EB24FE"/>
    <w:rsid w:val="33F425AD"/>
    <w:rsid w:val="340030D7"/>
    <w:rsid w:val="340F28F7"/>
    <w:rsid w:val="34120C85"/>
    <w:rsid w:val="341C1F51"/>
    <w:rsid w:val="34323D16"/>
    <w:rsid w:val="34346E4D"/>
    <w:rsid w:val="34390D95"/>
    <w:rsid w:val="34447784"/>
    <w:rsid w:val="34537347"/>
    <w:rsid w:val="345D63A4"/>
    <w:rsid w:val="346C1D5F"/>
    <w:rsid w:val="347233D0"/>
    <w:rsid w:val="3482405C"/>
    <w:rsid w:val="34871673"/>
    <w:rsid w:val="34987FD8"/>
    <w:rsid w:val="349E4382"/>
    <w:rsid w:val="349F3E73"/>
    <w:rsid w:val="34A3453E"/>
    <w:rsid w:val="34B8747A"/>
    <w:rsid w:val="34C24459"/>
    <w:rsid w:val="34C71A6F"/>
    <w:rsid w:val="34CB5A03"/>
    <w:rsid w:val="34E02B31"/>
    <w:rsid w:val="34E22D4D"/>
    <w:rsid w:val="34E645EB"/>
    <w:rsid w:val="34F32864"/>
    <w:rsid w:val="34FA62E8"/>
    <w:rsid w:val="350C7DCA"/>
    <w:rsid w:val="351F78AA"/>
    <w:rsid w:val="352B4A09"/>
    <w:rsid w:val="35531555"/>
    <w:rsid w:val="3563611B"/>
    <w:rsid w:val="357A2F85"/>
    <w:rsid w:val="358F6BA0"/>
    <w:rsid w:val="35AE771F"/>
    <w:rsid w:val="35B00755"/>
    <w:rsid w:val="35B02EB6"/>
    <w:rsid w:val="35BB5A78"/>
    <w:rsid w:val="35DB7EC8"/>
    <w:rsid w:val="35E67A66"/>
    <w:rsid w:val="35E86141"/>
    <w:rsid w:val="35F22432"/>
    <w:rsid w:val="360E4186"/>
    <w:rsid w:val="361E7DB5"/>
    <w:rsid w:val="36280C33"/>
    <w:rsid w:val="36280E17"/>
    <w:rsid w:val="36323721"/>
    <w:rsid w:val="363C57D6"/>
    <w:rsid w:val="36513CE6"/>
    <w:rsid w:val="3654016C"/>
    <w:rsid w:val="36581519"/>
    <w:rsid w:val="366A124C"/>
    <w:rsid w:val="3679323D"/>
    <w:rsid w:val="367D0564"/>
    <w:rsid w:val="367E6622"/>
    <w:rsid w:val="36962041"/>
    <w:rsid w:val="36A3260E"/>
    <w:rsid w:val="36A6106E"/>
    <w:rsid w:val="36AA3C04"/>
    <w:rsid w:val="36AC6562"/>
    <w:rsid w:val="36B76F0E"/>
    <w:rsid w:val="36C66189"/>
    <w:rsid w:val="36D05553"/>
    <w:rsid w:val="36D37347"/>
    <w:rsid w:val="36D44917"/>
    <w:rsid w:val="36DF299B"/>
    <w:rsid w:val="36E032BC"/>
    <w:rsid w:val="36E508D2"/>
    <w:rsid w:val="36F156DB"/>
    <w:rsid w:val="370316CE"/>
    <w:rsid w:val="370A193E"/>
    <w:rsid w:val="371B1275"/>
    <w:rsid w:val="37227431"/>
    <w:rsid w:val="37374659"/>
    <w:rsid w:val="37552639"/>
    <w:rsid w:val="37674994"/>
    <w:rsid w:val="376A3A85"/>
    <w:rsid w:val="376B202F"/>
    <w:rsid w:val="376C65F4"/>
    <w:rsid w:val="3772660A"/>
    <w:rsid w:val="37887BDC"/>
    <w:rsid w:val="37940662"/>
    <w:rsid w:val="37985945"/>
    <w:rsid w:val="379A16BD"/>
    <w:rsid w:val="37A4078E"/>
    <w:rsid w:val="37A662B4"/>
    <w:rsid w:val="37EB016A"/>
    <w:rsid w:val="37FD10F6"/>
    <w:rsid w:val="37FF2434"/>
    <w:rsid w:val="38062F81"/>
    <w:rsid w:val="3808426D"/>
    <w:rsid w:val="38175AE8"/>
    <w:rsid w:val="3821204D"/>
    <w:rsid w:val="3842422E"/>
    <w:rsid w:val="386A0BC2"/>
    <w:rsid w:val="38787C50"/>
    <w:rsid w:val="38A24CCD"/>
    <w:rsid w:val="38AD794A"/>
    <w:rsid w:val="38AF2F46"/>
    <w:rsid w:val="38CC7F9C"/>
    <w:rsid w:val="38CE6F11"/>
    <w:rsid w:val="38EC5F48"/>
    <w:rsid w:val="39145D2C"/>
    <w:rsid w:val="39341A51"/>
    <w:rsid w:val="39436ACC"/>
    <w:rsid w:val="395A04F4"/>
    <w:rsid w:val="39930ABA"/>
    <w:rsid w:val="39981C2C"/>
    <w:rsid w:val="39B3469A"/>
    <w:rsid w:val="39B70223"/>
    <w:rsid w:val="3A087741"/>
    <w:rsid w:val="3A0912D4"/>
    <w:rsid w:val="3A31781C"/>
    <w:rsid w:val="3A347BA7"/>
    <w:rsid w:val="3A38042F"/>
    <w:rsid w:val="3A437DEA"/>
    <w:rsid w:val="3A4D187F"/>
    <w:rsid w:val="3A5B15D7"/>
    <w:rsid w:val="3A91641F"/>
    <w:rsid w:val="3AAB76BC"/>
    <w:rsid w:val="3AAF7544"/>
    <w:rsid w:val="3ACF792D"/>
    <w:rsid w:val="3AD54001"/>
    <w:rsid w:val="3ADB0417"/>
    <w:rsid w:val="3AE13D01"/>
    <w:rsid w:val="3AFB2473"/>
    <w:rsid w:val="3B185F17"/>
    <w:rsid w:val="3B1B0D67"/>
    <w:rsid w:val="3B2A2492"/>
    <w:rsid w:val="3B2C5F92"/>
    <w:rsid w:val="3B3243A4"/>
    <w:rsid w:val="3B392F9B"/>
    <w:rsid w:val="3B457B92"/>
    <w:rsid w:val="3B742767"/>
    <w:rsid w:val="3B7A7FBD"/>
    <w:rsid w:val="3BA725FA"/>
    <w:rsid w:val="3BAB6EF2"/>
    <w:rsid w:val="3BB54D17"/>
    <w:rsid w:val="3BCF38CE"/>
    <w:rsid w:val="3BDD7DCA"/>
    <w:rsid w:val="3BF77484"/>
    <w:rsid w:val="3BFF2436"/>
    <w:rsid w:val="3C026F2C"/>
    <w:rsid w:val="3C033CD5"/>
    <w:rsid w:val="3C08753D"/>
    <w:rsid w:val="3C1934F8"/>
    <w:rsid w:val="3C231744"/>
    <w:rsid w:val="3C2D1B8F"/>
    <w:rsid w:val="3C361320"/>
    <w:rsid w:val="3C3C2D43"/>
    <w:rsid w:val="3C4147FD"/>
    <w:rsid w:val="3C463BC1"/>
    <w:rsid w:val="3C5627C1"/>
    <w:rsid w:val="3C845B72"/>
    <w:rsid w:val="3C860462"/>
    <w:rsid w:val="3C8963A2"/>
    <w:rsid w:val="3C8A1D00"/>
    <w:rsid w:val="3C9708C1"/>
    <w:rsid w:val="3C9D24E8"/>
    <w:rsid w:val="3CB94393"/>
    <w:rsid w:val="3CC82828"/>
    <w:rsid w:val="3CCD051D"/>
    <w:rsid w:val="3CD15B81"/>
    <w:rsid w:val="3CD951D6"/>
    <w:rsid w:val="3CE05DC4"/>
    <w:rsid w:val="3CE33B06"/>
    <w:rsid w:val="3CF16201"/>
    <w:rsid w:val="3D141F11"/>
    <w:rsid w:val="3D143CBF"/>
    <w:rsid w:val="3D1E069A"/>
    <w:rsid w:val="3D1E4B3E"/>
    <w:rsid w:val="3D31760F"/>
    <w:rsid w:val="3D3760B5"/>
    <w:rsid w:val="3D403908"/>
    <w:rsid w:val="3D4E0F7F"/>
    <w:rsid w:val="3D513D57"/>
    <w:rsid w:val="3D762284"/>
    <w:rsid w:val="3D7B789B"/>
    <w:rsid w:val="3D7C0D3E"/>
    <w:rsid w:val="3D9C1C68"/>
    <w:rsid w:val="3DA83CC3"/>
    <w:rsid w:val="3DA908AC"/>
    <w:rsid w:val="3DD551FD"/>
    <w:rsid w:val="3DEE62BF"/>
    <w:rsid w:val="3DF332FE"/>
    <w:rsid w:val="3DF80D16"/>
    <w:rsid w:val="3DFA4C63"/>
    <w:rsid w:val="3E033E41"/>
    <w:rsid w:val="3E2D5039"/>
    <w:rsid w:val="3E3D07EE"/>
    <w:rsid w:val="3E4D3BA1"/>
    <w:rsid w:val="3E597534"/>
    <w:rsid w:val="3E6B1E2F"/>
    <w:rsid w:val="3E6B790F"/>
    <w:rsid w:val="3E946E66"/>
    <w:rsid w:val="3EA11583"/>
    <w:rsid w:val="3EA1722B"/>
    <w:rsid w:val="3EAA2EF6"/>
    <w:rsid w:val="3EF34A48"/>
    <w:rsid w:val="3F033FEC"/>
    <w:rsid w:val="3F231C80"/>
    <w:rsid w:val="3F2A2EB3"/>
    <w:rsid w:val="3F4102FE"/>
    <w:rsid w:val="3F476304"/>
    <w:rsid w:val="3F7171A7"/>
    <w:rsid w:val="3F732F1F"/>
    <w:rsid w:val="3F7D3D9E"/>
    <w:rsid w:val="3FA65C1E"/>
    <w:rsid w:val="3FBB0422"/>
    <w:rsid w:val="3FCB34E6"/>
    <w:rsid w:val="3FDA4D4C"/>
    <w:rsid w:val="3FF676AC"/>
    <w:rsid w:val="400A12F8"/>
    <w:rsid w:val="401A347C"/>
    <w:rsid w:val="40482EB5"/>
    <w:rsid w:val="40522E0A"/>
    <w:rsid w:val="40683E73"/>
    <w:rsid w:val="406E36E7"/>
    <w:rsid w:val="407530F0"/>
    <w:rsid w:val="407F3822"/>
    <w:rsid w:val="40894626"/>
    <w:rsid w:val="40915323"/>
    <w:rsid w:val="40990B67"/>
    <w:rsid w:val="409A0980"/>
    <w:rsid w:val="409C284C"/>
    <w:rsid w:val="409F1DC9"/>
    <w:rsid w:val="40CA760B"/>
    <w:rsid w:val="40D42B1D"/>
    <w:rsid w:val="40D6341C"/>
    <w:rsid w:val="40DA05F1"/>
    <w:rsid w:val="40DF25DF"/>
    <w:rsid w:val="40E57E4D"/>
    <w:rsid w:val="40ED5236"/>
    <w:rsid w:val="410C568F"/>
    <w:rsid w:val="411643F0"/>
    <w:rsid w:val="41195D48"/>
    <w:rsid w:val="41237A0F"/>
    <w:rsid w:val="41596145"/>
    <w:rsid w:val="416A2304"/>
    <w:rsid w:val="416B088F"/>
    <w:rsid w:val="41760AA5"/>
    <w:rsid w:val="418D4040"/>
    <w:rsid w:val="41914F1D"/>
    <w:rsid w:val="41922AA5"/>
    <w:rsid w:val="419B674C"/>
    <w:rsid w:val="41AA69A0"/>
    <w:rsid w:val="41BB6E00"/>
    <w:rsid w:val="41DB0AC6"/>
    <w:rsid w:val="41F8595E"/>
    <w:rsid w:val="421F738E"/>
    <w:rsid w:val="424706CA"/>
    <w:rsid w:val="42724A79"/>
    <w:rsid w:val="427C658F"/>
    <w:rsid w:val="42817701"/>
    <w:rsid w:val="428B521C"/>
    <w:rsid w:val="42A258CA"/>
    <w:rsid w:val="42AC5635"/>
    <w:rsid w:val="42B0401C"/>
    <w:rsid w:val="42B56176"/>
    <w:rsid w:val="42C716E4"/>
    <w:rsid w:val="42C817D4"/>
    <w:rsid w:val="42CB6BCE"/>
    <w:rsid w:val="42E44134"/>
    <w:rsid w:val="43160791"/>
    <w:rsid w:val="432342B6"/>
    <w:rsid w:val="43280C11"/>
    <w:rsid w:val="432C7A52"/>
    <w:rsid w:val="433378D3"/>
    <w:rsid w:val="43373DD6"/>
    <w:rsid w:val="433C6E2B"/>
    <w:rsid w:val="433F075C"/>
    <w:rsid w:val="4352109E"/>
    <w:rsid w:val="435528F9"/>
    <w:rsid w:val="43566DE0"/>
    <w:rsid w:val="4362268C"/>
    <w:rsid w:val="4377406A"/>
    <w:rsid w:val="437D57D2"/>
    <w:rsid w:val="43862465"/>
    <w:rsid w:val="4392593E"/>
    <w:rsid w:val="43A35D9D"/>
    <w:rsid w:val="43D267BD"/>
    <w:rsid w:val="43D7739A"/>
    <w:rsid w:val="44112018"/>
    <w:rsid w:val="44184095"/>
    <w:rsid w:val="44214C7B"/>
    <w:rsid w:val="44281674"/>
    <w:rsid w:val="442B034B"/>
    <w:rsid w:val="44316F05"/>
    <w:rsid w:val="443D58AA"/>
    <w:rsid w:val="44461FB5"/>
    <w:rsid w:val="44682714"/>
    <w:rsid w:val="447B0A98"/>
    <w:rsid w:val="44890AEF"/>
    <w:rsid w:val="44D04970"/>
    <w:rsid w:val="44D97CC8"/>
    <w:rsid w:val="44DB3636"/>
    <w:rsid w:val="44E93C84"/>
    <w:rsid w:val="44F05BDA"/>
    <w:rsid w:val="44F5301D"/>
    <w:rsid w:val="44FA19ED"/>
    <w:rsid w:val="44FB1BCC"/>
    <w:rsid w:val="44FC39B7"/>
    <w:rsid w:val="450929D1"/>
    <w:rsid w:val="45107FC3"/>
    <w:rsid w:val="45282BAD"/>
    <w:rsid w:val="45336CAD"/>
    <w:rsid w:val="45534298"/>
    <w:rsid w:val="455375C0"/>
    <w:rsid w:val="4554734F"/>
    <w:rsid w:val="455A06DD"/>
    <w:rsid w:val="455D167C"/>
    <w:rsid w:val="459C0CF6"/>
    <w:rsid w:val="45A02594"/>
    <w:rsid w:val="45C73FC5"/>
    <w:rsid w:val="45CA2D32"/>
    <w:rsid w:val="45CF4C28"/>
    <w:rsid w:val="45F11042"/>
    <w:rsid w:val="45F72D0F"/>
    <w:rsid w:val="45F8417E"/>
    <w:rsid w:val="46243F0D"/>
    <w:rsid w:val="46292DEB"/>
    <w:rsid w:val="46426740"/>
    <w:rsid w:val="464C03B4"/>
    <w:rsid w:val="46511757"/>
    <w:rsid w:val="46625A9C"/>
    <w:rsid w:val="46731A57"/>
    <w:rsid w:val="46771071"/>
    <w:rsid w:val="46787EE8"/>
    <w:rsid w:val="468365B4"/>
    <w:rsid w:val="469F284C"/>
    <w:rsid w:val="46C55F82"/>
    <w:rsid w:val="46D544C0"/>
    <w:rsid w:val="46F07114"/>
    <w:rsid w:val="46F21A2C"/>
    <w:rsid w:val="47095F17"/>
    <w:rsid w:val="471127F3"/>
    <w:rsid w:val="47275B26"/>
    <w:rsid w:val="47357504"/>
    <w:rsid w:val="476E6FCC"/>
    <w:rsid w:val="476F3FA2"/>
    <w:rsid w:val="47704046"/>
    <w:rsid w:val="47814C12"/>
    <w:rsid w:val="478C7274"/>
    <w:rsid w:val="47C5574F"/>
    <w:rsid w:val="47D56C5F"/>
    <w:rsid w:val="47E12716"/>
    <w:rsid w:val="47E43724"/>
    <w:rsid w:val="47E86299"/>
    <w:rsid w:val="47F60B58"/>
    <w:rsid w:val="47F6649C"/>
    <w:rsid w:val="480831E9"/>
    <w:rsid w:val="48333FF5"/>
    <w:rsid w:val="48384D06"/>
    <w:rsid w:val="483B06FE"/>
    <w:rsid w:val="483B7EA4"/>
    <w:rsid w:val="48420509"/>
    <w:rsid w:val="484336AB"/>
    <w:rsid w:val="484E10AB"/>
    <w:rsid w:val="48623B31"/>
    <w:rsid w:val="486712F7"/>
    <w:rsid w:val="4877509F"/>
    <w:rsid w:val="487D096B"/>
    <w:rsid w:val="487D262E"/>
    <w:rsid w:val="487D6BBD"/>
    <w:rsid w:val="48934632"/>
    <w:rsid w:val="48AE4FC8"/>
    <w:rsid w:val="48CE6AED"/>
    <w:rsid w:val="48E252F1"/>
    <w:rsid w:val="48F13107"/>
    <w:rsid w:val="48F859E0"/>
    <w:rsid w:val="48FD5F50"/>
    <w:rsid w:val="49004D11"/>
    <w:rsid w:val="49103278"/>
    <w:rsid w:val="4918558E"/>
    <w:rsid w:val="492405F0"/>
    <w:rsid w:val="49314A99"/>
    <w:rsid w:val="4974069B"/>
    <w:rsid w:val="49804BB7"/>
    <w:rsid w:val="49973373"/>
    <w:rsid w:val="49AC366C"/>
    <w:rsid w:val="49AC7392"/>
    <w:rsid w:val="49B4509F"/>
    <w:rsid w:val="49B571D5"/>
    <w:rsid w:val="49BF32F6"/>
    <w:rsid w:val="49C2366E"/>
    <w:rsid w:val="49CD792E"/>
    <w:rsid w:val="49E54A1A"/>
    <w:rsid w:val="49E62540"/>
    <w:rsid w:val="49ED1B20"/>
    <w:rsid w:val="49EE2F45"/>
    <w:rsid w:val="4A0B0466"/>
    <w:rsid w:val="4A0F1227"/>
    <w:rsid w:val="4A19661E"/>
    <w:rsid w:val="4A1B19A9"/>
    <w:rsid w:val="4A241D98"/>
    <w:rsid w:val="4A2F6EDD"/>
    <w:rsid w:val="4A424A4B"/>
    <w:rsid w:val="4A4756D4"/>
    <w:rsid w:val="4A5E04D6"/>
    <w:rsid w:val="4A61228E"/>
    <w:rsid w:val="4A6260E1"/>
    <w:rsid w:val="4A7D2EA4"/>
    <w:rsid w:val="4A8204BA"/>
    <w:rsid w:val="4A8C66C9"/>
    <w:rsid w:val="4A910A87"/>
    <w:rsid w:val="4A9B5A20"/>
    <w:rsid w:val="4AC8002D"/>
    <w:rsid w:val="4AD52CE0"/>
    <w:rsid w:val="4AD910F6"/>
    <w:rsid w:val="4ADA1F63"/>
    <w:rsid w:val="4ADB5E1D"/>
    <w:rsid w:val="4AE50A49"/>
    <w:rsid w:val="4AF046A8"/>
    <w:rsid w:val="4AFA47E9"/>
    <w:rsid w:val="4B0345FD"/>
    <w:rsid w:val="4B1A06F3"/>
    <w:rsid w:val="4B241572"/>
    <w:rsid w:val="4B4D48CE"/>
    <w:rsid w:val="4B532522"/>
    <w:rsid w:val="4B716A37"/>
    <w:rsid w:val="4B7818BD"/>
    <w:rsid w:val="4B8A1754"/>
    <w:rsid w:val="4B931A9B"/>
    <w:rsid w:val="4B97752D"/>
    <w:rsid w:val="4B9F1B8C"/>
    <w:rsid w:val="4BA07DE3"/>
    <w:rsid w:val="4BA623DE"/>
    <w:rsid w:val="4BD3007B"/>
    <w:rsid w:val="4BE40B9E"/>
    <w:rsid w:val="4BEF0824"/>
    <w:rsid w:val="4BF929FE"/>
    <w:rsid w:val="4C0A0767"/>
    <w:rsid w:val="4C15710C"/>
    <w:rsid w:val="4C254C16"/>
    <w:rsid w:val="4C351396"/>
    <w:rsid w:val="4C481290"/>
    <w:rsid w:val="4C543E7A"/>
    <w:rsid w:val="4C561BDA"/>
    <w:rsid w:val="4C6B4F7E"/>
    <w:rsid w:val="4C8F3EBC"/>
    <w:rsid w:val="4C982BB3"/>
    <w:rsid w:val="4C9C5C47"/>
    <w:rsid w:val="4CAA019C"/>
    <w:rsid w:val="4CBB4A36"/>
    <w:rsid w:val="4CE0771A"/>
    <w:rsid w:val="4CE63B56"/>
    <w:rsid w:val="4CE92A73"/>
    <w:rsid w:val="4D064625"/>
    <w:rsid w:val="4D0F1DAD"/>
    <w:rsid w:val="4D201703"/>
    <w:rsid w:val="4D2E66D8"/>
    <w:rsid w:val="4D3E7F50"/>
    <w:rsid w:val="4D422183"/>
    <w:rsid w:val="4D445EFB"/>
    <w:rsid w:val="4D671BE9"/>
    <w:rsid w:val="4D6E2F78"/>
    <w:rsid w:val="4D7A36CB"/>
    <w:rsid w:val="4D7D140D"/>
    <w:rsid w:val="4D89006E"/>
    <w:rsid w:val="4D927E09"/>
    <w:rsid w:val="4D962CC2"/>
    <w:rsid w:val="4D9F6D54"/>
    <w:rsid w:val="4DA57F84"/>
    <w:rsid w:val="4DAF5F89"/>
    <w:rsid w:val="4DD3102D"/>
    <w:rsid w:val="4E3E0D43"/>
    <w:rsid w:val="4E493BE1"/>
    <w:rsid w:val="4E4C624C"/>
    <w:rsid w:val="4E6011BA"/>
    <w:rsid w:val="4E6751B7"/>
    <w:rsid w:val="4E6B36B4"/>
    <w:rsid w:val="4E751D89"/>
    <w:rsid w:val="4E7860AE"/>
    <w:rsid w:val="4E7B3B9E"/>
    <w:rsid w:val="4E7E543D"/>
    <w:rsid w:val="4E804000"/>
    <w:rsid w:val="4E920EE8"/>
    <w:rsid w:val="4E93713A"/>
    <w:rsid w:val="4E946A0E"/>
    <w:rsid w:val="4EAA6232"/>
    <w:rsid w:val="4EAB1B8E"/>
    <w:rsid w:val="4EB26E94"/>
    <w:rsid w:val="4EC53A0C"/>
    <w:rsid w:val="4EC921AC"/>
    <w:rsid w:val="4EF474AD"/>
    <w:rsid w:val="4F266313"/>
    <w:rsid w:val="4F5C6DDC"/>
    <w:rsid w:val="4F62274C"/>
    <w:rsid w:val="4F701F55"/>
    <w:rsid w:val="4F716D4F"/>
    <w:rsid w:val="4F85479F"/>
    <w:rsid w:val="4F8E42FB"/>
    <w:rsid w:val="4F9155A4"/>
    <w:rsid w:val="4FC20988"/>
    <w:rsid w:val="4FC6709B"/>
    <w:rsid w:val="4FD77C83"/>
    <w:rsid w:val="4FE324BF"/>
    <w:rsid w:val="4FF359B6"/>
    <w:rsid w:val="4FFA0900"/>
    <w:rsid w:val="500B2736"/>
    <w:rsid w:val="50153B7F"/>
    <w:rsid w:val="501C5F78"/>
    <w:rsid w:val="5031628D"/>
    <w:rsid w:val="5047777F"/>
    <w:rsid w:val="5051105B"/>
    <w:rsid w:val="50642410"/>
    <w:rsid w:val="506D5769"/>
    <w:rsid w:val="507C3BFE"/>
    <w:rsid w:val="508E2E68"/>
    <w:rsid w:val="5090264F"/>
    <w:rsid w:val="50947199"/>
    <w:rsid w:val="50962F12"/>
    <w:rsid w:val="50AE00E4"/>
    <w:rsid w:val="50CA30CD"/>
    <w:rsid w:val="50DB26D2"/>
    <w:rsid w:val="50DB6B76"/>
    <w:rsid w:val="50E11A7C"/>
    <w:rsid w:val="50E87F9F"/>
    <w:rsid w:val="51037408"/>
    <w:rsid w:val="510A5168"/>
    <w:rsid w:val="510C31D4"/>
    <w:rsid w:val="512049CB"/>
    <w:rsid w:val="51295B34"/>
    <w:rsid w:val="512C3963"/>
    <w:rsid w:val="5151508A"/>
    <w:rsid w:val="51533C6F"/>
    <w:rsid w:val="51707F2A"/>
    <w:rsid w:val="5174217F"/>
    <w:rsid w:val="5176689F"/>
    <w:rsid w:val="518F11C6"/>
    <w:rsid w:val="51937BB9"/>
    <w:rsid w:val="51A111A9"/>
    <w:rsid w:val="51A52EC9"/>
    <w:rsid w:val="51AF3FA8"/>
    <w:rsid w:val="51E47CAD"/>
    <w:rsid w:val="51E63A25"/>
    <w:rsid w:val="51EB2DE9"/>
    <w:rsid w:val="51F06EA8"/>
    <w:rsid w:val="51F577C4"/>
    <w:rsid w:val="520224D5"/>
    <w:rsid w:val="522307D5"/>
    <w:rsid w:val="522602C5"/>
    <w:rsid w:val="522916D2"/>
    <w:rsid w:val="522A0EBE"/>
    <w:rsid w:val="52444845"/>
    <w:rsid w:val="524A2E7A"/>
    <w:rsid w:val="524D1176"/>
    <w:rsid w:val="526606C2"/>
    <w:rsid w:val="52E33AC0"/>
    <w:rsid w:val="52FF0DC0"/>
    <w:rsid w:val="531070DE"/>
    <w:rsid w:val="53107713"/>
    <w:rsid w:val="53176FAB"/>
    <w:rsid w:val="532606DD"/>
    <w:rsid w:val="5329040C"/>
    <w:rsid w:val="53315789"/>
    <w:rsid w:val="53555195"/>
    <w:rsid w:val="535C0F98"/>
    <w:rsid w:val="535E6EA2"/>
    <w:rsid w:val="539440C1"/>
    <w:rsid w:val="539B2FF7"/>
    <w:rsid w:val="53A05E55"/>
    <w:rsid w:val="53B4450E"/>
    <w:rsid w:val="53BC0657"/>
    <w:rsid w:val="53C10924"/>
    <w:rsid w:val="53C7335B"/>
    <w:rsid w:val="53CD2652"/>
    <w:rsid w:val="53CE29C2"/>
    <w:rsid w:val="53E73A84"/>
    <w:rsid w:val="54161C73"/>
    <w:rsid w:val="54273E81"/>
    <w:rsid w:val="54307579"/>
    <w:rsid w:val="54361B52"/>
    <w:rsid w:val="545253A1"/>
    <w:rsid w:val="54532EC8"/>
    <w:rsid w:val="545C2AD3"/>
    <w:rsid w:val="546B1248"/>
    <w:rsid w:val="546F6CA6"/>
    <w:rsid w:val="54721067"/>
    <w:rsid w:val="5483555B"/>
    <w:rsid w:val="548D6D6B"/>
    <w:rsid w:val="548F2152"/>
    <w:rsid w:val="54B25E40"/>
    <w:rsid w:val="54B75204"/>
    <w:rsid w:val="54C562D7"/>
    <w:rsid w:val="54CD67D6"/>
    <w:rsid w:val="54D24D39"/>
    <w:rsid w:val="54E838DC"/>
    <w:rsid w:val="54F40207"/>
    <w:rsid w:val="55166DB5"/>
    <w:rsid w:val="551D59AF"/>
    <w:rsid w:val="55234880"/>
    <w:rsid w:val="55314161"/>
    <w:rsid w:val="553E2958"/>
    <w:rsid w:val="55513A96"/>
    <w:rsid w:val="55515659"/>
    <w:rsid w:val="556F3D31"/>
    <w:rsid w:val="55845702"/>
    <w:rsid w:val="558772CD"/>
    <w:rsid w:val="558B2AB7"/>
    <w:rsid w:val="558E2409"/>
    <w:rsid w:val="55983288"/>
    <w:rsid w:val="559B3979"/>
    <w:rsid w:val="55A97470"/>
    <w:rsid w:val="55B55BE8"/>
    <w:rsid w:val="55C22D60"/>
    <w:rsid w:val="55CB6D73"/>
    <w:rsid w:val="55D55667"/>
    <w:rsid w:val="55DD513F"/>
    <w:rsid w:val="55EC35D4"/>
    <w:rsid w:val="55FB68DC"/>
    <w:rsid w:val="56000EB6"/>
    <w:rsid w:val="563A726F"/>
    <w:rsid w:val="56421912"/>
    <w:rsid w:val="564451BE"/>
    <w:rsid w:val="56451337"/>
    <w:rsid w:val="56576C9F"/>
    <w:rsid w:val="56731889"/>
    <w:rsid w:val="56861332"/>
    <w:rsid w:val="5697709C"/>
    <w:rsid w:val="569A59E3"/>
    <w:rsid w:val="56A17F1A"/>
    <w:rsid w:val="56AC02E1"/>
    <w:rsid w:val="56AE7493"/>
    <w:rsid w:val="56AF6ADB"/>
    <w:rsid w:val="56BB3BEA"/>
    <w:rsid w:val="56CE6835"/>
    <w:rsid w:val="56D025AE"/>
    <w:rsid w:val="56DB3AA2"/>
    <w:rsid w:val="56E03803"/>
    <w:rsid w:val="570D1A54"/>
    <w:rsid w:val="57633084"/>
    <w:rsid w:val="576C0254"/>
    <w:rsid w:val="577473DD"/>
    <w:rsid w:val="577C44E3"/>
    <w:rsid w:val="57A33392"/>
    <w:rsid w:val="57AA72A2"/>
    <w:rsid w:val="57B20F9B"/>
    <w:rsid w:val="57D34C6D"/>
    <w:rsid w:val="57DA7B88"/>
    <w:rsid w:val="581110D0"/>
    <w:rsid w:val="58164CFB"/>
    <w:rsid w:val="5816748D"/>
    <w:rsid w:val="583C00A1"/>
    <w:rsid w:val="58523252"/>
    <w:rsid w:val="58676F42"/>
    <w:rsid w:val="586E02D0"/>
    <w:rsid w:val="58845D45"/>
    <w:rsid w:val="5895585D"/>
    <w:rsid w:val="58970BBD"/>
    <w:rsid w:val="589A10C5"/>
    <w:rsid w:val="58AB32D2"/>
    <w:rsid w:val="58B008E9"/>
    <w:rsid w:val="58C15165"/>
    <w:rsid w:val="58C37491"/>
    <w:rsid w:val="58C425E6"/>
    <w:rsid w:val="58CE3841"/>
    <w:rsid w:val="58E81ECC"/>
    <w:rsid w:val="59020E96"/>
    <w:rsid w:val="5903310E"/>
    <w:rsid w:val="59142C25"/>
    <w:rsid w:val="591C7D2C"/>
    <w:rsid w:val="593439E9"/>
    <w:rsid w:val="594B23BF"/>
    <w:rsid w:val="5967369D"/>
    <w:rsid w:val="59756ADC"/>
    <w:rsid w:val="597C07CB"/>
    <w:rsid w:val="59873465"/>
    <w:rsid w:val="59995B86"/>
    <w:rsid w:val="59996D07"/>
    <w:rsid w:val="59AF0BA0"/>
    <w:rsid w:val="59C030BE"/>
    <w:rsid w:val="59C277F0"/>
    <w:rsid w:val="59E354DD"/>
    <w:rsid w:val="59E95E90"/>
    <w:rsid w:val="59F70FA5"/>
    <w:rsid w:val="5A087BE3"/>
    <w:rsid w:val="5A164922"/>
    <w:rsid w:val="5A276988"/>
    <w:rsid w:val="5A292701"/>
    <w:rsid w:val="5A303224"/>
    <w:rsid w:val="5A44753A"/>
    <w:rsid w:val="5A4E2167"/>
    <w:rsid w:val="5A514F94"/>
    <w:rsid w:val="5A6051AD"/>
    <w:rsid w:val="5A642861"/>
    <w:rsid w:val="5A6574B1"/>
    <w:rsid w:val="5A6F20DD"/>
    <w:rsid w:val="5A717C66"/>
    <w:rsid w:val="5A785436"/>
    <w:rsid w:val="5A8C0FA3"/>
    <w:rsid w:val="5AA31CF7"/>
    <w:rsid w:val="5ACD5782"/>
    <w:rsid w:val="5AD07020"/>
    <w:rsid w:val="5AD175C5"/>
    <w:rsid w:val="5ADB63B3"/>
    <w:rsid w:val="5AE6533A"/>
    <w:rsid w:val="5AEB3E5A"/>
    <w:rsid w:val="5AF50835"/>
    <w:rsid w:val="5AF5686D"/>
    <w:rsid w:val="5B0371FD"/>
    <w:rsid w:val="5B04316E"/>
    <w:rsid w:val="5B1614A4"/>
    <w:rsid w:val="5B2A4176"/>
    <w:rsid w:val="5B2B4256"/>
    <w:rsid w:val="5B4D40BC"/>
    <w:rsid w:val="5B501F0F"/>
    <w:rsid w:val="5B8300AB"/>
    <w:rsid w:val="5B936483"/>
    <w:rsid w:val="5B967F61"/>
    <w:rsid w:val="5B9726F7"/>
    <w:rsid w:val="5B9D4BB1"/>
    <w:rsid w:val="5BA81D4B"/>
    <w:rsid w:val="5BC8419B"/>
    <w:rsid w:val="5BCF366A"/>
    <w:rsid w:val="5BD668B8"/>
    <w:rsid w:val="5BD83521"/>
    <w:rsid w:val="5BD97489"/>
    <w:rsid w:val="5BFE7BBD"/>
    <w:rsid w:val="5C0E6052"/>
    <w:rsid w:val="5C275F49"/>
    <w:rsid w:val="5C277114"/>
    <w:rsid w:val="5C2C37AA"/>
    <w:rsid w:val="5C2E2250"/>
    <w:rsid w:val="5C313AEE"/>
    <w:rsid w:val="5C4C6B7A"/>
    <w:rsid w:val="5C583771"/>
    <w:rsid w:val="5C5C4DA4"/>
    <w:rsid w:val="5C67474B"/>
    <w:rsid w:val="5C7210D8"/>
    <w:rsid w:val="5C746AB7"/>
    <w:rsid w:val="5C91458D"/>
    <w:rsid w:val="5C92471D"/>
    <w:rsid w:val="5CA03306"/>
    <w:rsid w:val="5CA24B14"/>
    <w:rsid w:val="5CAF2C65"/>
    <w:rsid w:val="5CD64248"/>
    <w:rsid w:val="5CEE7C31"/>
    <w:rsid w:val="5D1A6C78"/>
    <w:rsid w:val="5D1C2A5B"/>
    <w:rsid w:val="5D2C0FCC"/>
    <w:rsid w:val="5D494E68"/>
    <w:rsid w:val="5D4F680A"/>
    <w:rsid w:val="5D5B703F"/>
    <w:rsid w:val="5D635F29"/>
    <w:rsid w:val="5D6D4FFA"/>
    <w:rsid w:val="5D7012A3"/>
    <w:rsid w:val="5D782CE1"/>
    <w:rsid w:val="5DB951D2"/>
    <w:rsid w:val="5DC34083"/>
    <w:rsid w:val="5DC85854"/>
    <w:rsid w:val="5DD12AEC"/>
    <w:rsid w:val="5DDF1D43"/>
    <w:rsid w:val="5DF20392"/>
    <w:rsid w:val="5DFA311E"/>
    <w:rsid w:val="5E070FAB"/>
    <w:rsid w:val="5E0C65C1"/>
    <w:rsid w:val="5E0D40E7"/>
    <w:rsid w:val="5E0E058B"/>
    <w:rsid w:val="5E2002BE"/>
    <w:rsid w:val="5E40723D"/>
    <w:rsid w:val="5E432815"/>
    <w:rsid w:val="5E646730"/>
    <w:rsid w:val="5E795D43"/>
    <w:rsid w:val="5E826883"/>
    <w:rsid w:val="5E8720EC"/>
    <w:rsid w:val="5E9345EC"/>
    <w:rsid w:val="5E9E02B4"/>
    <w:rsid w:val="5EA06CB6"/>
    <w:rsid w:val="5EA83FDB"/>
    <w:rsid w:val="5EAC1FB8"/>
    <w:rsid w:val="5EC96260"/>
    <w:rsid w:val="5ED300CD"/>
    <w:rsid w:val="5EF063F0"/>
    <w:rsid w:val="5EFC4888"/>
    <w:rsid w:val="5EFD23AE"/>
    <w:rsid w:val="5F21609C"/>
    <w:rsid w:val="5F230066"/>
    <w:rsid w:val="5F3D190F"/>
    <w:rsid w:val="5F506981"/>
    <w:rsid w:val="5F585836"/>
    <w:rsid w:val="5F6661A5"/>
    <w:rsid w:val="5F6917F1"/>
    <w:rsid w:val="5FD0361E"/>
    <w:rsid w:val="5FD90725"/>
    <w:rsid w:val="5FDF533E"/>
    <w:rsid w:val="5FEF619A"/>
    <w:rsid w:val="5FF97FD7"/>
    <w:rsid w:val="60073BC2"/>
    <w:rsid w:val="60144461"/>
    <w:rsid w:val="601C4B40"/>
    <w:rsid w:val="60290850"/>
    <w:rsid w:val="603305FB"/>
    <w:rsid w:val="60653D12"/>
    <w:rsid w:val="60874625"/>
    <w:rsid w:val="609B568F"/>
    <w:rsid w:val="60C83CF3"/>
    <w:rsid w:val="60EC092C"/>
    <w:rsid w:val="60EF682F"/>
    <w:rsid w:val="60F6689E"/>
    <w:rsid w:val="61001CE1"/>
    <w:rsid w:val="61023A4D"/>
    <w:rsid w:val="610E2650"/>
    <w:rsid w:val="611D0D2E"/>
    <w:rsid w:val="61202383"/>
    <w:rsid w:val="61352346"/>
    <w:rsid w:val="614056FB"/>
    <w:rsid w:val="614D16F8"/>
    <w:rsid w:val="614E49B4"/>
    <w:rsid w:val="61526938"/>
    <w:rsid w:val="61562D94"/>
    <w:rsid w:val="61601F81"/>
    <w:rsid w:val="6166248C"/>
    <w:rsid w:val="61932B55"/>
    <w:rsid w:val="619B77F7"/>
    <w:rsid w:val="619C1A0A"/>
    <w:rsid w:val="619D7A4B"/>
    <w:rsid w:val="61A42FB4"/>
    <w:rsid w:val="61B74A96"/>
    <w:rsid w:val="61CB22EF"/>
    <w:rsid w:val="61CD6067"/>
    <w:rsid w:val="61D03C31"/>
    <w:rsid w:val="61D10E97"/>
    <w:rsid w:val="61D5331B"/>
    <w:rsid w:val="61DD4253"/>
    <w:rsid w:val="61E04666"/>
    <w:rsid w:val="62092886"/>
    <w:rsid w:val="621A0401"/>
    <w:rsid w:val="621C7E79"/>
    <w:rsid w:val="62551132"/>
    <w:rsid w:val="625B53F9"/>
    <w:rsid w:val="625E2DB7"/>
    <w:rsid w:val="62706BC0"/>
    <w:rsid w:val="62744735"/>
    <w:rsid w:val="627F7995"/>
    <w:rsid w:val="62855E62"/>
    <w:rsid w:val="628D470B"/>
    <w:rsid w:val="628D77F7"/>
    <w:rsid w:val="62A15006"/>
    <w:rsid w:val="62BE4BF0"/>
    <w:rsid w:val="62E23D94"/>
    <w:rsid w:val="62E53885"/>
    <w:rsid w:val="62FA7330"/>
    <w:rsid w:val="631B3784"/>
    <w:rsid w:val="63381C06"/>
    <w:rsid w:val="635042C5"/>
    <w:rsid w:val="63534C92"/>
    <w:rsid w:val="635C5BB2"/>
    <w:rsid w:val="63660521"/>
    <w:rsid w:val="636624E3"/>
    <w:rsid w:val="63696264"/>
    <w:rsid w:val="63696E29"/>
    <w:rsid w:val="637A570E"/>
    <w:rsid w:val="639257BA"/>
    <w:rsid w:val="639D5F0D"/>
    <w:rsid w:val="63A566FC"/>
    <w:rsid w:val="63D34A76"/>
    <w:rsid w:val="63D6286E"/>
    <w:rsid w:val="63DF5F9A"/>
    <w:rsid w:val="63EF200F"/>
    <w:rsid w:val="63F518A5"/>
    <w:rsid w:val="64113729"/>
    <w:rsid w:val="641C4F78"/>
    <w:rsid w:val="643B7C00"/>
    <w:rsid w:val="643E6C3E"/>
    <w:rsid w:val="6449399F"/>
    <w:rsid w:val="644A1AD5"/>
    <w:rsid w:val="64590086"/>
    <w:rsid w:val="647118CB"/>
    <w:rsid w:val="64913083"/>
    <w:rsid w:val="64A123A9"/>
    <w:rsid w:val="64D22E93"/>
    <w:rsid w:val="64DE324E"/>
    <w:rsid w:val="64E36446"/>
    <w:rsid w:val="64E7252B"/>
    <w:rsid w:val="64E831B8"/>
    <w:rsid w:val="64ED4038"/>
    <w:rsid w:val="65202952"/>
    <w:rsid w:val="65222B6E"/>
    <w:rsid w:val="652763AF"/>
    <w:rsid w:val="652B76EF"/>
    <w:rsid w:val="654E74BF"/>
    <w:rsid w:val="655C6080"/>
    <w:rsid w:val="655D59BC"/>
    <w:rsid w:val="655D7702"/>
    <w:rsid w:val="656764C2"/>
    <w:rsid w:val="657C03A7"/>
    <w:rsid w:val="657D21E6"/>
    <w:rsid w:val="65874EA4"/>
    <w:rsid w:val="6589499B"/>
    <w:rsid w:val="659A77C2"/>
    <w:rsid w:val="65AD0E8B"/>
    <w:rsid w:val="65C42B4E"/>
    <w:rsid w:val="65C634F9"/>
    <w:rsid w:val="65C8585C"/>
    <w:rsid w:val="65CC6636"/>
    <w:rsid w:val="65D079AD"/>
    <w:rsid w:val="65D5068A"/>
    <w:rsid w:val="65E34E45"/>
    <w:rsid w:val="65E816C2"/>
    <w:rsid w:val="66174349"/>
    <w:rsid w:val="661D243E"/>
    <w:rsid w:val="661F2C0A"/>
    <w:rsid w:val="664D7777"/>
    <w:rsid w:val="66677D78"/>
    <w:rsid w:val="667F4A03"/>
    <w:rsid w:val="668F4233"/>
    <w:rsid w:val="66AC4B45"/>
    <w:rsid w:val="66B52B5D"/>
    <w:rsid w:val="66BB5028"/>
    <w:rsid w:val="66D00D11"/>
    <w:rsid w:val="66D24120"/>
    <w:rsid w:val="66EF3C8C"/>
    <w:rsid w:val="67024A05"/>
    <w:rsid w:val="67177D85"/>
    <w:rsid w:val="671A256A"/>
    <w:rsid w:val="67277FC8"/>
    <w:rsid w:val="672C3830"/>
    <w:rsid w:val="673B251D"/>
    <w:rsid w:val="673E1457"/>
    <w:rsid w:val="674E6A5F"/>
    <w:rsid w:val="675B4115"/>
    <w:rsid w:val="6782581A"/>
    <w:rsid w:val="678371C8"/>
    <w:rsid w:val="678648A8"/>
    <w:rsid w:val="679D028A"/>
    <w:rsid w:val="679E56E3"/>
    <w:rsid w:val="67A91325"/>
    <w:rsid w:val="67A94E81"/>
    <w:rsid w:val="67E45EB9"/>
    <w:rsid w:val="67EA72A2"/>
    <w:rsid w:val="67EC0641"/>
    <w:rsid w:val="67F16B5C"/>
    <w:rsid w:val="680B78E9"/>
    <w:rsid w:val="683C2FFD"/>
    <w:rsid w:val="683C5CF5"/>
    <w:rsid w:val="68615086"/>
    <w:rsid w:val="686E5E70"/>
    <w:rsid w:val="68725BBA"/>
    <w:rsid w:val="687C43B7"/>
    <w:rsid w:val="688039D7"/>
    <w:rsid w:val="68846534"/>
    <w:rsid w:val="689830EE"/>
    <w:rsid w:val="68BA6CE7"/>
    <w:rsid w:val="68E1689C"/>
    <w:rsid w:val="68FB170C"/>
    <w:rsid w:val="68FB1753"/>
    <w:rsid w:val="692F66BA"/>
    <w:rsid w:val="6943629B"/>
    <w:rsid w:val="69670B4F"/>
    <w:rsid w:val="69674FF3"/>
    <w:rsid w:val="69717C20"/>
    <w:rsid w:val="69746B44"/>
    <w:rsid w:val="69847953"/>
    <w:rsid w:val="698A2A90"/>
    <w:rsid w:val="698E639C"/>
    <w:rsid w:val="69925F50"/>
    <w:rsid w:val="69B55CD8"/>
    <w:rsid w:val="69BA3375"/>
    <w:rsid w:val="69C615E3"/>
    <w:rsid w:val="69C72314"/>
    <w:rsid w:val="69C8489A"/>
    <w:rsid w:val="69CA7330"/>
    <w:rsid w:val="69CE74BE"/>
    <w:rsid w:val="69D32689"/>
    <w:rsid w:val="6A01148B"/>
    <w:rsid w:val="6A151116"/>
    <w:rsid w:val="6A1C198C"/>
    <w:rsid w:val="6A2133F4"/>
    <w:rsid w:val="6A2F2C05"/>
    <w:rsid w:val="6A506885"/>
    <w:rsid w:val="6A527A52"/>
    <w:rsid w:val="6A5504EB"/>
    <w:rsid w:val="6A712F2B"/>
    <w:rsid w:val="6A7614C5"/>
    <w:rsid w:val="6A7732FA"/>
    <w:rsid w:val="6A803A44"/>
    <w:rsid w:val="6A8D2838"/>
    <w:rsid w:val="6A941F80"/>
    <w:rsid w:val="6AA302AD"/>
    <w:rsid w:val="6AD4155F"/>
    <w:rsid w:val="6AFA0CB2"/>
    <w:rsid w:val="6AFC5C0F"/>
    <w:rsid w:val="6B0A3815"/>
    <w:rsid w:val="6B0F76F1"/>
    <w:rsid w:val="6B170353"/>
    <w:rsid w:val="6B214C8E"/>
    <w:rsid w:val="6B27444E"/>
    <w:rsid w:val="6B376C47"/>
    <w:rsid w:val="6B616760"/>
    <w:rsid w:val="6B8F438D"/>
    <w:rsid w:val="6B9F5C32"/>
    <w:rsid w:val="6BB822C3"/>
    <w:rsid w:val="6BBB33D4"/>
    <w:rsid w:val="6BBF2EC5"/>
    <w:rsid w:val="6BC62B46"/>
    <w:rsid w:val="6BCD3CEA"/>
    <w:rsid w:val="6BDA5F51"/>
    <w:rsid w:val="6BDB75D3"/>
    <w:rsid w:val="6BE217A4"/>
    <w:rsid w:val="6BF012D0"/>
    <w:rsid w:val="6C031783"/>
    <w:rsid w:val="6C0975D2"/>
    <w:rsid w:val="6C15018D"/>
    <w:rsid w:val="6C303574"/>
    <w:rsid w:val="6C44786E"/>
    <w:rsid w:val="6C494E84"/>
    <w:rsid w:val="6C4E5941"/>
    <w:rsid w:val="6C586E75"/>
    <w:rsid w:val="6C5F311C"/>
    <w:rsid w:val="6C6258DF"/>
    <w:rsid w:val="6C646E17"/>
    <w:rsid w:val="6C9003BD"/>
    <w:rsid w:val="6C975BF0"/>
    <w:rsid w:val="6C987FDB"/>
    <w:rsid w:val="6C9C1458"/>
    <w:rsid w:val="6CA14487"/>
    <w:rsid w:val="6CA81BAB"/>
    <w:rsid w:val="6CD126E8"/>
    <w:rsid w:val="6CE626D3"/>
    <w:rsid w:val="6D032869"/>
    <w:rsid w:val="6D063403"/>
    <w:rsid w:val="6D2448C8"/>
    <w:rsid w:val="6D2B458A"/>
    <w:rsid w:val="6D382D72"/>
    <w:rsid w:val="6D4D4500"/>
    <w:rsid w:val="6D54588F"/>
    <w:rsid w:val="6D6535F8"/>
    <w:rsid w:val="6DAA3701"/>
    <w:rsid w:val="6DB249AC"/>
    <w:rsid w:val="6DB256C5"/>
    <w:rsid w:val="6DDD7632"/>
    <w:rsid w:val="6DE94229"/>
    <w:rsid w:val="6DEC72F0"/>
    <w:rsid w:val="6DFE1F4D"/>
    <w:rsid w:val="6E146DCC"/>
    <w:rsid w:val="6E290AC9"/>
    <w:rsid w:val="6E2B64EF"/>
    <w:rsid w:val="6E2D0C79"/>
    <w:rsid w:val="6E426268"/>
    <w:rsid w:val="6E492034"/>
    <w:rsid w:val="6E5250F5"/>
    <w:rsid w:val="6E5518BE"/>
    <w:rsid w:val="6E561102"/>
    <w:rsid w:val="6E5A54A3"/>
    <w:rsid w:val="6E7D0F26"/>
    <w:rsid w:val="6E937C52"/>
    <w:rsid w:val="6E957F0D"/>
    <w:rsid w:val="6EA009C2"/>
    <w:rsid w:val="6EAC097F"/>
    <w:rsid w:val="6EBD10E0"/>
    <w:rsid w:val="6EBE5584"/>
    <w:rsid w:val="6EBF31DC"/>
    <w:rsid w:val="6ECB7DD2"/>
    <w:rsid w:val="6EE92007"/>
    <w:rsid w:val="6EF10FAC"/>
    <w:rsid w:val="6F077D6E"/>
    <w:rsid w:val="6F0F2106"/>
    <w:rsid w:val="6F1303D2"/>
    <w:rsid w:val="6F1352D6"/>
    <w:rsid w:val="6F1779F2"/>
    <w:rsid w:val="6F1E2954"/>
    <w:rsid w:val="6F755970"/>
    <w:rsid w:val="6F8C7A54"/>
    <w:rsid w:val="6F8D6E36"/>
    <w:rsid w:val="6FC22A91"/>
    <w:rsid w:val="6FC72057"/>
    <w:rsid w:val="6FDA37C5"/>
    <w:rsid w:val="6FE51B9C"/>
    <w:rsid w:val="6FF50CA5"/>
    <w:rsid w:val="70346B50"/>
    <w:rsid w:val="703C400F"/>
    <w:rsid w:val="703D79F0"/>
    <w:rsid w:val="704763A0"/>
    <w:rsid w:val="705A2068"/>
    <w:rsid w:val="706B3FCD"/>
    <w:rsid w:val="7073427E"/>
    <w:rsid w:val="70797C5D"/>
    <w:rsid w:val="70826EAE"/>
    <w:rsid w:val="70853FB1"/>
    <w:rsid w:val="709564D3"/>
    <w:rsid w:val="709A6CE5"/>
    <w:rsid w:val="70AC7790"/>
    <w:rsid w:val="70C25205"/>
    <w:rsid w:val="70D80585"/>
    <w:rsid w:val="70EA7139"/>
    <w:rsid w:val="70F74EAF"/>
    <w:rsid w:val="710267F5"/>
    <w:rsid w:val="71156F7A"/>
    <w:rsid w:val="711F7B80"/>
    <w:rsid w:val="71397275"/>
    <w:rsid w:val="714E7614"/>
    <w:rsid w:val="71500A63"/>
    <w:rsid w:val="715768B2"/>
    <w:rsid w:val="715B31D5"/>
    <w:rsid w:val="71755DD4"/>
    <w:rsid w:val="718C27F7"/>
    <w:rsid w:val="718D75C1"/>
    <w:rsid w:val="71A33193"/>
    <w:rsid w:val="71AD1A11"/>
    <w:rsid w:val="71BB5EDC"/>
    <w:rsid w:val="71BE35D7"/>
    <w:rsid w:val="71BF411E"/>
    <w:rsid w:val="71D07541"/>
    <w:rsid w:val="71D15700"/>
    <w:rsid w:val="71DE5254"/>
    <w:rsid w:val="71DF0C52"/>
    <w:rsid w:val="7202522A"/>
    <w:rsid w:val="72087E0A"/>
    <w:rsid w:val="723143F0"/>
    <w:rsid w:val="72346557"/>
    <w:rsid w:val="723914F7"/>
    <w:rsid w:val="726134DF"/>
    <w:rsid w:val="72676064"/>
    <w:rsid w:val="727742AE"/>
    <w:rsid w:val="727D5888"/>
    <w:rsid w:val="728C7879"/>
    <w:rsid w:val="72A6435A"/>
    <w:rsid w:val="72D444F2"/>
    <w:rsid w:val="72D74F98"/>
    <w:rsid w:val="72DE72A0"/>
    <w:rsid w:val="72E476B5"/>
    <w:rsid w:val="72EA4C72"/>
    <w:rsid w:val="72EC5510"/>
    <w:rsid w:val="72F80718"/>
    <w:rsid w:val="73020471"/>
    <w:rsid w:val="730B7B0B"/>
    <w:rsid w:val="73155AC0"/>
    <w:rsid w:val="731E2BC7"/>
    <w:rsid w:val="7322660E"/>
    <w:rsid w:val="732745CC"/>
    <w:rsid w:val="732950C8"/>
    <w:rsid w:val="733369BC"/>
    <w:rsid w:val="73341FFD"/>
    <w:rsid w:val="733720B3"/>
    <w:rsid w:val="73575B8E"/>
    <w:rsid w:val="735F4F8D"/>
    <w:rsid w:val="7367782A"/>
    <w:rsid w:val="73683E42"/>
    <w:rsid w:val="7372081D"/>
    <w:rsid w:val="737F70B7"/>
    <w:rsid w:val="73814A84"/>
    <w:rsid w:val="738A200A"/>
    <w:rsid w:val="73A155A6"/>
    <w:rsid w:val="73AF6B9E"/>
    <w:rsid w:val="73D94D40"/>
    <w:rsid w:val="73DB10C1"/>
    <w:rsid w:val="73ED27FD"/>
    <w:rsid w:val="73F61BDB"/>
    <w:rsid w:val="74085625"/>
    <w:rsid w:val="74122000"/>
    <w:rsid w:val="742D6E39"/>
    <w:rsid w:val="74405F2F"/>
    <w:rsid w:val="7453031D"/>
    <w:rsid w:val="7475188D"/>
    <w:rsid w:val="7480345A"/>
    <w:rsid w:val="74850372"/>
    <w:rsid w:val="74A6269D"/>
    <w:rsid w:val="74B66E2F"/>
    <w:rsid w:val="74CC21AE"/>
    <w:rsid w:val="74D90B4D"/>
    <w:rsid w:val="74DF55C2"/>
    <w:rsid w:val="74FA3701"/>
    <w:rsid w:val="750162FC"/>
    <w:rsid w:val="750655AE"/>
    <w:rsid w:val="75082C39"/>
    <w:rsid w:val="750D2EF3"/>
    <w:rsid w:val="751678CE"/>
    <w:rsid w:val="7541494A"/>
    <w:rsid w:val="75556648"/>
    <w:rsid w:val="75616D9B"/>
    <w:rsid w:val="756643B1"/>
    <w:rsid w:val="756D573F"/>
    <w:rsid w:val="756E622E"/>
    <w:rsid w:val="75926677"/>
    <w:rsid w:val="759A1FE9"/>
    <w:rsid w:val="759C3FFE"/>
    <w:rsid w:val="759D6957"/>
    <w:rsid w:val="759E5556"/>
    <w:rsid w:val="75A819B8"/>
    <w:rsid w:val="75AA0B14"/>
    <w:rsid w:val="75BB0D91"/>
    <w:rsid w:val="75D21A46"/>
    <w:rsid w:val="75E96973"/>
    <w:rsid w:val="75EB6213"/>
    <w:rsid w:val="75EF5F00"/>
    <w:rsid w:val="76132D1D"/>
    <w:rsid w:val="762731E3"/>
    <w:rsid w:val="762970AA"/>
    <w:rsid w:val="763471D3"/>
    <w:rsid w:val="765A29A5"/>
    <w:rsid w:val="766E4737"/>
    <w:rsid w:val="767021EF"/>
    <w:rsid w:val="767E1BCE"/>
    <w:rsid w:val="76B17777"/>
    <w:rsid w:val="76B54EE2"/>
    <w:rsid w:val="76BB679E"/>
    <w:rsid w:val="76D637B8"/>
    <w:rsid w:val="7701399A"/>
    <w:rsid w:val="77366005"/>
    <w:rsid w:val="77381D7D"/>
    <w:rsid w:val="773B3127"/>
    <w:rsid w:val="774C2D0B"/>
    <w:rsid w:val="7750356B"/>
    <w:rsid w:val="775D6EE5"/>
    <w:rsid w:val="777932F2"/>
    <w:rsid w:val="77950F7E"/>
    <w:rsid w:val="77984802"/>
    <w:rsid w:val="779C230C"/>
    <w:rsid w:val="779E42D6"/>
    <w:rsid w:val="77C875A5"/>
    <w:rsid w:val="77CD0717"/>
    <w:rsid w:val="77FB25D4"/>
    <w:rsid w:val="78175941"/>
    <w:rsid w:val="781A76D5"/>
    <w:rsid w:val="782C5C43"/>
    <w:rsid w:val="78783C4A"/>
    <w:rsid w:val="78AA1824"/>
    <w:rsid w:val="78B90C9C"/>
    <w:rsid w:val="78BE3926"/>
    <w:rsid w:val="78C0027C"/>
    <w:rsid w:val="78C626DB"/>
    <w:rsid w:val="78CB28C9"/>
    <w:rsid w:val="78CC2212"/>
    <w:rsid w:val="78D2268E"/>
    <w:rsid w:val="78E977D3"/>
    <w:rsid w:val="79496FD8"/>
    <w:rsid w:val="796B643A"/>
    <w:rsid w:val="7991107F"/>
    <w:rsid w:val="79997F56"/>
    <w:rsid w:val="79C7673D"/>
    <w:rsid w:val="79CA5C29"/>
    <w:rsid w:val="79CE2AA1"/>
    <w:rsid w:val="79D04B24"/>
    <w:rsid w:val="79EF706B"/>
    <w:rsid w:val="79F60882"/>
    <w:rsid w:val="79FC3536"/>
    <w:rsid w:val="7A0D74F1"/>
    <w:rsid w:val="7A1215E3"/>
    <w:rsid w:val="7A146AD1"/>
    <w:rsid w:val="7A1940E8"/>
    <w:rsid w:val="7A1E16FE"/>
    <w:rsid w:val="7A3158C6"/>
    <w:rsid w:val="7A3C0BE4"/>
    <w:rsid w:val="7A6115EB"/>
    <w:rsid w:val="7A622D90"/>
    <w:rsid w:val="7A7E4C89"/>
    <w:rsid w:val="7A7F2CFC"/>
    <w:rsid w:val="7A89491A"/>
    <w:rsid w:val="7AB21E46"/>
    <w:rsid w:val="7AB94F83"/>
    <w:rsid w:val="7AB959A8"/>
    <w:rsid w:val="7ABD2CC5"/>
    <w:rsid w:val="7ABD7C0B"/>
    <w:rsid w:val="7AC2124A"/>
    <w:rsid w:val="7AD85D51"/>
    <w:rsid w:val="7ADB2CEE"/>
    <w:rsid w:val="7AFA1EA9"/>
    <w:rsid w:val="7B034450"/>
    <w:rsid w:val="7B0D70C8"/>
    <w:rsid w:val="7B137AB9"/>
    <w:rsid w:val="7B1A7C27"/>
    <w:rsid w:val="7B226FCC"/>
    <w:rsid w:val="7B2B5D06"/>
    <w:rsid w:val="7B451FBE"/>
    <w:rsid w:val="7B4711AD"/>
    <w:rsid w:val="7B4F7695"/>
    <w:rsid w:val="7B5A2B82"/>
    <w:rsid w:val="7B6A09D0"/>
    <w:rsid w:val="7B762E74"/>
    <w:rsid w:val="7B95779E"/>
    <w:rsid w:val="7BBF0CBF"/>
    <w:rsid w:val="7BCD4B61"/>
    <w:rsid w:val="7BD05883"/>
    <w:rsid w:val="7BD52290"/>
    <w:rsid w:val="7BD93C33"/>
    <w:rsid w:val="7BE473F9"/>
    <w:rsid w:val="7BE6624C"/>
    <w:rsid w:val="7BF769D3"/>
    <w:rsid w:val="7C050B07"/>
    <w:rsid w:val="7C122B9D"/>
    <w:rsid w:val="7C127041"/>
    <w:rsid w:val="7C273A6A"/>
    <w:rsid w:val="7C2F2666"/>
    <w:rsid w:val="7C345209"/>
    <w:rsid w:val="7C3B4B19"/>
    <w:rsid w:val="7C442F72"/>
    <w:rsid w:val="7C5A27A3"/>
    <w:rsid w:val="7C5C02BC"/>
    <w:rsid w:val="7C885DB9"/>
    <w:rsid w:val="7C943EFA"/>
    <w:rsid w:val="7CA13F21"/>
    <w:rsid w:val="7CAA00F0"/>
    <w:rsid w:val="7CB10779"/>
    <w:rsid w:val="7CBB3234"/>
    <w:rsid w:val="7CC51A78"/>
    <w:rsid w:val="7CE24C65"/>
    <w:rsid w:val="7CF16C56"/>
    <w:rsid w:val="7D11554A"/>
    <w:rsid w:val="7D2B2901"/>
    <w:rsid w:val="7D474AC8"/>
    <w:rsid w:val="7D690EE2"/>
    <w:rsid w:val="7D6B2EAC"/>
    <w:rsid w:val="7D87580C"/>
    <w:rsid w:val="7DAE4B47"/>
    <w:rsid w:val="7DDD769F"/>
    <w:rsid w:val="7DF87373"/>
    <w:rsid w:val="7E032B2C"/>
    <w:rsid w:val="7E04294B"/>
    <w:rsid w:val="7E066731"/>
    <w:rsid w:val="7E074DEF"/>
    <w:rsid w:val="7E0B3D48"/>
    <w:rsid w:val="7E12157A"/>
    <w:rsid w:val="7E162BE9"/>
    <w:rsid w:val="7E2B2A55"/>
    <w:rsid w:val="7E311246"/>
    <w:rsid w:val="7E3244F5"/>
    <w:rsid w:val="7E4153DE"/>
    <w:rsid w:val="7E8F2BCB"/>
    <w:rsid w:val="7E947F90"/>
    <w:rsid w:val="7E9B156F"/>
    <w:rsid w:val="7EA2457D"/>
    <w:rsid w:val="7EA515B5"/>
    <w:rsid w:val="7EBB576E"/>
    <w:rsid w:val="7EBE76E6"/>
    <w:rsid w:val="7ED54355"/>
    <w:rsid w:val="7EE60311"/>
    <w:rsid w:val="7EE741A2"/>
    <w:rsid w:val="7EEC216D"/>
    <w:rsid w:val="7EFE1AFE"/>
    <w:rsid w:val="7F0569E9"/>
    <w:rsid w:val="7F0F5AB9"/>
    <w:rsid w:val="7F1964E7"/>
    <w:rsid w:val="7F3E1EFB"/>
    <w:rsid w:val="7F4356E0"/>
    <w:rsid w:val="7F57003A"/>
    <w:rsid w:val="7F5B2AAD"/>
    <w:rsid w:val="7F7F1675"/>
    <w:rsid w:val="7F914720"/>
    <w:rsid w:val="7F9D2EA8"/>
    <w:rsid w:val="7FA96493"/>
    <w:rsid w:val="7FBB354B"/>
    <w:rsid w:val="7FC56178"/>
    <w:rsid w:val="7FC90365"/>
    <w:rsid w:val="7FD36AE7"/>
    <w:rsid w:val="7FD4460D"/>
    <w:rsid w:val="7FEC7178"/>
    <w:rsid w:val="7FF90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numPr>
        <w:ilvl w:val="0"/>
        <w:numId w:val="1"/>
      </w:numPr>
      <w:ind w:firstLineChars="0"/>
      <w:jc w:val="center"/>
      <w:outlineLvl w:val="0"/>
    </w:pPr>
    <w:rPr>
      <w:rFonts w:eastAsia="黑体"/>
      <w:b/>
      <w:bCs/>
      <w:kern w:val="44"/>
      <w:sz w:val="30"/>
      <w:szCs w:val="30"/>
    </w:rPr>
  </w:style>
  <w:style w:type="paragraph" w:styleId="3">
    <w:name w:val="heading 2"/>
    <w:basedOn w:val="1"/>
    <w:next w:val="1"/>
    <w:unhideWhenUsed/>
    <w:qFormat/>
    <w:uiPriority w:val="0"/>
    <w:pPr>
      <w:numPr>
        <w:ilvl w:val="1"/>
        <w:numId w:val="1"/>
      </w:numPr>
      <w:spacing w:before="50" w:beforeLines="50"/>
      <w:ind w:firstLineChars="0"/>
      <w:jc w:val="left"/>
      <w:outlineLvl w:val="1"/>
    </w:pPr>
    <w:rPr>
      <w:rFonts w:cs="宋体"/>
      <w:b/>
      <w:bCs/>
      <w:spacing w:val="3"/>
      <w:szCs w:val="32"/>
    </w:rPr>
  </w:style>
  <w:style w:type="paragraph" w:styleId="4">
    <w:name w:val="heading 3"/>
    <w:basedOn w:val="1"/>
    <w:next w:val="1"/>
    <w:qFormat/>
    <w:uiPriority w:val="0"/>
    <w:pPr>
      <w:numPr>
        <w:ilvl w:val="2"/>
        <w:numId w:val="1"/>
      </w:numPr>
      <w:spacing w:after="50" w:afterLines="50" w:line="480" w:lineRule="exact"/>
      <w:ind w:firstLineChars="0"/>
      <w:outlineLvl w:val="2"/>
    </w:pPr>
    <w:rPr>
      <w:b/>
      <w:bCs/>
      <w:szCs w:val="32"/>
    </w:rPr>
  </w:style>
  <w:style w:type="paragraph" w:styleId="5">
    <w:name w:val="heading 4"/>
    <w:basedOn w:val="1"/>
    <w:next w:val="1"/>
    <w:qFormat/>
    <w:uiPriority w:val="0"/>
    <w:pPr>
      <w:numPr>
        <w:ilvl w:val="3"/>
        <w:numId w:val="1"/>
      </w:numPr>
      <w:spacing w:before="50" w:beforeLines="50" w:after="50" w:afterLines="50" w:line="480" w:lineRule="exact"/>
      <w:ind w:firstLineChars="0"/>
      <w:jc w:val="left"/>
      <w:outlineLvl w:val="3"/>
    </w:pPr>
    <w:rPr>
      <w:b/>
      <w:bCs/>
      <w:szCs w:val="28"/>
    </w:rPr>
  </w:style>
  <w:style w:type="paragraph" w:styleId="6">
    <w:name w:val="heading 5"/>
    <w:basedOn w:val="1"/>
    <w:next w:val="1"/>
    <w:unhideWhenUsed/>
    <w:qFormat/>
    <w:uiPriority w:val="0"/>
    <w:pPr>
      <w:keepNext/>
      <w:keepLines/>
      <w:numPr>
        <w:ilvl w:val="4"/>
        <w:numId w:val="1"/>
      </w:numPr>
      <w:spacing w:before="280" w:after="290" w:line="372" w:lineRule="auto"/>
      <w:ind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ind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djustRightInd w:val="0"/>
      <w:snapToGrid w:val="0"/>
      <w:spacing w:line="460" w:lineRule="atLeast"/>
      <w:ind w:firstLine="200"/>
    </w:pPr>
  </w:style>
  <w:style w:type="paragraph" w:styleId="12">
    <w:name w:val="caption"/>
    <w:basedOn w:val="1"/>
    <w:next w:val="1"/>
    <w:unhideWhenUsed/>
    <w:qFormat/>
    <w:uiPriority w:val="0"/>
    <w:rPr>
      <w:rFonts w:ascii="Arial" w:hAnsi="Arial" w:eastAsia="黑体"/>
      <w:sz w:val="20"/>
    </w:rPr>
  </w:style>
  <w:style w:type="paragraph" w:styleId="13">
    <w:name w:val="annotation text"/>
    <w:basedOn w:val="1"/>
    <w:qFormat/>
    <w:uiPriority w:val="0"/>
    <w:pPr>
      <w:jc w:val="left"/>
    </w:pPr>
  </w:style>
  <w:style w:type="paragraph" w:styleId="14">
    <w:name w:val="Body Text"/>
    <w:basedOn w:val="1"/>
    <w:qFormat/>
    <w:uiPriority w:val="0"/>
    <w:pPr>
      <w:spacing w:after="120"/>
    </w:pPr>
  </w:style>
  <w:style w:type="paragraph" w:styleId="15">
    <w:name w:val="Balloon Text"/>
    <w:basedOn w:val="1"/>
    <w:link w:val="28"/>
    <w:qFormat/>
    <w:uiPriority w:val="0"/>
    <w:pPr>
      <w:spacing w:line="240" w:lineRule="auto"/>
    </w:pPr>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page number"/>
    <w:basedOn w:val="20"/>
    <w:qFormat/>
    <w:uiPriority w:val="0"/>
  </w:style>
  <w:style w:type="character" w:styleId="23">
    <w:name w:val="annotation reference"/>
    <w:qFormat/>
    <w:uiPriority w:val="0"/>
    <w:rPr>
      <w:sz w:val="21"/>
    </w:rPr>
  </w:style>
  <w:style w:type="paragraph" w:customStyle="1" w:styleId="24">
    <w:name w:val="表注图注"/>
    <w:basedOn w:val="1"/>
    <w:qFormat/>
    <w:uiPriority w:val="0"/>
    <w:pPr>
      <w:ind w:firstLine="0" w:firstLineChars="0"/>
      <w:jc w:val="center"/>
    </w:pPr>
    <w:rPr>
      <w:b/>
      <w:bCs/>
      <w:sz w:val="21"/>
      <w:szCs w:val="21"/>
    </w:rPr>
  </w:style>
  <w:style w:type="paragraph" w:customStyle="1" w:styleId="25">
    <w:name w:val="标注"/>
    <w:basedOn w:val="1"/>
    <w:qFormat/>
    <w:uiPriority w:val="0"/>
    <w:pPr>
      <w:adjustRightInd w:val="0"/>
      <w:snapToGrid w:val="0"/>
      <w:ind w:firstLine="0" w:firstLineChars="0"/>
    </w:pPr>
    <w:rPr>
      <w:rFonts w:cs="Times New Roman"/>
      <w:b/>
      <w:bCs/>
      <w:sz w:val="18"/>
      <w:szCs w:val="18"/>
    </w:rPr>
  </w:style>
  <w:style w:type="paragraph" w:customStyle="1" w:styleId="26">
    <w:name w:val="表格文本"/>
    <w:basedOn w:val="1"/>
    <w:next w:val="1"/>
    <w:qFormat/>
    <w:uiPriority w:val="0"/>
    <w:pPr>
      <w:spacing w:line="288" w:lineRule="auto"/>
      <w:ind w:firstLine="0" w:firstLineChars="0"/>
      <w:jc w:val="center"/>
    </w:pPr>
    <w:rPr>
      <w:sz w:val="21"/>
    </w:rPr>
  </w:style>
  <w:style w:type="paragraph" w:customStyle="1" w:styleId="27">
    <w:name w:val="图表标题"/>
    <w:basedOn w:val="1"/>
    <w:qFormat/>
    <w:uiPriority w:val="0"/>
    <w:pPr>
      <w:ind w:firstLine="0" w:firstLineChars="0"/>
      <w:jc w:val="center"/>
    </w:pPr>
    <w:rPr>
      <w:b/>
      <w:color w:val="000000"/>
      <w:spacing w:val="3"/>
      <w:sz w:val="21"/>
    </w:rPr>
  </w:style>
  <w:style w:type="character" w:customStyle="1" w:styleId="28">
    <w:name w:val="批注框文本 Char"/>
    <w:basedOn w:val="20"/>
    <w:link w:val="15"/>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wmf"/><Relationship Id="rId40" Type="http://schemas.openxmlformats.org/officeDocument/2006/relationships/image" Target="media/image24.jpe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3.wmf"/><Relationship Id="rId27" Type="http://schemas.openxmlformats.org/officeDocument/2006/relationships/oleObject" Target="embeddings/oleObject9.bin"/><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wmf"/><Relationship Id="rId17" Type="http://schemas.openxmlformats.org/officeDocument/2006/relationships/oleObject" Target="embeddings/oleObject4.bin"/><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5MzE4MDIzNTM2IiwKCSJHcm91cElkIiA6ICIzODg1MDgyOTkiLAoJIkltYWdlIiA6ICJpVkJPUncwS0dnb0FBQUFOU1VoRVVnQUFBaDBBQUFHS0NBWUFBQUNvNi9PQkFBQUFBWE5TUjBJQXJzNGM2UUFBSUFCSlJFRlVlSnpzM1htWVhGV2RQdkQzZTI3MWtxU1RrTEJGamRpQmxwQUtkdDF6Q2daY0dCWlpaRVpGeFkxRlJVWVVCUlVSRlpGVlFIRVFaWEVYRlFFWEhIQlEwRkYvSW5GQkIwblZyYXBPV2hvREJJd29XeEtTa043cW51L3ZqNzdWVTZsVWIwbW5PdER2NTNsNHV1dmNjKzQ5MVFtcHQrODlD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REhvL0QvQVVyb0lmejZsOHdBQUFBQkpSVTVFcmtKZ2dnPT0iLAoJIlRoZW1lIiA6ICIiLAoJIlR5cGUiIDogImZsb3ciLAoJIlVzZXJJZCIgOiAiMzcwMzE0OTQzIiwKCSJWZXJzaW9uIiA6ICIiCn0K"/>
    </extobj>
    <extobj name="ECB019B1-382A-4266-B25C-5B523AA43C14-2">
      <extobjdata type="ECB019B1-382A-4266-B25C-5B523AA43C14" data="ewoJIkZpbGVJZCIgOiAiNDM3MTQxODc1MDM0IiwKCSJHcm91cElkIiA6ICIzODg1MDgyOTkiLAoJIkltYWdlIiA6ICJpVkJPUncwS0dnb0FBQUFOU1VoRVVnQUFBeW9BQUFJbkNBWUFBQUIzSUsydEFBQUFBWE5TUjBJQXJzNGM2UUFBSUFCSlJFRlVlSnpzM1hsOFhGWFpCL0RmYys3TVpHdENHOXBhcFVpQVFNdTBuYm5uRElxeUtEc3VDQUp1dkZnVVFRWFpGUkJGMldXVHBjb2lpQWlvQ09LR2lySUlvaUFpd3R3N21iYXhoZkkyWWtWbzZVTFRwbG5tbnVmOVk4N0V5WFNTSm1uYUZOL24rL24wMDh5NTk1NDU5ODUyei9ZY1FB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Q1I5djhCRS9uYXRwSWYzT2NBQUFBQVNVVk9SSzVDWUlJPSIsCgkiVGhlbWUiIDogIiIsCgkiVHlwZSIgOiAiZmxvdyIsCgkiVXNlcklkIiA6ICIzNzAzMTQ5NDMiLAoJIlZlcnNpb24iIDogIjI5Igp9Cg=="/>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0AF5E1-48EC-4AFD-A52B-82ECC7997528}">
  <ds:schemaRefs/>
</ds:datastoreItem>
</file>

<file path=docProps/app.xml><?xml version="1.0" encoding="utf-8"?>
<Properties xmlns="http://schemas.openxmlformats.org/officeDocument/2006/extended-properties" xmlns:vt="http://schemas.openxmlformats.org/officeDocument/2006/docPropsVTypes">
  <Template>Normal</Template>
  <Pages>89</Pages>
  <Words>19339</Words>
  <Characters>22460</Characters>
  <Lines>349</Lines>
  <Paragraphs>98</Paragraphs>
  <TotalTime>8</TotalTime>
  <ScaleCrop>false</ScaleCrop>
  <LinksUpToDate>false</LinksUpToDate>
  <CharactersWithSpaces>22490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2024-08-05T03:59:00Z</dcterms:created>
  <dc:creator>拾</dc:creator>
  <cp:lastModifiedBy>拾</cp:lastModifiedBy>
  <cp:lastPrinted>2025-06-11T07:58:00Z</cp:lastPrinted>
  <dcterms:modified xsi:type="dcterms:W3CDTF">2025-12-23T21:08:56Z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8933B7A59FB34E08832D27E56D76E035_13</vt:lpwstr>
  </property>
  <property fmtid="{D5CDD505-2E9C-101B-9397-08002B2CF9AE}" pid="4" name="KSOTemplateDocerSaveRecord">
    <vt:lpwstr>eyJoZGlkIjoiNmUyODZmMTE0YjVhMTJkZWYzZTliMGM4NDExNTU3NWEiLCJ1c2VySWQiOiIzNzAzMTQ5NDMifQ==</vt:lpwstr>
  </property>
</Properties>
</file>