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2A1BE7">
      <w:pPr>
        <w:pStyle w:val="2"/>
        <w:jc w:val="center"/>
        <w:rPr>
          <w:color w:val="auto"/>
        </w:rPr>
        <w:sectPr>
          <w:headerReference r:id="rId3" w:type="default"/>
          <w:footerReference r:id="rId4"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7C830F27">
      <w:pPr>
        <w:jc w:val="center"/>
        <w:rPr>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2B71DF0C">
      <w:pPr>
        <w:pStyle w:val="2"/>
        <w:jc w:val="center"/>
        <w:rPr>
          <w:rFonts w:hint="default" w:ascii="Times New Roman" w:hAnsi="Times New Roman" w:eastAsia="宋体" w:cs="Times New Roman"/>
          <w:b w:val="0"/>
          <w:bCs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14:paraId="3582077C">
      <w:pPr>
        <w:pStyle w:val="2"/>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b w:val="0"/>
          <w:bCs w:val="0"/>
          <w:color w:val="auto"/>
          <w:sz w:val="36"/>
          <w:szCs w:val="36"/>
          <w:highlight w:val="none"/>
        </w:rPr>
        <w:t>一、建设项目基本情况</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29"/>
        <w:gridCol w:w="1968"/>
        <w:gridCol w:w="2134"/>
        <w:gridCol w:w="2639"/>
      </w:tblGrid>
      <w:tr w14:paraId="00B00F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5865EC3F">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建设项目名称</w:t>
            </w:r>
          </w:p>
        </w:tc>
        <w:tc>
          <w:tcPr>
            <w:tcW w:w="6741" w:type="dxa"/>
            <w:gridSpan w:val="3"/>
            <w:vAlign w:val="center"/>
          </w:tcPr>
          <w:p w14:paraId="592522AC">
            <w:pPr>
              <w:adjustRightInd w:val="0"/>
              <w:snapToGrid w:val="0"/>
              <w:jc w:val="center"/>
              <w:rPr>
                <w:rFonts w:hint="eastAsia" w:hAnsi="宋体" w:eastAsia="宋体"/>
                <w:bCs/>
                <w:color w:val="auto"/>
                <w:kern w:val="0"/>
                <w:sz w:val="24"/>
                <w:highlight w:val="none"/>
                <w:lang w:eastAsia="zh-CN"/>
              </w:rPr>
            </w:pPr>
            <w:r>
              <w:rPr>
                <w:rFonts w:hint="eastAsia" w:hAnsi="宋体"/>
                <w:bCs/>
                <w:color w:val="auto"/>
                <w:kern w:val="0"/>
                <w:sz w:val="24"/>
                <w:highlight w:val="none"/>
                <w:lang w:val="en-US" w:eastAsia="zh-CN"/>
              </w:rPr>
              <w:t>美添辰</w:t>
            </w:r>
            <w:r>
              <w:rPr>
                <w:rFonts w:hint="eastAsia" w:hAnsi="宋体"/>
                <w:bCs/>
                <w:color w:val="auto"/>
                <w:kern w:val="0"/>
                <w:sz w:val="24"/>
                <w:highlight w:val="none"/>
                <w:lang w:eastAsia="zh-CN"/>
              </w:rPr>
              <w:t>检测实验室</w:t>
            </w:r>
            <w:r>
              <w:rPr>
                <w:rFonts w:hint="eastAsia" w:hAnsi="宋体"/>
                <w:bCs/>
                <w:color w:val="auto"/>
                <w:kern w:val="0"/>
                <w:sz w:val="24"/>
                <w:highlight w:val="none"/>
                <w:lang w:val="en-US" w:eastAsia="zh-CN"/>
              </w:rPr>
              <w:t>迁建</w:t>
            </w:r>
            <w:r>
              <w:rPr>
                <w:rFonts w:hint="eastAsia" w:hAnsi="宋体"/>
                <w:bCs/>
                <w:color w:val="auto"/>
                <w:kern w:val="0"/>
                <w:sz w:val="24"/>
                <w:highlight w:val="none"/>
                <w:lang w:eastAsia="zh-CN"/>
              </w:rPr>
              <w:t>项目</w:t>
            </w:r>
          </w:p>
        </w:tc>
      </w:tr>
      <w:tr w14:paraId="19DD7A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7D3C7020">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项目代码</w:t>
            </w:r>
          </w:p>
        </w:tc>
        <w:tc>
          <w:tcPr>
            <w:tcW w:w="6741" w:type="dxa"/>
            <w:gridSpan w:val="3"/>
            <w:shd w:val="clear" w:color="auto" w:fill="auto"/>
            <w:vAlign w:val="center"/>
          </w:tcPr>
          <w:p w14:paraId="0C6DECD4">
            <w:pPr>
              <w:adjustRightInd w:val="0"/>
              <w:snapToGrid w:val="0"/>
              <w:jc w:val="center"/>
              <w:rPr>
                <w:rFonts w:hint="default" w:hAnsi="宋体"/>
                <w:bCs/>
                <w:color w:val="auto"/>
                <w:kern w:val="0"/>
                <w:sz w:val="24"/>
                <w:highlight w:val="none"/>
                <w:lang w:val="en-US" w:eastAsia="zh-CN"/>
              </w:rPr>
            </w:pPr>
            <w:r>
              <w:rPr>
                <w:rFonts w:hint="eastAsia" w:hAnsi="宋体"/>
                <w:bCs/>
                <w:color w:val="auto"/>
                <w:kern w:val="0"/>
                <w:sz w:val="24"/>
                <w:highlight w:val="none"/>
                <w:lang w:val="en-US" w:eastAsia="zh-CN"/>
              </w:rPr>
              <w:t>2510-110230-04-05-881633</w:t>
            </w:r>
          </w:p>
        </w:tc>
      </w:tr>
      <w:tr w14:paraId="05DA7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2129" w:type="dxa"/>
            <w:tcMar>
              <w:top w:w="16" w:type="dxa"/>
              <w:left w:w="16" w:type="dxa"/>
              <w:right w:w="16" w:type="dxa"/>
            </w:tcMar>
            <w:vAlign w:val="center"/>
          </w:tcPr>
          <w:p w14:paraId="1D50416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w:t>
            </w:r>
          </w:p>
          <w:p w14:paraId="297E071B">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联系人</w:t>
            </w:r>
          </w:p>
        </w:tc>
        <w:tc>
          <w:tcPr>
            <w:tcW w:w="1968" w:type="dxa"/>
            <w:vAlign w:val="center"/>
          </w:tcPr>
          <w:p w14:paraId="4667E713">
            <w:pPr>
              <w:adjustRightInd w:val="0"/>
              <w:snapToGrid w:val="0"/>
              <w:jc w:val="center"/>
              <w:rPr>
                <w:rFonts w:hint="eastAsia" w:ascii="Times New Roman" w:hAnsi="Times New Roman" w:eastAsia="宋体" w:cs="Times New Roman"/>
                <w:color w:val="auto"/>
                <w:sz w:val="24"/>
                <w:highlight w:val="none"/>
                <w:lang w:eastAsia="zh-CN"/>
              </w:rPr>
            </w:pPr>
            <w:r>
              <w:rPr>
                <w:rFonts w:hint="eastAsia" w:hAnsi="宋体"/>
                <w:bCs/>
                <w:color w:val="auto"/>
                <w:kern w:val="0"/>
                <w:sz w:val="24"/>
                <w:highlight w:val="none"/>
                <w:lang w:val="en-US" w:eastAsia="zh-CN"/>
              </w:rPr>
              <w:t>李霞</w:t>
            </w:r>
          </w:p>
        </w:tc>
        <w:tc>
          <w:tcPr>
            <w:tcW w:w="2134" w:type="dxa"/>
            <w:vAlign w:val="center"/>
          </w:tcPr>
          <w:p w14:paraId="1B18A46A">
            <w:pPr>
              <w:adjustRightInd w:val="0"/>
              <w:snapToGrid w:val="0"/>
              <w:jc w:val="center"/>
              <w:rPr>
                <w:rFonts w:hint="default" w:ascii="Times New Roman" w:hAnsi="Times New Roman" w:eastAsia="宋体" w:cs="Times New Roman"/>
                <w:color w:val="auto"/>
                <w:sz w:val="24"/>
                <w:highlight w:val="none"/>
              </w:rPr>
            </w:pPr>
            <w:r>
              <w:rPr>
                <w:rFonts w:hint="eastAsia" w:ascii="宋体" w:hAnsi="宋体" w:cs="宋体"/>
                <w:color w:val="auto"/>
                <w:sz w:val="24"/>
                <w:highlight w:val="none"/>
              </w:rPr>
              <w:t>联系方式</w:t>
            </w:r>
          </w:p>
        </w:tc>
        <w:tc>
          <w:tcPr>
            <w:tcW w:w="2639" w:type="dxa"/>
            <w:vAlign w:val="center"/>
          </w:tcPr>
          <w:p w14:paraId="1B682830">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olor w:val="auto"/>
                <w:sz w:val="24"/>
                <w:highlight w:val="none"/>
                <w:lang w:val="en-US" w:eastAsia="zh-CN"/>
              </w:rPr>
              <w:t>18910833773</w:t>
            </w:r>
          </w:p>
        </w:tc>
      </w:tr>
      <w:tr w14:paraId="27AEC8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2A06A25C">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建设地点</w:t>
            </w:r>
          </w:p>
        </w:tc>
        <w:tc>
          <w:tcPr>
            <w:tcW w:w="6741" w:type="dxa"/>
            <w:gridSpan w:val="3"/>
            <w:vAlign w:val="center"/>
          </w:tcPr>
          <w:p w14:paraId="5B8F68A7">
            <w:pPr>
              <w:adjustRightInd w:val="0"/>
              <w:snapToGrid w:val="0"/>
              <w:jc w:val="center"/>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北京经济技术开发区环科中路2号院11号楼B单元</w:t>
            </w:r>
          </w:p>
        </w:tc>
      </w:tr>
      <w:tr w14:paraId="0EF82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2129" w:type="dxa"/>
            <w:tcMar>
              <w:top w:w="16" w:type="dxa"/>
              <w:left w:w="16" w:type="dxa"/>
              <w:right w:w="16" w:type="dxa"/>
            </w:tcMar>
            <w:vAlign w:val="center"/>
          </w:tcPr>
          <w:p w14:paraId="77519D8B">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地理坐标</w:t>
            </w:r>
          </w:p>
        </w:tc>
        <w:tc>
          <w:tcPr>
            <w:tcW w:w="6741" w:type="dxa"/>
            <w:gridSpan w:val="3"/>
            <w:vAlign w:val="center"/>
          </w:tcPr>
          <w:p w14:paraId="1115DE27">
            <w:pPr>
              <w:adjustRightInd w:val="0"/>
              <w:snapToGrid w:val="0"/>
              <w:jc w:val="center"/>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val="en-US" w:eastAsia="zh-CN"/>
              </w:rPr>
              <w:t>东经</w:t>
            </w:r>
            <w:r>
              <w:rPr>
                <w:rFonts w:hint="eastAsia" w:ascii="Times New Roman" w:hAnsi="Times New Roman" w:eastAsia="宋体" w:cs="Times New Roman"/>
                <w:color w:val="auto"/>
                <w:sz w:val="24"/>
                <w:highlight w:val="none"/>
              </w:rPr>
              <w:t>116度3</w:t>
            </w:r>
            <w:r>
              <w:rPr>
                <w:rFonts w:hint="eastAsia" w:cs="Times New Roman"/>
                <w:color w:val="auto"/>
                <w:sz w:val="24"/>
                <w:highlight w:val="none"/>
                <w:lang w:val="en-US" w:eastAsia="zh-CN"/>
              </w:rPr>
              <w:t>3</w:t>
            </w:r>
            <w:r>
              <w:rPr>
                <w:rFonts w:hint="eastAsia" w:ascii="Times New Roman" w:hAnsi="Times New Roman" w:eastAsia="宋体" w:cs="Times New Roman"/>
                <w:color w:val="auto"/>
                <w:sz w:val="24"/>
                <w:highlight w:val="none"/>
              </w:rPr>
              <w:t>分</w:t>
            </w:r>
            <w:r>
              <w:rPr>
                <w:rFonts w:hint="eastAsia" w:cs="Times New Roman"/>
                <w:color w:val="auto"/>
                <w:sz w:val="24"/>
                <w:highlight w:val="none"/>
                <w:lang w:val="en-US" w:eastAsia="zh-CN"/>
              </w:rPr>
              <w:t>14.670</w:t>
            </w:r>
            <w:r>
              <w:rPr>
                <w:rFonts w:hint="eastAsia" w:ascii="Times New Roman" w:hAnsi="Times New Roman" w:eastAsia="宋体" w:cs="Times New Roman"/>
                <w:color w:val="auto"/>
                <w:sz w:val="24"/>
                <w:highlight w:val="none"/>
              </w:rPr>
              <w:t>秒</w:t>
            </w:r>
            <w:r>
              <w:rPr>
                <w:rFonts w:hint="eastAsia" w:cs="Times New Roman"/>
                <w:color w:val="auto"/>
                <w:sz w:val="24"/>
                <w:highlight w:val="none"/>
                <w:lang w:eastAsia="zh-CN"/>
              </w:rPr>
              <w:t>，</w:t>
            </w:r>
            <w:r>
              <w:rPr>
                <w:rFonts w:hint="eastAsia" w:cs="Times New Roman"/>
                <w:color w:val="auto"/>
                <w:sz w:val="24"/>
                <w:highlight w:val="none"/>
                <w:lang w:val="en-US" w:eastAsia="zh-CN"/>
              </w:rPr>
              <w:t>北纬</w:t>
            </w:r>
            <w:r>
              <w:rPr>
                <w:rFonts w:hint="eastAsia" w:ascii="Times New Roman" w:hAnsi="Times New Roman" w:eastAsia="宋体" w:cs="Times New Roman"/>
                <w:color w:val="auto"/>
                <w:sz w:val="24"/>
                <w:highlight w:val="none"/>
              </w:rPr>
              <w:t>39度4</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rPr>
              <w:t>分</w:t>
            </w:r>
            <w:r>
              <w:rPr>
                <w:rFonts w:hint="eastAsia" w:cs="Times New Roman"/>
                <w:color w:val="auto"/>
                <w:sz w:val="24"/>
                <w:highlight w:val="none"/>
                <w:lang w:val="en-US" w:eastAsia="zh-CN"/>
              </w:rPr>
              <w:t>36.193</w:t>
            </w:r>
            <w:r>
              <w:rPr>
                <w:rFonts w:hint="eastAsia" w:ascii="Times New Roman" w:hAnsi="Times New Roman" w:eastAsia="宋体" w:cs="Times New Roman"/>
                <w:color w:val="auto"/>
                <w:sz w:val="24"/>
                <w:highlight w:val="none"/>
              </w:rPr>
              <w:t>秒</w:t>
            </w:r>
          </w:p>
        </w:tc>
      </w:tr>
      <w:tr w14:paraId="17F8E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4" w:hRule="atLeast"/>
          <w:jc w:val="center"/>
        </w:trPr>
        <w:tc>
          <w:tcPr>
            <w:tcW w:w="2129" w:type="dxa"/>
            <w:tcMar>
              <w:top w:w="16" w:type="dxa"/>
              <w:left w:w="16" w:type="dxa"/>
              <w:right w:w="16" w:type="dxa"/>
            </w:tcMar>
            <w:vAlign w:val="center"/>
          </w:tcPr>
          <w:p w14:paraId="61E320A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国民经济行业类别</w:t>
            </w:r>
          </w:p>
        </w:tc>
        <w:tc>
          <w:tcPr>
            <w:tcW w:w="1968" w:type="dxa"/>
            <w:vAlign w:val="center"/>
          </w:tcPr>
          <w:p w14:paraId="5E2552B8">
            <w:pPr>
              <w:adjustRightInd w:val="0"/>
              <w:snapToGrid w:val="0"/>
              <w:jc w:val="center"/>
              <w:rPr>
                <w:rFonts w:hint="default" w:ascii="Times New Roman" w:hAnsi="Times New Roman" w:eastAsia="宋体" w:cs="Times New Roman"/>
                <w:color w:val="auto"/>
                <w:sz w:val="24"/>
                <w:highlight w:val="none"/>
              </w:rPr>
            </w:pPr>
            <w:r>
              <w:rPr>
                <w:rFonts w:hint="eastAsia"/>
                <w:color w:val="auto"/>
                <w:sz w:val="24"/>
                <w:highlight w:val="none"/>
              </w:rPr>
              <w:t>检测服务</w:t>
            </w:r>
            <w:r>
              <w:rPr>
                <w:color w:val="auto"/>
                <w:sz w:val="24"/>
                <w:highlight w:val="none"/>
              </w:rPr>
              <w:t>M7452</w:t>
            </w:r>
          </w:p>
        </w:tc>
        <w:tc>
          <w:tcPr>
            <w:tcW w:w="2134" w:type="dxa"/>
            <w:vAlign w:val="center"/>
          </w:tcPr>
          <w:p w14:paraId="597A8024">
            <w:pPr>
              <w:adjustRightInd w:val="0"/>
              <w:snapToGrid w:val="0"/>
              <w:jc w:val="center"/>
              <w:rPr>
                <w:color w:val="auto"/>
                <w:sz w:val="24"/>
                <w:highlight w:val="none"/>
              </w:rPr>
            </w:pPr>
            <w:r>
              <w:rPr>
                <w:color w:val="auto"/>
                <w:sz w:val="24"/>
                <w:highlight w:val="none"/>
              </w:rPr>
              <w:t>建设项目</w:t>
            </w:r>
          </w:p>
          <w:p w14:paraId="5B6ED8A5">
            <w:pPr>
              <w:adjustRightInd w:val="0"/>
              <w:snapToGrid w:val="0"/>
              <w:jc w:val="center"/>
              <w:rPr>
                <w:rFonts w:hint="default" w:ascii="Times New Roman" w:hAnsi="Times New Roman" w:eastAsia="宋体" w:cs="Times New Roman"/>
                <w:color w:val="auto"/>
                <w:sz w:val="24"/>
                <w:highlight w:val="none"/>
              </w:rPr>
            </w:pPr>
            <w:r>
              <w:rPr>
                <w:color w:val="auto"/>
                <w:sz w:val="24"/>
                <w:highlight w:val="none"/>
              </w:rPr>
              <w:t>行业类别</w:t>
            </w:r>
          </w:p>
        </w:tc>
        <w:tc>
          <w:tcPr>
            <w:tcW w:w="2639" w:type="dxa"/>
            <w:vAlign w:val="center"/>
          </w:tcPr>
          <w:p w14:paraId="191A1088">
            <w:pPr>
              <w:adjustRightInd w:val="0"/>
              <w:snapToGrid w:val="0"/>
              <w:jc w:val="center"/>
              <w:rPr>
                <w:rFonts w:hint="default" w:ascii="Times New Roman" w:hAnsi="Times New Roman" w:eastAsia="宋体" w:cs="Times New Roman"/>
                <w:color w:val="auto"/>
                <w:sz w:val="24"/>
                <w:highlight w:val="none"/>
              </w:rPr>
            </w:pPr>
            <w:r>
              <w:rPr>
                <w:color w:val="auto"/>
                <w:sz w:val="24"/>
                <w:highlight w:val="none"/>
              </w:rPr>
              <w:t>专业实验室、研发（试验）基地98</w:t>
            </w:r>
          </w:p>
        </w:tc>
      </w:tr>
      <w:tr w14:paraId="53720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29" w:type="dxa"/>
            <w:tcMar>
              <w:top w:w="16" w:type="dxa"/>
              <w:left w:w="16" w:type="dxa"/>
              <w:right w:w="16" w:type="dxa"/>
            </w:tcMar>
            <w:vAlign w:val="center"/>
          </w:tcPr>
          <w:p w14:paraId="421867C8">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建设性质</w:t>
            </w:r>
          </w:p>
        </w:tc>
        <w:tc>
          <w:tcPr>
            <w:tcW w:w="1968" w:type="dxa"/>
            <w:vAlign w:val="center"/>
          </w:tcPr>
          <w:p w14:paraId="3D5249B6">
            <w:pPr>
              <w:jc w:val="left"/>
              <w:rPr>
                <w:rFonts w:hint="eastAsia"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新建</w:t>
            </w:r>
            <w:r>
              <w:rPr>
                <w:rFonts w:hint="eastAsia" w:cs="Times New Roman"/>
                <w:color w:val="auto"/>
                <w:sz w:val="24"/>
                <w:highlight w:val="none"/>
                <w:lang w:eastAsia="zh-CN"/>
              </w:rPr>
              <w:t>（</w:t>
            </w:r>
            <w:r>
              <w:rPr>
                <w:rFonts w:hint="eastAsia" w:cs="Times New Roman"/>
                <w:color w:val="auto"/>
                <w:sz w:val="24"/>
                <w:highlight w:val="none"/>
                <w:lang w:val="en-US" w:eastAsia="zh-CN"/>
              </w:rPr>
              <w:t>迁建</w:t>
            </w:r>
            <w:r>
              <w:rPr>
                <w:rFonts w:hint="eastAsia" w:cs="Times New Roman"/>
                <w:color w:val="auto"/>
                <w:sz w:val="24"/>
                <w:highlight w:val="none"/>
                <w:lang w:eastAsia="zh-CN"/>
              </w:rPr>
              <w:t>）</w:t>
            </w:r>
          </w:p>
          <w:p w14:paraId="18E28DBB">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改建</w:t>
            </w:r>
          </w:p>
          <w:p w14:paraId="466404C4">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扩建</w:t>
            </w:r>
          </w:p>
          <w:p w14:paraId="0617B823">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技术改造</w:t>
            </w:r>
          </w:p>
        </w:tc>
        <w:tc>
          <w:tcPr>
            <w:tcW w:w="2134" w:type="dxa"/>
            <w:vAlign w:val="center"/>
          </w:tcPr>
          <w:p w14:paraId="56FFBD87">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建设项目申报情形</w:t>
            </w:r>
          </w:p>
        </w:tc>
        <w:tc>
          <w:tcPr>
            <w:tcW w:w="2639" w:type="dxa"/>
            <w:vAlign w:val="center"/>
          </w:tcPr>
          <w:p w14:paraId="2C16C155">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☑首次申报项目</w:t>
            </w:r>
          </w:p>
          <w:p w14:paraId="000392D4">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不予批准后再次申报项目</w:t>
            </w:r>
          </w:p>
          <w:p w14:paraId="2424844B">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超五年重新审核项目</w:t>
            </w:r>
          </w:p>
          <w:p w14:paraId="27F3EA58">
            <w:pPr>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重大变动重新报批项目</w:t>
            </w:r>
          </w:p>
        </w:tc>
      </w:tr>
      <w:tr w14:paraId="17639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3" w:hRule="atLeast"/>
          <w:jc w:val="center"/>
        </w:trPr>
        <w:tc>
          <w:tcPr>
            <w:tcW w:w="2129" w:type="dxa"/>
            <w:tcMar>
              <w:top w:w="16" w:type="dxa"/>
              <w:left w:w="16" w:type="dxa"/>
              <w:right w:w="16" w:type="dxa"/>
            </w:tcMar>
            <w:vAlign w:val="center"/>
          </w:tcPr>
          <w:p w14:paraId="57EA151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项目审批（核准/备案）部门（选填）</w:t>
            </w:r>
          </w:p>
        </w:tc>
        <w:tc>
          <w:tcPr>
            <w:tcW w:w="1968" w:type="dxa"/>
            <w:vAlign w:val="center"/>
          </w:tcPr>
          <w:p w14:paraId="4A370B49">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北京经济技术开发区管理委员会</w:t>
            </w:r>
          </w:p>
        </w:tc>
        <w:tc>
          <w:tcPr>
            <w:tcW w:w="2134" w:type="dxa"/>
            <w:vAlign w:val="center"/>
          </w:tcPr>
          <w:p w14:paraId="3CB8CEC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项目审批（核准/</w:t>
            </w:r>
          </w:p>
          <w:p w14:paraId="18E096C9">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备案）文号（选填）</w:t>
            </w:r>
          </w:p>
        </w:tc>
        <w:tc>
          <w:tcPr>
            <w:tcW w:w="2639" w:type="dxa"/>
            <w:shd w:val="clear" w:color="auto" w:fill="auto"/>
            <w:vAlign w:val="center"/>
          </w:tcPr>
          <w:p w14:paraId="5FA10621">
            <w:pPr>
              <w:adjustRightInd w:val="0"/>
              <w:snapToGrid w:val="0"/>
              <w:jc w:val="center"/>
              <w:rPr>
                <w:rFonts w:hint="default" w:cs="Times New Roman"/>
                <w:color w:val="auto"/>
                <w:sz w:val="24"/>
                <w:highlight w:val="none"/>
                <w:lang w:val="en-US" w:eastAsia="zh-CN"/>
              </w:rPr>
            </w:pPr>
            <w:r>
              <w:rPr>
                <w:rFonts w:hint="default" w:cs="Times New Roman"/>
                <w:color w:val="auto"/>
                <w:sz w:val="24"/>
                <w:highlight w:val="none"/>
                <w:lang w:val="en-US" w:eastAsia="zh-CN"/>
              </w:rPr>
              <w:t>京技审批(备)</w:t>
            </w:r>
          </w:p>
          <w:p w14:paraId="2B328C14">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ascii="微软雅黑" w:hAnsi="微软雅黑" w:eastAsia="微软雅黑" w:cs="微软雅黑"/>
                <w:color w:val="auto"/>
                <w:sz w:val="21"/>
                <w:szCs w:val="21"/>
                <w:highlight w:val="none"/>
                <w:lang w:val="en-US" w:eastAsia="zh-CN"/>
              </w:rPr>
              <w:t>〔</w:t>
            </w:r>
            <w:r>
              <w:rPr>
                <w:rFonts w:hint="default" w:cs="Times New Roman"/>
                <w:color w:val="auto"/>
                <w:sz w:val="24"/>
                <w:highlight w:val="none"/>
                <w:lang w:val="en-US" w:eastAsia="zh-CN"/>
              </w:rPr>
              <w:t>2025</w:t>
            </w:r>
            <w:r>
              <w:rPr>
                <w:rFonts w:hint="eastAsia" w:ascii="微软雅黑" w:hAnsi="微软雅黑" w:eastAsia="微软雅黑" w:cs="微软雅黑"/>
                <w:color w:val="auto"/>
                <w:sz w:val="21"/>
                <w:szCs w:val="21"/>
                <w:highlight w:val="none"/>
                <w:lang w:val="en-US" w:eastAsia="zh-CN"/>
              </w:rPr>
              <w:t>〕</w:t>
            </w:r>
            <w:r>
              <w:rPr>
                <w:rFonts w:hint="default" w:cs="Times New Roman"/>
                <w:color w:val="auto"/>
                <w:sz w:val="24"/>
                <w:highlight w:val="none"/>
                <w:lang w:val="en-US" w:eastAsia="zh-CN"/>
              </w:rPr>
              <w:t>210号</w:t>
            </w:r>
          </w:p>
        </w:tc>
      </w:tr>
      <w:tr w14:paraId="0743A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62F14960">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总投资（万元）</w:t>
            </w:r>
          </w:p>
        </w:tc>
        <w:tc>
          <w:tcPr>
            <w:tcW w:w="1968" w:type="dxa"/>
            <w:vAlign w:val="center"/>
          </w:tcPr>
          <w:p w14:paraId="5D98C070">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500</w:t>
            </w:r>
          </w:p>
        </w:tc>
        <w:tc>
          <w:tcPr>
            <w:tcW w:w="2134" w:type="dxa"/>
            <w:tcMar>
              <w:top w:w="16" w:type="dxa"/>
              <w:left w:w="16" w:type="dxa"/>
              <w:right w:w="16" w:type="dxa"/>
            </w:tcMar>
            <w:vAlign w:val="center"/>
          </w:tcPr>
          <w:p w14:paraId="481B7D5A">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环保投资（万元）</w:t>
            </w:r>
          </w:p>
        </w:tc>
        <w:tc>
          <w:tcPr>
            <w:tcW w:w="2639" w:type="dxa"/>
            <w:vAlign w:val="center"/>
          </w:tcPr>
          <w:p w14:paraId="61A4B86A">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30</w:t>
            </w:r>
          </w:p>
        </w:tc>
      </w:tr>
      <w:tr w14:paraId="1202BD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49ACC8D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环保投资占比（%）</w:t>
            </w:r>
          </w:p>
        </w:tc>
        <w:tc>
          <w:tcPr>
            <w:tcW w:w="1968" w:type="dxa"/>
            <w:vAlign w:val="center"/>
          </w:tcPr>
          <w:p w14:paraId="04A13E04">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6.0</w:t>
            </w:r>
          </w:p>
        </w:tc>
        <w:tc>
          <w:tcPr>
            <w:tcW w:w="2134" w:type="dxa"/>
            <w:tcMar>
              <w:top w:w="16" w:type="dxa"/>
              <w:left w:w="16" w:type="dxa"/>
              <w:right w:w="16" w:type="dxa"/>
            </w:tcMar>
            <w:vAlign w:val="center"/>
          </w:tcPr>
          <w:p w14:paraId="38D4E07E">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施工工期</w:t>
            </w:r>
          </w:p>
        </w:tc>
        <w:tc>
          <w:tcPr>
            <w:tcW w:w="2639" w:type="dxa"/>
            <w:vAlign w:val="center"/>
          </w:tcPr>
          <w:p w14:paraId="59B50EB9">
            <w:pPr>
              <w:adjustRightInd w:val="0"/>
              <w:snapToGrid w:val="0"/>
              <w:jc w:val="center"/>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个月</w:t>
            </w:r>
          </w:p>
        </w:tc>
      </w:tr>
      <w:tr w14:paraId="69B48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29" w:type="dxa"/>
            <w:tcMar>
              <w:top w:w="16" w:type="dxa"/>
              <w:left w:w="16" w:type="dxa"/>
              <w:right w:w="16" w:type="dxa"/>
            </w:tcMar>
            <w:vAlign w:val="center"/>
          </w:tcPr>
          <w:p w14:paraId="0E3DFEF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是否开工建设</w:t>
            </w:r>
          </w:p>
        </w:tc>
        <w:tc>
          <w:tcPr>
            <w:tcW w:w="1968" w:type="dxa"/>
            <w:vAlign w:val="center"/>
          </w:tcPr>
          <w:p w14:paraId="7B6A8ACA">
            <w:pPr>
              <w:adjustRightInd w:val="0"/>
              <w:snapToGrid w:val="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☑否</w:t>
            </w:r>
          </w:p>
          <w:p w14:paraId="415B5168">
            <w:pPr>
              <w:adjustRightInd w:val="0"/>
              <w:snapToGrid w:val="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sym w:font="Wingdings 2" w:char="00A3"/>
            </w:r>
            <w:r>
              <w:rPr>
                <w:rFonts w:hint="default" w:ascii="Times New Roman" w:hAnsi="Times New Roman" w:eastAsia="宋体" w:cs="Times New Roman"/>
                <w:color w:val="auto"/>
                <w:sz w:val="24"/>
                <w:highlight w:val="none"/>
              </w:rPr>
              <w:t>是：</w:t>
            </w:r>
          </w:p>
        </w:tc>
        <w:tc>
          <w:tcPr>
            <w:tcW w:w="2134" w:type="dxa"/>
            <w:tcMar>
              <w:top w:w="16" w:type="dxa"/>
              <w:left w:w="16" w:type="dxa"/>
              <w:right w:w="16" w:type="dxa"/>
            </w:tcMar>
            <w:vAlign w:val="center"/>
          </w:tcPr>
          <w:p w14:paraId="674EDD84">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用地（用海）</w:t>
            </w:r>
          </w:p>
          <w:p w14:paraId="57950FE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面积（m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rPr>
              <w:t>）</w:t>
            </w:r>
          </w:p>
        </w:tc>
        <w:tc>
          <w:tcPr>
            <w:tcW w:w="2639" w:type="dxa"/>
            <w:vAlign w:val="center"/>
          </w:tcPr>
          <w:p w14:paraId="0C8F1F68">
            <w:pPr>
              <w:adjustRightInd w:val="0"/>
              <w:snapToGrid w:val="0"/>
              <w:jc w:val="center"/>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887.72</w:t>
            </w:r>
          </w:p>
        </w:tc>
      </w:tr>
      <w:tr w14:paraId="6D5BC5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129" w:type="dxa"/>
            <w:vAlign w:val="center"/>
          </w:tcPr>
          <w:p w14:paraId="4D647DEF">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专项评价设置情况</w:t>
            </w:r>
          </w:p>
        </w:tc>
        <w:tc>
          <w:tcPr>
            <w:tcW w:w="6741" w:type="dxa"/>
            <w:gridSpan w:val="3"/>
            <w:vAlign w:val="center"/>
          </w:tcPr>
          <w:p w14:paraId="23401B15">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无</w:t>
            </w:r>
          </w:p>
        </w:tc>
      </w:tr>
      <w:tr w14:paraId="05B80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29" w:type="dxa"/>
            <w:vAlign w:val="center"/>
          </w:tcPr>
          <w:p w14:paraId="74B97286">
            <w:pPr>
              <w:autoSpaceDE w:val="0"/>
              <w:autoSpaceDN w:val="0"/>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规划情况</w:t>
            </w:r>
          </w:p>
        </w:tc>
        <w:tc>
          <w:tcPr>
            <w:tcW w:w="6741" w:type="dxa"/>
            <w:gridSpan w:val="3"/>
            <w:vAlign w:val="center"/>
          </w:tcPr>
          <w:p w14:paraId="096B71FF">
            <w:pPr>
              <w:widowControl/>
              <w:numPr>
                <w:ilvl w:val="0"/>
                <w:numId w:val="1"/>
              </w:numPr>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规划文件名称：《亦庄新城规划（国土空间规划）（2017年—2035年）》</w:t>
            </w:r>
          </w:p>
          <w:p w14:paraId="21FBF8E8">
            <w:pPr>
              <w:widowControl/>
              <w:numPr>
                <w:ilvl w:val="0"/>
                <w:numId w:val="0"/>
              </w:numPr>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审批机关</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北京市人民政府</w:t>
            </w:r>
          </w:p>
          <w:p w14:paraId="450FC780">
            <w:pPr>
              <w:widowControl/>
              <w:numPr>
                <w:ilvl w:val="0"/>
                <w:numId w:val="0"/>
              </w:num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审批文件名称及文号：北京市人民政府关于对《亦庄新城规划（国土空间规划）（2017年-2035年）》的批复（2019.11.20）</w:t>
            </w:r>
            <w:r>
              <w:rPr>
                <w:rFonts w:hint="default" w:ascii="Times New Roman" w:hAnsi="Times New Roman" w:eastAsia="宋体" w:cs="Times New Roman"/>
                <w:color w:val="auto"/>
                <w:sz w:val="24"/>
                <w:highlight w:val="none"/>
                <w:lang w:eastAsia="zh-CN"/>
              </w:rPr>
              <w:t>。</w:t>
            </w:r>
          </w:p>
          <w:p w14:paraId="63ADCD2D">
            <w:pPr>
              <w:widowControl/>
              <w:numPr>
                <w:ilvl w:val="0"/>
                <w:numId w:val="1"/>
              </w:numPr>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规划文件名称：《落实</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三区三线</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&lt;亦庄新城规划(2017年-2035年）&gt;修改成果》</w:t>
            </w:r>
          </w:p>
          <w:p w14:paraId="1DA52FAF">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审批机关：北京市人民政府</w:t>
            </w:r>
          </w:p>
          <w:p w14:paraId="4B9F1857">
            <w:pPr>
              <w:widowControl/>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审批文件名称及文号：北京市人民政府关于对《北京市人民政府关于对朝阳等13个区分区规划及亦庄新城规划修改方案》的批复（2023.3.25）</w:t>
            </w:r>
          </w:p>
          <w:p w14:paraId="0EE1D511">
            <w:pPr>
              <w:widowControl/>
              <w:numPr>
                <w:ilvl w:val="0"/>
                <w:numId w:val="1"/>
              </w:numPr>
              <w:spacing w:line="360" w:lineRule="auto"/>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十四五</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时期北京经济技术开发区发展建设和二O三五年远景目标规划》</w:t>
            </w:r>
            <w:r>
              <w:rPr>
                <w:rFonts w:hint="eastAsia" w:ascii="Times New Roman" w:hAnsi="Times New Roman" w:eastAsia="宋体" w:cs="Times New Roman"/>
                <w:color w:val="auto"/>
                <w:sz w:val="24"/>
                <w:highlight w:val="none"/>
              </w:rPr>
              <w:t>（2021年6月29日发布）</w:t>
            </w:r>
          </w:p>
          <w:p w14:paraId="08B79411">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发布单位：北京经济技术开发区管理委员会</w:t>
            </w:r>
          </w:p>
        </w:tc>
      </w:tr>
      <w:tr w14:paraId="2B0177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29" w:type="dxa"/>
            <w:tcBorders>
              <w:top w:val="single" w:color="auto" w:sz="4" w:space="0"/>
              <w:left w:val="single" w:color="auto" w:sz="8" w:space="0"/>
              <w:bottom w:val="single" w:color="auto" w:sz="4" w:space="0"/>
              <w:right w:val="single" w:color="auto" w:sz="4" w:space="0"/>
            </w:tcBorders>
            <w:vAlign w:val="center"/>
          </w:tcPr>
          <w:p w14:paraId="01007D5E">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规划环境影响评价情况</w:t>
            </w:r>
          </w:p>
        </w:tc>
        <w:tc>
          <w:tcPr>
            <w:tcW w:w="6741" w:type="dxa"/>
            <w:gridSpan w:val="3"/>
            <w:tcBorders>
              <w:top w:val="single" w:color="auto" w:sz="4" w:space="0"/>
              <w:left w:val="single" w:color="auto" w:sz="4" w:space="0"/>
              <w:bottom w:val="single" w:color="auto" w:sz="4" w:space="0"/>
              <w:right w:val="single" w:color="auto" w:sz="8" w:space="0"/>
            </w:tcBorders>
            <w:vAlign w:val="center"/>
          </w:tcPr>
          <w:p w14:paraId="131F5D16">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文件名称：《中关村科技园区通州园金桥科技产业基地（一期）规划环境影响跟踪评价报告书》</w:t>
            </w:r>
          </w:p>
          <w:p w14:paraId="155EEB33">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审查机关：北京市通州区生态环境局</w:t>
            </w:r>
          </w:p>
          <w:p w14:paraId="7F278AB6">
            <w:pPr>
              <w:widowControl/>
              <w:spacing w:line="360" w:lineRule="auto"/>
              <w:ind w:firstLine="480" w:firstLineChars="200"/>
              <w:jc w:val="left"/>
              <w:rPr>
                <w:rFonts w:hint="default"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highlight w:val="none"/>
                <w:lang w:val="en-US" w:eastAsia="zh-CN"/>
              </w:rPr>
              <w:t>审查文件名称：《北京市通州区生态环境局关于</w:t>
            </w:r>
            <w:r>
              <w:rPr>
                <w:rFonts w:hint="default" w:ascii="Times New Roman" w:hAnsi="Times New Roman" w:eastAsia="宋体" w:cs="Times New Roman"/>
                <w:color w:val="auto"/>
                <w:sz w:val="24"/>
                <w:highlight w:val="none"/>
                <w:lang w:val="en-US" w:eastAsia="zh-CN"/>
              </w:rPr>
              <w:t>&lt;</w:t>
            </w:r>
            <w:r>
              <w:rPr>
                <w:rFonts w:hint="eastAsia" w:ascii="Times New Roman" w:hAnsi="Times New Roman" w:eastAsia="宋体" w:cs="Times New Roman"/>
                <w:color w:val="auto"/>
                <w:sz w:val="24"/>
                <w:highlight w:val="none"/>
                <w:lang w:val="en-US" w:eastAsia="zh-CN"/>
              </w:rPr>
              <w:t>中关村科技园区通州园金桥科技产业基地（一期）规划环境影响跟踪评价报告书</w:t>
            </w:r>
            <w:r>
              <w:rPr>
                <w:rFonts w:hint="default" w:ascii="Times New Roman" w:hAnsi="Times New Roman" w:eastAsia="宋体" w:cs="Times New Roman"/>
                <w:color w:val="auto"/>
                <w:sz w:val="24"/>
                <w:highlight w:val="none"/>
                <w:lang w:val="en-US" w:eastAsia="zh-CN"/>
              </w:rPr>
              <w:t>&gt;</w:t>
            </w:r>
            <w:r>
              <w:rPr>
                <w:rFonts w:hint="eastAsia" w:ascii="Times New Roman" w:hAnsi="Times New Roman" w:eastAsia="宋体" w:cs="Times New Roman"/>
                <w:color w:val="auto"/>
                <w:sz w:val="24"/>
                <w:highlight w:val="none"/>
                <w:lang w:val="en-US" w:eastAsia="zh-CN"/>
              </w:rPr>
              <w:t>审查意见的函》（通环函</w:t>
            </w:r>
            <w:r>
              <w:rPr>
                <w:rFonts w:hint="default" w:ascii="Times New Roman" w:hAnsi="Times New Roman" w:eastAsia="宋体" w:cs="Times New Roman"/>
                <w:color w:val="auto"/>
                <w:sz w:val="24"/>
                <w:highlight w:val="none"/>
                <w:lang w:val="en-US" w:eastAsia="zh-CN"/>
              </w:rPr>
              <w:t>[2020]25</w:t>
            </w:r>
            <w:r>
              <w:rPr>
                <w:rFonts w:hint="eastAsia" w:ascii="Times New Roman" w:hAnsi="Times New Roman" w:eastAsia="宋体" w:cs="Times New Roman"/>
                <w:color w:val="auto"/>
                <w:sz w:val="24"/>
                <w:highlight w:val="none"/>
                <w:lang w:val="en-US" w:eastAsia="zh-CN"/>
              </w:rPr>
              <w:t>号）</w:t>
            </w:r>
          </w:p>
        </w:tc>
      </w:tr>
      <w:tr w14:paraId="5068B6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4" w:hRule="atLeast"/>
          <w:jc w:val="center"/>
        </w:trPr>
        <w:tc>
          <w:tcPr>
            <w:tcW w:w="2129" w:type="dxa"/>
            <w:tcBorders>
              <w:top w:val="single" w:color="auto" w:sz="4" w:space="0"/>
              <w:left w:val="single" w:color="auto" w:sz="8" w:space="0"/>
              <w:bottom w:val="single" w:color="auto" w:sz="4" w:space="0"/>
              <w:right w:val="single" w:color="auto" w:sz="4" w:space="0"/>
            </w:tcBorders>
            <w:vAlign w:val="center"/>
          </w:tcPr>
          <w:p w14:paraId="724AC9AB">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规划及规划环境影响评价符合性分析</w:t>
            </w:r>
          </w:p>
        </w:tc>
        <w:tc>
          <w:tcPr>
            <w:tcW w:w="6741" w:type="dxa"/>
            <w:gridSpan w:val="3"/>
            <w:tcBorders>
              <w:top w:val="single" w:color="auto" w:sz="4" w:space="0"/>
              <w:left w:val="single" w:color="auto" w:sz="4" w:space="0"/>
              <w:bottom w:val="single" w:color="auto" w:sz="4" w:space="0"/>
              <w:right w:val="single" w:color="auto" w:sz="8" w:space="0"/>
            </w:tcBorders>
            <w:vAlign w:val="center"/>
          </w:tcPr>
          <w:p w14:paraId="3A279943">
            <w:pPr>
              <w:widowControl/>
              <w:numPr>
                <w:ilvl w:val="0"/>
                <w:numId w:val="2"/>
              </w:numPr>
              <w:spacing w:line="360" w:lineRule="auto"/>
              <w:ind w:firstLine="482" w:firstLineChars="200"/>
              <w:jc w:val="left"/>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与《亦庄新城规划（国土空间规划）》（2017年-2035年）的符合性分析</w:t>
            </w:r>
          </w:p>
          <w:p w14:paraId="1C2F67CC">
            <w:pPr>
              <w:widowControl/>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亦庄新城分区规划（2017年-2035年）》，亦庄新城功能定位是建设具有全球影响力的创新型产业集群和科技服务中心；首都东南部区域创新发展协同区；战略性新兴产业基地及制造业转型升级示范区；宜业宜居绿色城区。</w:t>
            </w:r>
          </w:p>
          <w:p w14:paraId="53D4B3A8">
            <w:pPr>
              <w:widowControl/>
              <w:spacing w:line="360" w:lineRule="auto"/>
              <w:ind w:firstLine="480" w:firstLineChars="200"/>
              <w:jc w:val="left"/>
              <w:rPr>
                <w:rFonts w:hint="default"/>
                <w:color w:val="auto"/>
                <w:szCs w:val="21"/>
                <w:lang w:val="en-US" w:eastAsia="zh-CN"/>
              </w:rPr>
            </w:pPr>
            <w:r>
              <w:rPr>
                <w:rFonts w:hint="default" w:ascii="Times New Roman" w:hAnsi="Times New Roman" w:eastAsia="宋体" w:cs="Times New Roman"/>
                <w:color w:val="auto"/>
                <w:kern w:val="0"/>
                <w:sz w:val="24"/>
                <w:highlight w:val="none"/>
                <w:lang w:bidi="ar"/>
              </w:rPr>
              <w:t>规划中要求</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加强科研服务，完善应用研究和科技转化的研究型服务设施。提升中介服务，完善法律、会计、人力等咨询类型的服务设施，完善具有平台公共属性的服务设施，优化提升研究开发、技术转移、检验检测认证、创业孵化、知识产权、科技咨询、科技金融、科学技术</w:t>
            </w:r>
            <w:r>
              <w:rPr>
                <w:color w:val="auto"/>
                <w:szCs w:val="21"/>
              </w:rPr>
              <w:t>普及等专业化服务</w:t>
            </w:r>
            <w:r>
              <w:rPr>
                <w:rFonts w:hint="eastAsia"/>
                <w:color w:val="auto"/>
                <w:szCs w:val="21"/>
                <w:lang w:eastAsia="zh-CN"/>
              </w:rPr>
              <w:t>”。</w:t>
            </w:r>
          </w:p>
          <w:p w14:paraId="60FF2A14">
            <w:pPr>
              <w:widowControl/>
              <w:spacing w:line="360" w:lineRule="auto"/>
              <w:ind w:firstLine="480" w:firstLineChars="200"/>
              <w:jc w:val="left"/>
              <w:rPr>
                <w:rFonts w:hint="eastAsia" w:ascii="Times New Roman" w:hAnsi="Times New Roman"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bidi="ar"/>
              </w:rPr>
              <w:t>本项目</w:t>
            </w:r>
            <w:r>
              <w:rPr>
                <w:rFonts w:hint="eastAsia" w:ascii="Times New Roman" w:hAnsi="Times New Roman" w:eastAsia="宋体" w:cs="Times New Roman"/>
                <w:color w:val="auto"/>
                <w:kern w:val="0"/>
                <w:sz w:val="24"/>
                <w:highlight w:val="none"/>
                <w:lang w:val="en-US" w:eastAsia="zh-CN" w:bidi="ar"/>
              </w:rPr>
              <w:t>位于</w:t>
            </w:r>
            <w:r>
              <w:rPr>
                <w:rFonts w:hint="eastAsia" w:cs="Times New Roman"/>
                <w:color w:val="auto"/>
                <w:sz w:val="24"/>
                <w:highlight w:val="none"/>
                <w:lang w:val="en-US" w:eastAsia="zh-CN"/>
              </w:rPr>
              <w:t>北京经济技术开发区(通州)环科中路2号院</w:t>
            </w:r>
            <w:r>
              <w:rPr>
                <w:rFonts w:hint="eastAsia" w:ascii="Times New Roman" w:hAnsi="Times New Roman" w:cs="Times New Roman"/>
                <w:color w:val="auto"/>
                <w:kern w:val="0"/>
                <w:sz w:val="24"/>
                <w:highlight w:val="none"/>
                <w:lang w:val="en-US" w:eastAsia="zh-CN" w:bidi="ar"/>
              </w:rPr>
              <w:t>，</w:t>
            </w:r>
            <w:r>
              <w:rPr>
                <w:rFonts w:ascii="宋体" w:hAnsi="宋体" w:eastAsia="宋体" w:cs="宋体"/>
                <w:color w:val="auto"/>
                <w:sz w:val="24"/>
                <w:szCs w:val="24"/>
              </w:rPr>
              <w:t>属于亦庄新城范围内</w:t>
            </w:r>
            <w:r>
              <w:rPr>
                <w:rFonts w:hint="eastAsia" w:ascii="宋体" w:hAnsi="宋体" w:eastAsia="宋体" w:cs="宋体"/>
                <w:color w:val="auto"/>
                <w:sz w:val="24"/>
                <w:szCs w:val="24"/>
                <w:lang w:eastAsia="zh-CN"/>
              </w:rPr>
              <w:t>，</w:t>
            </w:r>
            <w:r>
              <w:rPr>
                <w:rFonts w:hint="default" w:ascii="Times New Roman" w:hAnsi="Times New Roman" w:eastAsia="宋体" w:cs="Times New Roman"/>
                <w:color w:val="auto"/>
                <w:kern w:val="0"/>
                <w:sz w:val="24"/>
                <w:highlight w:val="none"/>
                <w:lang w:val="en-US" w:eastAsia="zh-CN" w:bidi="ar"/>
              </w:rPr>
              <w:t>行业类别为</w:t>
            </w:r>
            <w:r>
              <w:rPr>
                <w:rFonts w:hint="eastAsia" w:cs="Times New Roman"/>
                <w:color w:val="auto"/>
                <w:kern w:val="0"/>
                <w:sz w:val="24"/>
                <w:highlight w:val="none"/>
                <w:lang w:val="en-US" w:eastAsia="zh-CN" w:bidi="ar"/>
              </w:rPr>
              <w:t>“</w:t>
            </w:r>
            <w:r>
              <w:rPr>
                <w:rFonts w:hint="eastAsia" w:ascii="Times New Roman" w:hAnsi="Times New Roman" w:eastAsia="宋体" w:cs="Times New Roman"/>
                <w:color w:val="auto"/>
                <w:kern w:val="0"/>
                <w:sz w:val="24"/>
                <w:highlight w:val="none"/>
                <w:lang w:val="en-US" w:eastAsia="zh-CN" w:bidi="ar"/>
              </w:rPr>
              <w:t>检测服务7452</w:t>
            </w:r>
            <w:r>
              <w:rPr>
                <w:rFonts w:hint="eastAsia" w:cs="Times New Roman"/>
                <w:color w:val="auto"/>
                <w:kern w:val="0"/>
                <w:sz w:val="24"/>
                <w:highlight w:val="none"/>
                <w:lang w:val="en-US" w:eastAsia="zh-CN" w:bidi="ar"/>
              </w:rPr>
              <w:t>”</w:t>
            </w:r>
            <w:r>
              <w:rPr>
                <w:rFonts w:hint="eastAsia" w:ascii="Times New Roman" w:hAnsi="Times New Roman" w:cs="Times New Roman"/>
                <w:color w:val="auto"/>
                <w:kern w:val="0"/>
                <w:sz w:val="24"/>
                <w:highlight w:val="none"/>
                <w:lang w:val="en-US" w:eastAsia="zh-CN" w:bidi="ar"/>
              </w:rPr>
              <w:t>，属于</w:t>
            </w:r>
            <w:r>
              <w:rPr>
                <w:rFonts w:hint="default" w:ascii="Times New Roman" w:hAnsi="Times New Roman" w:eastAsia="宋体" w:cs="Times New Roman"/>
                <w:color w:val="auto"/>
                <w:kern w:val="0"/>
                <w:sz w:val="24"/>
                <w:highlight w:val="none"/>
                <w:lang w:bidi="ar"/>
              </w:rPr>
              <w:t>检验检测认证</w:t>
            </w:r>
            <w:r>
              <w:rPr>
                <w:rFonts w:hint="eastAsia" w:ascii="Times New Roman" w:hAnsi="Times New Roman" w:cs="Times New Roman"/>
                <w:color w:val="auto"/>
                <w:kern w:val="0"/>
                <w:sz w:val="24"/>
                <w:highlight w:val="none"/>
                <w:lang w:val="en-US" w:eastAsia="zh-CN" w:bidi="ar"/>
              </w:rPr>
              <w:t>专业技术服务业，</w:t>
            </w:r>
            <w:r>
              <w:rPr>
                <w:rFonts w:hint="default" w:ascii="Times New Roman" w:hAnsi="Times New Roman" w:eastAsia="宋体" w:cs="Times New Roman"/>
                <w:color w:val="auto"/>
                <w:kern w:val="0"/>
                <w:sz w:val="24"/>
                <w:highlight w:val="none"/>
                <w:lang w:bidi="ar"/>
              </w:rPr>
              <w:t>符合《亦庄新城规划（国土空间规划）（2017年-2035年）》</w:t>
            </w:r>
            <w:r>
              <w:rPr>
                <w:rFonts w:hint="eastAsia" w:ascii="Times New Roman" w:hAnsi="Times New Roman" w:eastAsia="宋体" w:cs="Times New Roman"/>
                <w:color w:val="auto"/>
                <w:kern w:val="0"/>
                <w:sz w:val="24"/>
                <w:highlight w:val="none"/>
                <w:lang w:val="en-US" w:eastAsia="zh-CN" w:bidi="ar"/>
              </w:rPr>
              <w:t>要求</w:t>
            </w:r>
            <w:r>
              <w:rPr>
                <w:rFonts w:hint="eastAsia"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eastAsia="zh-CN" w:bidi="ar"/>
              </w:rPr>
              <w:t>本项目在亦庄新城规划图</w:t>
            </w:r>
            <w:r>
              <w:rPr>
                <w:rFonts w:hint="eastAsia" w:ascii="Times New Roman" w:hAnsi="Times New Roman" w:eastAsia="宋体" w:cs="Times New Roman"/>
                <w:color w:val="auto"/>
                <w:kern w:val="0"/>
                <w:sz w:val="24"/>
                <w:highlight w:val="none"/>
                <w:lang w:val="en-US" w:eastAsia="zh-CN" w:bidi="ar"/>
              </w:rPr>
              <w:t>中</w:t>
            </w:r>
            <w:r>
              <w:rPr>
                <w:rFonts w:hint="default" w:ascii="Times New Roman" w:hAnsi="Times New Roman" w:eastAsia="宋体" w:cs="Times New Roman"/>
                <w:color w:val="auto"/>
                <w:kern w:val="0"/>
                <w:sz w:val="24"/>
                <w:highlight w:val="none"/>
                <w:lang w:eastAsia="zh-CN" w:bidi="ar"/>
              </w:rPr>
              <w:t>的位置示意图见</w:t>
            </w:r>
            <w:r>
              <w:rPr>
                <w:rFonts w:hint="default" w:ascii="Times New Roman" w:hAnsi="Times New Roman" w:eastAsia="宋体" w:cs="Times New Roman"/>
                <w:color w:val="auto"/>
                <w:kern w:val="0"/>
                <w:sz w:val="24"/>
                <w:highlight w:val="none"/>
                <w:lang w:val="en-US" w:eastAsia="zh-CN" w:bidi="ar"/>
              </w:rPr>
              <w:t>下</w:t>
            </w:r>
            <w:r>
              <w:rPr>
                <w:rFonts w:hint="default" w:ascii="Times New Roman" w:hAnsi="Times New Roman" w:eastAsia="宋体" w:cs="Times New Roman"/>
                <w:color w:val="auto"/>
                <w:kern w:val="0"/>
                <w:sz w:val="24"/>
                <w:highlight w:val="none"/>
                <w:lang w:eastAsia="zh-CN" w:bidi="ar"/>
              </w:rPr>
              <w:t>图。</w:t>
            </w:r>
          </w:p>
          <w:p w14:paraId="39F6035E">
            <w:pPr>
              <w:widowControl/>
              <w:spacing w:line="360" w:lineRule="auto"/>
              <w:jc w:val="left"/>
              <w:rPr>
                <w:rFonts w:hint="eastAsia" w:ascii="Times New Roman" w:hAnsi="Times New Roman" w:cs="Times New Roman"/>
                <w:color w:val="auto"/>
                <w:kern w:val="0"/>
                <w:sz w:val="24"/>
                <w:highlight w:val="none"/>
                <w:lang w:val="en-US" w:eastAsia="zh-CN" w:bidi="ar"/>
              </w:rPr>
            </w:pPr>
            <w:r>
              <w:rPr>
                <w:sz w:val="21"/>
              </w:rPr>
              <mc:AlternateContent>
                <mc:Choice Requires="wps">
                  <w:drawing>
                    <wp:anchor distT="0" distB="0" distL="114300" distR="114300" simplePos="0" relativeHeight="251670528" behindDoc="0" locked="0" layoutInCell="1" allowOverlap="1">
                      <wp:simplePos x="0" y="0"/>
                      <wp:positionH relativeFrom="column">
                        <wp:posOffset>2094865</wp:posOffset>
                      </wp:positionH>
                      <wp:positionV relativeFrom="paragraph">
                        <wp:posOffset>2450465</wp:posOffset>
                      </wp:positionV>
                      <wp:extent cx="75565" cy="75565"/>
                      <wp:effectExtent l="6350" t="6350" r="9525" b="9525"/>
                      <wp:wrapNone/>
                      <wp:docPr id="16" name="椭圆 16"/>
                      <wp:cNvGraphicFramePr/>
                      <a:graphic xmlns:a="http://schemas.openxmlformats.org/drawingml/2006/main">
                        <a:graphicData uri="http://schemas.microsoft.com/office/word/2010/wordprocessingShape">
                          <wps:wsp>
                            <wps:cNvSpPr/>
                            <wps:spPr>
                              <a:xfrm>
                                <a:off x="4320540" y="3320415"/>
                                <a:ext cx="75565" cy="75565"/>
                              </a:xfrm>
                              <a:prstGeom prst="ellipse">
                                <a:avLst/>
                              </a:prstGeom>
                              <a:solidFill>
                                <a:srgbClr val="FFFF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4.95pt;margin-top:192.95pt;height:5.95pt;width:5.95pt;z-index:251670528;v-text-anchor:middle;mso-width-relative:page;mso-height-relative:page;" fillcolor="#FFFF00" filled="t" stroked="t" coordsize="21600,21600" o:gfxdata="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OHHbXAAAACwEA&#10;AA8AAAAAAAAAAQAgAAAAIgAAAGRycy9kb3ducmV2LnhtbFBLAQIUABQAAAAIAIdO4kBlx071jQIA&#10;ACQFAAAOAAAAAAAAAAEAIAAAACYBAABkcnMvZTJvRG9jLnhtbFBLBQYAAAAABgAGAFkBAAAlBgAA&#10;AAA=&#1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2552700</wp:posOffset>
                      </wp:positionH>
                      <wp:positionV relativeFrom="paragraph">
                        <wp:posOffset>1950720</wp:posOffset>
                      </wp:positionV>
                      <wp:extent cx="781050" cy="290195"/>
                      <wp:effectExtent l="373380" t="6350" r="19050" b="267335"/>
                      <wp:wrapNone/>
                      <wp:docPr id="17" name="矩形标注 17"/>
                      <wp:cNvGraphicFramePr/>
                      <a:graphic xmlns:a="http://schemas.openxmlformats.org/drawingml/2006/main">
                        <a:graphicData uri="http://schemas.microsoft.com/office/word/2010/wordprocessingShape">
                          <wps:wsp>
                            <wps:cNvSpPr/>
                            <wps:spPr>
                              <a:xfrm>
                                <a:off x="4777740" y="2863215"/>
                                <a:ext cx="781050" cy="290195"/>
                              </a:xfrm>
                              <a:prstGeom prst="wedgeRectCallout">
                                <a:avLst>
                                  <a:gd name="adj1" fmla="val -91707"/>
                                  <a:gd name="adj2" fmla="val 13008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16F53144">
                                  <w:pPr>
                                    <w:jc w:val="center"/>
                                    <w:rPr>
                                      <w:rFonts w:hint="default"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1pt;margin-top:153.6pt;height:22.85pt;width:61.5pt;z-index:251671552;v-text-anchor:middle;mso-width-relative:page;mso-height-relative:page;" fillcolor="#5B9BD5 [3204]" filled="t" stroked="t" coordsize="21600,21600" o:gfxdata="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AEXRO52wAAAAsBAAAPAAAAAAAAAAEAIAAAACIAAABkcnMvZG93bnJldi54bWxQSwECFAAU&#10;AAAACACHTuJAouX9edICAACTBQAADgAAAAAAAAABACAAAAAqAQAAZHJzL2Uyb0RvYy54bWxQSwUG&#10;AAAAAAYABgBZAQAAbgYAAAAA&#10;" adj="-9009,38899">
                      <v:fill on="t" focussize="0,0"/>
                      <v:stroke weight="1pt" color="#2E75B6 [2404]" miterlimit="8" joinstyle="miter"/>
                      <v:imagedata o:title=""/>
                      <o:lock v:ext="edit" aspectratio="f"/>
                      <v:textbox>
                        <w:txbxContent>
                          <w:p w14:paraId="16F53144">
                            <w:pPr>
                              <w:jc w:val="center"/>
                              <w:rPr>
                                <w:rFonts w:hint="default" w:eastAsia="宋体"/>
                                <w:lang w:val="en-US" w:eastAsia="zh-CN"/>
                              </w:rPr>
                            </w:pPr>
                            <w:r>
                              <w:rPr>
                                <w:rFonts w:hint="eastAsia"/>
                                <w:lang w:val="en-US" w:eastAsia="zh-CN"/>
                              </w:rPr>
                              <w:t>本项目</w:t>
                            </w:r>
                          </w:p>
                        </w:txbxContent>
                      </v:textbox>
                    </v:shape>
                  </w:pict>
                </mc:Fallback>
              </mc:AlternateContent>
            </w:r>
            <w:r>
              <w:drawing>
                <wp:inline distT="0" distB="0" distL="114300" distR="114300">
                  <wp:extent cx="4142105" cy="5833110"/>
                  <wp:effectExtent l="0" t="0" r="3175"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
                          <a:stretch>
                            <a:fillRect/>
                          </a:stretch>
                        </pic:blipFill>
                        <pic:spPr>
                          <a:xfrm>
                            <a:off x="0" y="0"/>
                            <a:ext cx="4142105" cy="5833110"/>
                          </a:xfrm>
                          <a:prstGeom prst="rect">
                            <a:avLst/>
                          </a:prstGeom>
                          <a:noFill/>
                          <a:ln>
                            <a:noFill/>
                          </a:ln>
                        </pic:spPr>
                      </pic:pic>
                    </a:graphicData>
                  </a:graphic>
                </wp:inline>
              </w:drawing>
            </w:r>
          </w:p>
          <w:p w14:paraId="40E44A4C">
            <w:pPr>
              <w:widowControl/>
              <w:numPr>
                <w:ilvl w:val="0"/>
                <w:numId w:val="3"/>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eastAsia="zh-CN" w:bidi="ar"/>
              </w:rPr>
              <w:t>项目在亦庄新城规划图</w:t>
            </w:r>
            <w:r>
              <w:rPr>
                <w:rFonts w:hint="eastAsia" w:cs="Times New Roman"/>
                <w:b/>
                <w:bCs/>
                <w:color w:val="auto"/>
                <w:kern w:val="0"/>
                <w:sz w:val="24"/>
                <w:highlight w:val="none"/>
                <w:lang w:val="en-US" w:eastAsia="zh-CN" w:bidi="ar"/>
              </w:rPr>
              <w:t>中</w:t>
            </w:r>
            <w:r>
              <w:rPr>
                <w:rFonts w:hint="default" w:ascii="Times New Roman" w:hAnsi="Times New Roman" w:eastAsia="宋体" w:cs="Times New Roman"/>
                <w:b/>
                <w:bCs/>
                <w:color w:val="auto"/>
                <w:kern w:val="0"/>
                <w:sz w:val="24"/>
                <w:highlight w:val="none"/>
                <w:lang w:eastAsia="zh-CN" w:bidi="ar"/>
              </w:rPr>
              <w:t>的位置</w:t>
            </w:r>
          </w:p>
          <w:p w14:paraId="3A07997B">
            <w:pPr>
              <w:widowControl/>
              <w:numPr>
                <w:ilvl w:val="0"/>
                <w:numId w:val="2"/>
              </w:numPr>
              <w:spacing w:line="360" w:lineRule="auto"/>
              <w:ind w:firstLine="482"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b/>
                <w:bCs/>
                <w:color w:val="auto"/>
                <w:kern w:val="0"/>
                <w:sz w:val="24"/>
                <w:highlight w:val="none"/>
                <w:lang w:val="en-US" w:eastAsia="zh-CN" w:bidi="ar"/>
              </w:rPr>
              <w:t>与《落实</w:t>
            </w:r>
            <w:r>
              <w:rPr>
                <w:rFonts w:hint="eastAsia" w:cs="Times New Roman"/>
                <w:b/>
                <w:bCs/>
                <w:color w:val="auto"/>
                <w:kern w:val="0"/>
                <w:sz w:val="24"/>
                <w:highlight w:val="none"/>
                <w:lang w:val="en-US" w:eastAsia="zh-CN" w:bidi="ar"/>
              </w:rPr>
              <w:t>“</w:t>
            </w:r>
            <w:r>
              <w:rPr>
                <w:rFonts w:hint="default" w:ascii="Times New Roman" w:hAnsi="Times New Roman" w:eastAsia="宋体" w:cs="Times New Roman"/>
                <w:b/>
                <w:bCs/>
                <w:color w:val="auto"/>
                <w:kern w:val="0"/>
                <w:sz w:val="24"/>
                <w:highlight w:val="none"/>
                <w:lang w:val="en-US" w:eastAsia="zh-CN" w:bidi="ar"/>
              </w:rPr>
              <w:t>三区三线</w:t>
            </w:r>
            <w:r>
              <w:rPr>
                <w:rFonts w:hint="eastAsia" w:cs="Times New Roman"/>
                <w:b/>
                <w:bCs/>
                <w:color w:val="auto"/>
                <w:kern w:val="0"/>
                <w:sz w:val="24"/>
                <w:highlight w:val="none"/>
                <w:lang w:val="en-US" w:eastAsia="zh-CN" w:bidi="ar"/>
              </w:rPr>
              <w:t>”</w:t>
            </w:r>
            <w:r>
              <w:rPr>
                <w:rFonts w:hint="default" w:ascii="Times New Roman" w:hAnsi="Times New Roman" w:eastAsia="宋体" w:cs="Times New Roman"/>
                <w:b/>
                <w:bCs/>
                <w:color w:val="auto"/>
                <w:kern w:val="0"/>
                <w:sz w:val="24"/>
                <w:highlight w:val="none"/>
                <w:lang w:val="en-US" w:eastAsia="zh-CN" w:bidi="ar"/>
              </w:rPr>
              <w:t>&lt;亦庄新城规划（2017年-2035年）&gt;修改成果》符合性分析</w:t>
            </w:r>
          </w:p>
          <w:p w14:paraId="25285B08">
            <w:pPr>
              <w:widowControl/>
              <w:spacing w:line="360" w:lineRule="auto"/>
              <w:ind w:firstLine="480"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highlight w:val="none"/>
                <w:lang w:val="en-US" w:eastAsia="zh-CN" w:bidi="ar"/>
              </w:rPr>
              <w:t>根据《落实</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三区三线</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lt;北京市人民政府关于朝阳等13个区分区规划及亦庄新城规划修改方案的批复&gt;修改成果》及北京市人民政府《关于朝阳等13个区分区规划及亦庄新城规划修改方案的批复》（2023年3月25日），亦庄新城规划（2017年-2035年）修改后，亦庄新城不再涉及生态保护红线，</w:t>
            </w:r>
            <w:r>
              <w:rPr>
                <w:rFonts w:hint="default" w:ascii="Times New Roman" w:hAnsi="Times New Roman" w:eastAsia="宋体" w:cs="Times New Roman"/>
                <w:color w:val="auto"/>
                <w:kern w:val="0"/>
                <w:sz w:val="24"/>
                <w:szCs w:val="24"/>
                <w:lang w:val="en-US" w:eastAsia="zh-CN" w:bidi="ar"/>
              </w:rPr>
              <w:t>两线三区规划图、国土空间规划分区图亦进行更新。对照修改成果，本项目位于亦庄新城规划区的集中建设区，用地性质为工业用地，符合《落实</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三区三线</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&lt;北京市人民政府关于朝阳等13个区分区规划及亦庄新城规划修改方案的批复&gt;修改成果》及其批复的要求。项目在亦庄新城两线三区规划图(修改版)中位置见下图。</w:t>
            </w:r>
          </w:p>
          <w:p w14:paraId="1F368011">
            <w:pPr>
              <w:widowControl/>
              <w:spacing w:line="360" w:lineRule="auto"/>
              <w:jc w:val="left"/>
              <w:rPr>
                <w:rFonts w:hint="default" w:ascii="Times New Roman" w:hAnsi="Times New Roman" w:eastAsia="宋体" w:cs="Times New Roman"/>
                <w:color w:val="auto"/>
                <w:kern w:val="0"/>
                <w:sz w:val="24"/>
                <w:szCs w:val="24"/>
                <w:lang w:val="en-US" w:eastAsia="zh-CN" w:bidi="ar"/>
              </w:rPr>
            </w:pPr>
            <w:r>
              <w:rPr>
                <w:sz w:val="21"/>
              </w:rPr>
              <mc:AlternateContent>
                <mc:Choice Requires="wpg">
                  <w:drawing>
                    <wp:anchor distT="0" distB="0" distL="114300" distR="114300" simplePos="0" relativeHeight="251669504" behindDoc="0" locked="0" layoutInCell="1" allowOverlap="1">
                      <wp:simplePos x="0" y="0"/>
                      <wp:positionH relativeFrom="column">
                        <wp:posOffset>2098040</wp:posOffset>
                      </wp:positionH>
                      <wp:positionV relativeFrom="paragraph">
                        <wp:posOffset>1906270</wp:posOffset>
                      </wp:positionV>
                      <wp:extent cx="1010285" cy="598170"/>
                      <wp:effectExtent l="6350" t="4445" r="19685" b="6985"/>
                      <wp:wrapNone/>
                      <wp:docPr id="44" name="组合 240"/>
                      <wp:cNvGraphicFramePr/>
                      <a:graphic xmlns:a="http://schemas.openxmlformats.org/drawingml/2006/main">
                        <a:graphicData uri="http://schemas.microsoft.com/office/word/2010/wordprocessingGroup">
                          <wpg:wgp>
                            <wpg:cNvGrpSpPr/>
                            <wpg:grpSpPr>
                              <a:xfrm rot="0">
                                <a:off x="4224655" y="1937385"/>
                                <a:ext cx="1010285" cy="598170"/>
                                <a:chOff x="4628" y="237731"/>
                                <a:chExt cx="2131" cy="1578"/>
                              </a:xfrm>
                            </wpg:grpSpPr>
                            <wps:wsp>
                              <wps:cNvPr id="46" name="文本框 17"/>
                              <wps:cNvSpPr txBox="1"/>
                              <wps:spPr>
                                <a:xfrm>
                                  <a:off x="5254" y="237731"/>
                                  <a:ext cx="1505" cy="762"/>
                                </a:xfrm>
                                <a:prstGeom prst="wedgeRectCallout">
                                  <a:avLst>
                                    <a:gd name="adj1" fmla="val -77932"/>
                                    <a:gd name="adj2" fmla="val 140604"/>
                                  </a:avLst>
                                </a:prstGeom>
                                <a:solidFill>
                                  <a:schemeClr val="bg1"/>
                                </a:solid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501B8B5A">
                                    <w:pPr>
                                      <w:ind w:left="0" w:leftChars="0" w:firstLine="0" w:firstLineChars="0"/>
                                      <w:jc w:val="center"/>
                                      <w:rPr>
                                        <w:rFonts w:hint="eastAsia"/>
                                        <w:color w:val="auto"/>
                                        <w:lang w:eastAsia="zh-CN"/>
                                      </w:rPr>
                                    </w:pPr>
                                    <w:r>
                                      <w:rPr>
                                        <w:rFonts w:hint="eastAsia"/>
                                        <w:color w:val="auto"/>
                                        <w:lang w:eastAsia="zh-CN"/>
                                      </w:rPr>
                                      <w:t>本项目</w:t>
                                    </w:r>
                                  </w:p>
                                  <w:p w14:paraId="3006CCB5">
                                    <w:pPr>
                                      <w:pStyle w:val="6"/>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五角星 13"/>
                              <wps:cNvSpPr/>
                              <wps:spPr>
                                <a:xfrm>
                                  <a:off x="4628" y="239133"/>
                                  <a:ext cx="165" cy="176"/>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40" o:spid="_x0000_s1026" o:spt="203" style="position:absolute;left:0pt;margin-left:165.2pt;margin-top:150.1pt;height:47.1pt;width:79.55pt;z-index:251669504;mso-width-relative:page;mso-height-relative:page;" coordorigin="4628,237731" coordsize="2131,1578" o:gfxdata="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">
                      <o:lock v:ext="edit" aspectratio="f"/>
                      <v:shape id="文本框 17" o:spid="_x0000_s1026" o:spt="61" type="#_x0000_t61" style="position:absolute;left:5254;top:237731;height:762;width:1505;" fillcolor="#FFFFFF [3212]" filled="t" stroked="t" coordsize="21600,21600" o:gfxdata="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FgzLsAAADb&#10;AAAADwAAAAAAAAABACAAAAAiAAAAZHJzL2Rvd25yZXYueG1sUEsBAhQAFAAAAAgAh07iQDMvBZ47&#10;AAAAOQAAABAAAAAAAAAAAQAgAAAACgEAAGRycy9zaGFwZXhtbC54bWxQSwUGAAAAAAYABgBbAQAA&#10;tAMAAAAA&#10;" adj="-6033,41170">
                        <v:fill on="t" focussize="0,0"/>
                        <v:stroke weight="0.5pt" color="#FF0000 [3204]" joinstyle="round"/>
                        <v:imagedata o:title=""/>
                        <o:lock v:ext="edit" aspectratio="f"/>
                        <v:textbox>
                          <w:txbxContent>
                            <w:p w14:paraId="501B8B5A">
                              <w:pPr>
                                <w:ind w:left="0" w:leftChars="0" w:firstLine="0" w:firstLineChars="0"/>
                                <w:jc w:val="center"/>
                                <w:rPr>
                                  <w:rFonts w:hint="eastAsia"/>
                                  <w:color w:val="auto"/>
                                  <w:lang w:eastAsia="zh-CN"/>
                                </w:rPr>
                              </w:pPr>
                              <w:r>
                                <w:rPr>
                                  <w:rFonts w:hint="eastAsia"/>
                                  <w:color w:val="auto"/>
                                  <w:lang w:eastAsia="zh-CN"/>
                                </w:rPr>
                                <w:t>本项目</w:t>
                              </w:r>
                            </w:p>
                            <w:p w14:paraId="3006CCB5">
                              <w:pPr>
                                <w:pStyle w:val="6"/>
                                <w:rPr>
                                  <w:rFonts w:hint="eastAsia"/>
                                  <w:lang w:eastAsia="zh-CN"/>
                                </w:rPr>
                              </w:pPr>
                            </w:p>
                          </w:txbxContent>
                        </v:textbox>
                      </v:shape>
                      <v:shape id="五角星 13" o:spid="_x0000_s1026" o:spt="3" type="#_x0000_t3" style="position:absolute;left:4628;top:239133;height:176;width:165;v-text-anchor:middle;" fillcolor="#FF0000" filled="t" stroked="t" coordsize="21600,21600" o:gfxdata="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cKfy8AAAA&#10;2wAAAA8AAAAAAAAAAQAgAAAAIgAAAGRycy9kb3ducmV2LnhtbFBLAQIUABQAAAAIAIdO4kAzLwWe&#10;OwAAADkAAAAQAAAAAAAAAAEAIAAAAAsBAABkcnMvc2hhcGV4bWwueG1sUEsFBgAAAAAGAAYAWwEA&#10;ALUDAAAAAA==&#10;">
                        <v:fill on="t" focussize="0,0"/>
                        <v:stroke weight="1pt" color="#FF0000 [3204]" miterlimit="8" joinstyle="miter"/>
                        <v:imagedata o:title=""/>
                        <o:lock v:ext="edit" aspectratio="f"/>
                      </v:shape>
                    </v:group>
                  </w:pict>
                </mc:Fallback>
              </mc:AlternateContent>
            </w:r>
            <w:r>
              <w:drawing>
                <wp:inline distT="0" distB="0" distL="114300" distR="114300">
                  <wp:extent cx="4140200" cy="5814060"/>
                  <wp:effectExtent l="0" t="0" r="508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stretch>
                            <a:fillRect/>
                          </a:stretch>
                        </pic:blipFill>
                        <pic:spPr>
                          <a:xfrm>
                            <a:off x="0" y="0"/>
                            <a:ext cx="4140200" cy="5814060"/>
                          </a:xfrm>
                          <a:prstGeom prst="rect">
                            <a:avLst/>
                          </a:prstGeom>
                          <a:noFill/>
                          <a:ln>
                            <a:noFill/>
                          </a:ln>
                        </pic:spPr>
                      </pic:pic>
                    </a:graphicData>
                  </a:graphic>
                </wp:inline>
              </w:drawing>
            </w:r>
          </w:p>
          <w:p w14:paraId="2DC3BEC0">
            <w:pPr>
              <w:widowControl/>
              <w:numPr>
                <w:ilvl w:val="0"/>
                <w:numId w:val="3"/>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en-US" w:eastAsia="zh-CN" w:bidi="ar"/>
              </w:rPr>
              <w:t>项目在亦庄新城两线三区规划图(修改版)中位置</w:t>
            </w:r>
          </w:p>
          <w:p w14:paraId="778881D7">
            <w:pPr>
              <w:widowControl/>
              <w:numPr>
                <w:ilvl w:val="0"/>
                <w:numId w:val="2"/>
              </w:numPr>
              <w:spacing w:line="360" w:lineRule="auto"/>
              <w:ind w:firstLine="482" w:firstLineChars="200"/>
              <w:jc w:val="left"/>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十四五</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时期北京经济技术开发区发展建设和</w:t>
            </w:r>
            <w:r>
              <w:rPr>
                <w:rFonts w:hint="default" w:ascii="Times New Roman" w:hAnsi="Times New Roman" w:eastAsia="宋体" w:cs="Times New Roman"/>
                <w:b/>
                <w:bCs/>
                <w:color w:val="auto"/>
                <w:kern w:val="0"/>
                <w:sz w:val="24"/>
                <w:highlight w:val="none"/>
                <w:lang w:val="en-US" w:eastAsia="zh-CN" w:bidi="ar"/>
              </w:rPr>
              <w:t>二〇三五年</w:t>
            </w:r>
            <w:r>
              <w:rPr>
                <w:rFonts w:hint="default" w:ascii="Times New Roman" w:hAnsi="Times New Roman" w:eastAsia="宋体" w:cs="Times New Roman"/>
                <w:b/>
                <w:bCs/>
                <w:color w:val="auto"/>
                <w:kern w:val="0"/>
                <w:sz w:val="24"/>
                <w:highlight w:val="none"/>
                <w:lang w:bidi="ar"/>
              </w:rPr>
              <w:t>年远景目标规划》符合性分析</w:t>
            </w:r>
          </w:p>
          <w:p w14:paraId="2EFF62E9">
            <w:pPr>
              <w:widowControl/>
              <w:spacing w:line="360" w:lineRule="auto"/>
              <w:ind w:firstLine="480" w:firstLineChars="200"/>
              <w:jc w:val="left"/>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十四五</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时期北京经济技术开发区发展建设和二〇三五年远景目标规划》提出：优化提升现代服务业。大力推动信息传输、软件和信息技术服务业发展，积极吸引工业设计、检验检测、工业研发服务外包等专业服务机构落地。</w:t>
            </w:r>
          </w:p>
          <w:p w14:paraId="413553C2">
            <w:pPr>
              <w:widowControl/>
              <w:spacing w:line="360" w:lineRule="auto"/>
              <w:ind w:firstLine="480" w:firstLineChars="200"/>
              <w:jc w:val="left"/>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val="en-US" w:eastAsia="zh-CN" w:bidi="ar"/>
              </w:rPr>
              <w:t>本项目的行业类别为</w:t>
            </w:r>
            <w:r>
              <w:rPr>
                <w:rFonts w:hint="eastAsia" w:cs="Times New Roman"/>
                <w:color w:val="auto"/>
                <w:kern w:val="0"/>
                <w:sz w:val="24"/>
                <w:highlight w:val="none"/>
                <w:lang w:val="en-US" w:eastAsia="zh-CN" w:bidi="ar"/>
              </w:rPr>
              <w:t>检测服务</w:t>
            </w:r>
            <w:r>
              <w:rPr>
                <w:rFonts w:hint="default" w:ascii="Times New Roman" w:hAnsi="Times New Roman" w:eastAsia="宋体" w:cs="Times New Roman"/>
                <w:color w:val="auto"/>
                <w:kern w:val="0"/>
                <w:sz w:val="24"/>
                <w:highlight w:val="none"/>
                <w:lang w:val="en-US" w:eastAsia="zh-CN" w:bidi="ar"/>
              </w:rPr>
              <w:t>业，符合《</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十四五</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val="en-US" w:eastAsia="zh-CN" w:bidi="ar"/>
              </w:rPr>
              <w:t>时期北京经济技术开发区发展建设和二〇三五年远景目标规划》的要求。</w:t>
            </w:r>
          </w:p>
          <w:p w14:paraId="6A3160CC">
            <w:pPr>
              <w:widowControl/>
              <w:numPr>
                <w:ilvl w:val="0"/>
                <w:numId w:val="2"/>
              </w:numPr>
              <w:spacing w:line="360" w:lineRule="auto"/>
              <w:ind w:firstLine="482" w:firstLineChars="200"/>
              <w:jc w:val="left"/>
              <w:rPr>
                <w:rFonts w:hint="default" w:ascii="Times New Roman" w:hAnsi="Times New Roman" w:eastAsia="宋体" w:cs="Times New Roman"/>
                <w:b/>
                <w:bCs/>
                <w:color w:val="auto"/>
                <w:kern w:val="0"/>
                <w:sz w:val="24"/>
                <w:highlight w:val="none"/>
                <w:lang w:bidi="ar"/>
              </w:rPr>
            </w:pPr>
            <w:r>
              <w:rPr>
                <w:rFonts w:hint="eastAsia" w:ascii="Times New Roman" w:hAnsi="Times New Roman" w:eastAsia="宋体" w:cs="Times New Roman"/>
                <w:b/>
                <w:bCs/>
                <w:color w:val="auto"/>
                <w:kern w:val="0"/>
                <w:sz w:val="24"/>
                <w:highlight w:val="none"/>
                <w:lang w:val="en-US" w:eastAsia="zh-CN" w:bidi="ar"/>
              </w:rPr>
              <w:t>与中关村科技园区通州园金桥科技产业基地相关规划环境影响跟踪评价及审查意见的符合性分析</w:t>
            </w:r>
          </w:p>
          <w:p w14:paraId="1624AC6C">
            <w:pPr>
              <w:widowControl/>
              <w:spacing w:line="360" w:lineRule="auto"/>
              <w:ind w:firstLine="480" w:firstLineChars="200"/>
              <w:jc w:val="left"/>
              <w:rPr>
                <w:rFonts w:hint="default" w:ascii="Times New Roman" w:hAnsi="Times New Roman" w:eastAsia="宋体" w:cs="Times New Roman"/>
                <w:color w:val="auto"/>
                <w:kern w:val="0"/>
                <w:sz w:val="24"/>
                <w:highlight w:val="none"/>
                <w:lang w:val="en-US" w:eastAsia="zh-CN" w:bidi="ar"/>
              </w:rPr>
            </w:pPr>
            <w:r>
              <w:rPr>
                <w:rFonts w:hint="eastAsia" w:ascii="Times New Roman" w:hAnsi="Times New Roman" w:eastAsia="宋体" w:cs="Times New Roman"/>
                <w:color w:val="auto"/>
                <w:kern w:val="0"/>
                <w:sz w:val="24"/>
                <w:highlight w:val="none"/>
                <w:lang w:val="en-US" w:eastAsia="zh-CN" w:bidi="ar"/>
              </w:rPr>
              <w:t>本项目与中关村科技园区通州园金桥科技产业基地相关规划环境影响跟踪评价及审查意见的符合性分析见下表。</w:t>
            </w:r>
          </w:p>
          <w:p w14:paraId="17F776EA">
            <w:pPr>
              <w:widowControl/>
              <w:numPr>
                <w:ilvl w:val="0"/>
                <w:numId w:val="4"/>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w:t>
            </w:r>
            <w:r>
              <w:rPr>
                <w:rFonts w:hint="eastAsia" w:ascii="Times New Roman" w:hAnsi="Times New Roman" w:eastAsia="宋体" w:cs="Times New Roman"/>
                <w:b/>
                <w:bCs/>
                <w:color w:val="auto"/>
                <w:kern w:val="0"/>
                <w:sz w:val="24"/>
                <w:highlight w:val="none"/>
                <w:lang w:val="en-US" w:eastAsia="zh-CN" w:bidi="ar"/>
              </w:rPr>
              <w:t>中关村科技园区通州园金桥科技产业基地相关规划环境影响跟踪评价及审查意见</w:t>
            </w:r>
            <w:r>
              <w:rPr>
                <w:rFonts w:hint="default" w:ascii="Times New Roman" w:hAnsi="Times New Roman" w:eastAsia="宋体" w:cs="Times New Roman"/>
                <w:b/>
                <w:bCs/>
                <w:color w:val="auto"/>
                <w:kern w:val="0"/>
                <w:sz w:val="24"/>
                <w:highlight w:val="none"/>
                <w:lang w:bidi="ar"/>
              </w:rPr>
              <w:t>的符合性分析</w:t>
            </w:r>
          </w:p>
          <w:tbl>
            <w:tblPr>
              <w:tblStyle w:val="24"/>
              <w:tblW w:w="665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7"/>
              <w:gridCol w:w="3348"/>
              <w:gridCol w:w="2016"/>
              <w:gridCol w:w="697"/>
            </w:tblGrid>
            <w:tr w14:paraId="25A6B6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97" w:type="dxa"/>
                  <w:tcBorders>
                    <w:tl2br w:val="nil"/>
                    <w:tr2bl w:val="nil"/>
                  </w:tcBorders>
                  <w:vAlign w:val="center"/>
                </w:tcPr>
                <w:p w14:paraId="0B99B405">
                  <w:pPr>
                    <w:widowControl/>
                    <w:spacing w:line="240" w:lineRule="auto"/>
                    <w:jc w:val="center"/>
                    <w:rPr>
                      <w:rFonts w:hint="default" w:ascii="Times New Roman" w:hAnsi="Times New Roman" w:eastAsia="宋体" w:cs="Times New Roman"/>
                      <w:b/>
                      <w:bCs/>
                      <w:color w:val="auto"/>
                      <w:kern w:val="0"/>
                      <w:szCs w:val="21"/>
                      <w:highlight w:val="none"/>
                      <w:lang w:bidi="ar"/>
                    </w:rPr>
                  </w:pPr>
                  <w:r>
                    <w:rPr>
                      <w:rFonts w:hint="default" w:ascii="Times New Roman" w:hAnsi="Times New Roman" w:eastAsia="宋体" w:cs="Times New Roman"/>
                      <w:b/>
                      <w:bCs/>
                      <w:color w:val="auto"/>
                      <w:kern w:val="0"/>
                      <w:szCs w:val="21"/>
                      <w:highlight w:val="none"/>
                      <w:lang w:bidi="ar"/>
                    </w:rPr>
                    <w:t>类别</w:t>
                  </w:r>
                </w:p>
              </w:tc>
              <w:tc>
                <w:tcPr>
                  <w:tcW w:w="3348" w:type="dxa"/>
                  <w:tcBorders>
                    <w:tl2br w:val="nil"/>
                    <w:tr2bl w:val="nil"/>
                  </w:tcBorders>
                  <w:vAlign w:val="center"/>
                </w:tcPr>
                <w:p w14:paraId="229BE275">
                  <w:pPr>
                    <w:widowControl/>
                    <w:spacing w:line="240" w:lineRule="auto"/>
                    <w:jc w:val="center"/>
                    <w:rPr>
                      <w:rFonts w:hint="default" w:ascii="Times New Roman" w:hAnsi="Times New Roman" w:eastAsia="宋体" w:cs="Times New Roman"/>
                      <w:b/>
                      <w:bCs/>
                      <w:color w:val="auto"/>
                      <w:kern w:val="0"/>
                      <w:szCs w:val="21"/>
                      <w:highlight w:val="none"/>
                      <w:lang w:bidi="ar"/>
                    </w:rPr>
                  </w:pPr>
                  <w:r>
                    <w:rPr>
                      <w:rFonts w:hint="eastAsia" w:ascii="Times New Roman" w:hAnsi="Times New Roman" w:eastAsia="宋体" w:cs="Times New Roman"/>
                      <w:b/>
                      <w:bCs/>
                      <w:color w:val="auto"/>
                      <w:kern w:val="0"/>
                      <w:szCs w:val="21"/>
                      <w:highlight w:val="none"/>
                      <w:lang w:val="en-US" w:eastAsia="zh-CN" w:bidi="ar"/>
                    </w:rPr>
                    <w:t>规划与规划环评相关内容</w:t>
                  </w:r>
                </w:p>
              </w:tc>
              <w:tc>
                <w:tcPr>
                  <w:tcW w:w="2016" w:type="dxa"/>
                  <w:tcBorders>
                    <w:tl2br w:val="nil"/>
                    <w:tr2bl w:val="nil"/>
                  </w:tcBorders>
                  <w:vAlign w:val="center"/>
                </w:tcPr>
                <w:p w14:paraId="5FAF5962">
                  <w:pPr>
                    <w:widowControl/>
                    <w:spacing w:line="240" w:lineRule="auto"/>
                    <w:jc w:val="center"/>
                    <w:rPr>
                      <w:rFonts w:hint="eastAsia" w:ascii="Times New Roman" w:hAnsi="Times New Roman" w:eastAsia="宋体" w:cs="Times New Roman"/>
                      <w:b/>
                      <w:bCs/>
                      <w:color w:val="auto"/>
                      <w:kern w:val="0"/>
                      <w:szCs w:val="21"/>
                      <w:highlight w:val="none"/>
                      <w:lang w:val="en-US" w:eastAsia="zh-CN" w:bidi="ar"/>
                    </w:rPr>
                  </w:pPr>
                  <w:r>
                    <w:rPr>
                      <w:rFonts w:hint="eastAsia" w:ascii="Times New Roman" w:hAnsi="Times New Roman" w:eastAsia="宋体" w:cs="Times New Roman"/>
                      <w:b/>
                      <w:bCs/>
                      <w:color w:val="auto"/>
                      <w:kern w:val="0"/>
                      <w:szCs w:val="21"/>
                      <w:highlight w:val="none"/>
                      <w:lang w:val="en-US" w:eastAsia="zh-CN" w:bidi="ar"/>
                    </w:rPr>
                    <w:t>本</w:t>
                  </w:r>
                  <w:r>
                    <w:rPr>
                      <w:rFonts w:hint="default" w:ascii="Times New Roman" w:hAnsi="Times New Roman" w:eastAsia="宋体" w:cs="Times New Roman"/>
                      <w:b/>
                      <w:bCs/>
                      <w:color w:val="auto"/>
                      <w:kern w:val="0"/>
                      <w:szCs w:val="21"/>
                      <w:highlight w:val="none"/>
                      <w:lang w:bidi="ar"/>
                    </w:rPr>
                    <w:t>项目</w:t>
                  </w:r>
                  <w:r>
                    <w:rPr>
                      <w:rFonts w:hint="eastAsia" w:ascii="Times New Roman" w:hAnsi="Times New Roman" w:eastAsia="宋体" w:cs="Times New Roman"/>
                      <w:b/>
                      <w:bCs/>
                      <w:color w:val="auto"/>
                      <w:kern w:val="0"/>
                      <w:szCs w:val="21"/>
                      <w:highlight w:val="none"/>
                      <w:lang w:val="en-US" w:eastAsia="zh-CN" w:bidi="ar"/>
                    </w:rPr>
                    <w:t>符合性</w:t>
                  </w:r>
                </w:p>
                <w:p w14:paraId="514B76A6">
                  <w:pPr>
                    <w:widowControl/>
                    <w:spacing w:line="240" w:lineRule="auto"/>
                    <w:jc w:val="center"/>
                    <w:rPr>
                      <w:rFonts w:hint="default" w:ascii="Times New Roman" w:hAnsi="Times New Roman" w:eastAsia="宋体" w:cs="Times New Roman"/>
                      <w:b/>
                      <w:bCs/>
                      <w:color w:val="auto"/>
                      <w:kern w:val="0"/>
                      <w:szCs w:val="21"/>
                      <w:highlight w:val="none"/>
                      <w:lang w:val="en-US" w:eastAsia="zh-CN" w:bidi="ar"/>
                    </w:rPr>
                  </w:pPr>
                  <w:r>
                    <w:rPr>
                      <w:rFonts w:hint="eastAsia" w:ascii="Times New Roman" w:hAnsi="Times New Roman" w:eastAsia="宋体" w:cs="Times New Roman"/>
                      <w:b/>
                      <w:bCs/>
                      <w:color w:val="auto"/>
                      <w:kern w:val="0"/>
                      <w:szCs w:val="21"/>
                      <w:highlight w:val="none"/>
                      <w:lang w:val="en-US" w:eastAsia="zh-CN" w:bidi="ar"/>
                    </w:rPr>
                    <w:t>分析</w:t>
                  </w:r>
                </w:p>
              </w:tc>
              <w:tc>
                <w:tcPr>
                  <w:tcW w:w="697" w:type="dxa"/>
                  <w:tcBorders>
                    <w:tl2br w:val="nil"/>
                    <w:tr2bl w:val="nil"/>
                  </w:tcBorders>
                  <w:vAlign w:val="center"/>
                </w:tcPr>
                <w:p w14:paraId="57139778">
                  <w:pPr>
                    <w:widowControl/>
                    <w:spacing w:line="240" w:lineRule="auto"/>
                    <w:jc w:val="center"/>
                    <w:rPr>
                      <w:rFonts w:hint="default" w:ascii="Times New Roman" w:hAnsi="Times New Roman" w:eastAsia="宋体" w:cs="Times New Roman"/>
                      <w:b/>
                      <w:bCs/>
                      <w:color w:val="auto"/>
                      <w:kern w:val="0"/>
                      <w:szCs w:val="21"/>
                      <w:highlight w:val="none"/>
                      <w:lang w:val="en-US" w:eastAsia="zh-CN" w:bidi="ar"/>
                    </w:rPr>
                  </w:pPr>
                  <w:r>
                    <w:rPr>
                      <w:rFonts w:hint="eastAsia" w:ascii="Times New Roman" w:hAnsi="Times New Roman" w:eastAsia="宋体" w:cs="Times New Roman"/>
                      <w:b/>
                      <w:bCs/>
                      <w:color w:val="auto"/>
                      <w:kern w:val="0"/>
                      <w:szCs w:val="21"/>
                      <w:highlight w:val="none"/>
                      <w:lang w:val="en-US" w:eastAsia="zh-CN" w:bidi="ar"/>
                    </w:rPr>
                    <w:t>是否符合</w:t>
                  </w:r>
                </w:p>
              </w:tc>
            </w:tr>
            <w:tr w14:paraId="4BD932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597" w:type="dxa"/>
                  <w:tcBorders>
                    <w:tl2br w:val="nil"/>
                    <w:tr2bl w:val="nil"/>
                  </w:tcBorders>
                  <w:vAlign w:val="center"/>
                </w:tcPr>
                <w:p w14:paraId="6FDDF550">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空间</w:t>
                  </w:r>
                </w:p>
                <w:p w14:paraId="620597BB">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功能</w:t>
                  </w:r>
                </w:p>
                <w:p w14:paraId="07AB99EA">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结构</w:t>
                  </w:r>
                </w:p>
              </w:tc>
              <w:tc>
                <w:tcPr>
                  <w:tcW w:w="3348" w:type="dxa"/>
                  <w:tcBorders>
                    <w:tl2br w:val="nil"/>
                    <w:tr2bl w:val="nil"/>
                  </w:tcBorders>
                  <w:vAlign w:val="center"/>
                </w:tcPr>
                <w:p w14:paraId="5D3C4A7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基地规划按产业基地、展示交易中心、管理商务中心、生活区、研发基地五大块布局，布局以可持续发展为重要原则，东部为产业区、西部为生活区，并采用由北向南滚动开发的模式，相对应规划各项建设用地大体呈南向北带状布局，呈现出可生长的形态。</w:t>
                  </w:r>
                </w:p>
              </w:tc>
              <w:tc>
                <w:tcPr>
                  <w:tcW w:w="2016" w:type="dxa"/>
                  <w:tcBorders>
                    <w:tl2br w:val="nil"/>
                    <w:tr2bl w:val="nil"/>
                  </w:tcBorders>
                  <w:vAlign w:val="center"/>
                </w:tcPr>
                <w:p w14:paraId="5B478673">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本项目位于中关村科技园区通州园金桥科技产业基地规划的东部产业区内，符合基地空间功能结构规划。</w:t>
                  </w:r>
                </w:p>
              </w:tc>
              <w:tc>
                <w:tcPr>
                  <w:tcW w:w="697" w:type="dxa"/>
                  <w:tcBorders>
                    <w:tl2br w:val="nil"/>
                    <w:tr2bl w:val="nil"/>
                  </w:tcBorders>
                  <w:vAlign w:val="center"/>
                </w:tcPr>
                <w:p w14:paraId="20C8A11A">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5C6E66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2006054B">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产业</w:t>
                  </w:r>
                </w:p>
                <w:p w14:paraId="1558795D">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定位</w:t>
                  </w:r>
                </w:p>
                <w:p w14:paraId="31E138B8">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2C9C0168">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基地定位为“中关村能源环保产业总部基地”，重点发展能源环保专业服务业、能源环保制造业环保产业和基地发展相配套的金融、会计、咨询、会展等商务服务。在建设过程中，基地逐步形成以环保新能源、汽车零部件、生物医药和新型都市产业为主导的产业结构，并努力成为高科技领域技术创新、高薪技术产业化、国际合作的新型产业基地和示范园区。</w:t>
                  </w:r>
                </w:p>
              </w:tc>
              <w:tc>
                <w:tcPr>
                  <w:tcW w:w="2016" w:type="dxa"/>
                  <w:tcBorders>
                    <w:tl2br w:val="nil"/>
                    <w:tr2bl w:val="nil"/>
                  </w:tcBorders>
                  <w:vAlign w:val="center"/>
                </w:tcPr>
                <w:p w14:paraId="0D7DF1AF">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本项目从事</w:t>
                  </w:r>
                  <w:r>
                    <w:rPr>
                      <w:rFonts w:hint="eastAsia" w:cs="Times New Roman"/>
                      <w:color w:val="auto"/>
                      <w:kern w:val="0"/>
                      <w:szCs w:val="21"/>
                      <w:highlight w:val="none"/>
                      <w:lang w:val="en-US" w:eastAsia="zh-CN" w:bidi="ar"/>
                    </w:rPr>
                    <w:t>环境</w:t>
                  </w:r>
                  <w:r>
                    <w:rPr>
                      <w:rFonts w:hint="eastAsia" w:ascii="Times New Roman" w:hAnsi="Times New Roman" w:cs="Times New Roman"/>
                      <w:color w:val="auto"/>
                      <w:kern w:val="0"/>
                      <w:szCs w:val="21"/>
                      <w:highlight w:val="none"/>
                      <w:lang w:val="en-US" w:eastAsia="zh-CN" w:bidi="ar"/>
                    </w:rPr>
                    <w:t>检测技术服务，</w:t>
                  </w:r>
                  <w:r>
                    <w:rPr>
                      <w:rFonts w:hint="eastAsia" w:cs="Times New Roman"/>
                      <w:color w:val="auto"/>
                      <w:kern w:val="0"/>
                      <w:szCs w:val="21"/>
                      <w:highlight w:val="none"/>
                      <w:lang w:val="en-US" w:eastAsia="zh-CN" w:bidi="ar"/>
                    </w:rPr>
                    <w:t>属于</w:t>
                  </w:r>
                  <w:r>
                    <w:rPr>
                      <w:rFonts w:hint="eastAsia" w:ascii="Times New Roman" w:hAnsi="Times New Roman" w:cs="Times New Roman"/>
                      <w:color w:val="auto"/>
                      <w:kern w:val="0"/>
                      <w:szCs w:val="21"/>
                      <w:highlight w:val="none"/>
                      <w:lang w:val="en-US" w:eastAsia="zh-CN" w:bidi="ar"/>
                    </w:rPr>
                    <w:t>环保专业服务业</w:t>
                  </w:r>
                  <w:r>
                    <w:rPr>
                      <w:rFonts w:hint="eastAsia" w:cs="Times New Roman"/>
                      <w:color w:val="auto"/>
                      <w:kern w:val="0"/>
                      <w:szCs w:val="21"/>
                      <w:highlight w:val="none"/>
                      <w:lang w:val="en-US" w:eastAsia="zh-CN" w:bidi="ar"/>
                    </w:rPr>
                    <w:t>，</w:t>
                  </w:r>
                  <w:r>
                    <w:rPr>
                      <w:rFonts w:hint="eastAsia" w:ascii="Times New Roman" w:hAnsi="Times New Roman" w:cs="Times New Roman"/>
                      <w:color w:val="auto"/>
                      <w:kern w:val="0"/>
                      <w:szCs w:val="21"/>
                      <w:highlight w:val="none"/>
                      <w:lang w:val="en-US" w:eastAsia="zh-CN" w:bidi="ar"/>
                    </w:rPr>
                    <w:t>符合基地产业定位。</w:t>
                  </w:r>
                </w:p>
                <w:p w14:paraId="3520D913">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697" w:type="dxa"/>
                  <w:tcBorders>
                    <w:tl2br w:val="nil"/>
                    <w:tr2bl w:val="nil"/>
                  </w:tcBorders>
                  <w:vAlign w:val="center"/>
                </w:tcPr>
                <w:p w14:paraId="1BE28754">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3282E3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597" w:type="dxa"/>
                  <w:tcBorders>
                    <w:tl2br w:val="nil"/>
                    <w:tr2bl w:val="nil"/>
                  </w:tcBorders>
                  <w:vAlign w:val="center"/>
                </w:tcPr>
                <w:p w14:paraId="63736DD4">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供水</w:t>
                  </w:r>
                </w:p>
                <w:p w14:paraId="2578A9A9">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494C518D">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规划供水由基地自建水厂、亦庄水厂、地下水和再生水四部分组成，基地现状生产和生活用水仅由基地水厂供给。</w:t>
                  </w:r>
                </w:p>
              </w:tc>
              <w:tc>
                <w:tcPr>
                  <w:tcW w:w="2016" w:type="dxa"/>
                  <w:tcBorders>
                    <w:tl2br w:val="nil"/>
                    <w:tr2bl w:val="nil"/>
                  </w:tcBorders>
                  <w:vAlign w:val="center"/>
                </w:tcPr>
                <w:p w14:paraId="18D89967">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本项目用水均采用市政供水，不自采地下水，符合基地供水规划。</w:t>
                  </w:r>
                </w:p>
              </w:tc>
              <w:tc>
                <w:tcPr>
                  <w:tcW w:w="697" w:type="dxa"/>
                  <w:tcBorders>
                    <w:tl2br w:val="nil"/>
                    <w:tr2bl w:val="nil"/>
                  </w:tcBorders>
                  <w:vAlign w:val="center"/>
                </w:tcPr>
                <w:p w14:paraId="66C8F8EE">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38D93C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78448062">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排水</w:t>
                  </w:r>
                </w:p>
                <w:p w14:paraId="5EA98990">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3611D6CB">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基地内有两座污水处理厂，分别是第一污水处理厂和第三污水处理厂，污水经处理后出水排入</w:t>
                  </w:r>
                  <w:r>
                    <w:rPr>
                      <w:rFonts w:hint="eastAsia" w:cs="Times New Roman"/>
                      <w:color w:val="auto"/>
                      <w:kern w:val="0"/>
                      <w:szCs w:val="21"/>
                      <w:highlight w:val="none"/>
                      <w:lang w:val="en-US" w:eastAsia="zh-CN" w:bidi="ar"/>
                    </w:rPr>
                    <w:t>新凤河</w:t>
                  </w:r>
                  <w:r>
                    <w:rPr>
                      <w:rFonts w:hint="eastAsia" w:ascii="Times New Roman" w:hAnsi="Times New Roman" w:cs="Times New Roman"/>
                      <w:color w:val="auto"/>
                      <w:kern w:val="0"/>
                      <w:szCs w:val="21"/>
                      <w:highlight w:val="none"/>
                      <w:lang w:val="en-US" w:eastAsia="zh-CN" w:bidi="ar"/>
                    </w:rPr>
                    <w:t>，为河道补水，净化河道环境。</w:t>
                  </w:r>
                </w:p>
                <w:p w14:paraId="13DE3845">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2016" w:type="dxa"/>
                  <w:tcBorders>
                    <w:tl2br w:val="nil"/>
                    <w:tr2bl w:val="nil"/>
                  </w:tcBorders>
                  <w:vAlign w:val="center"/>
                </w:tcPr>
                <w:p w14:paraId="5D48E1EE">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生活污水</w:t>
                  </w:r>
                  <w:r>
                    <w:rPr>
                      <w:rFonts w:hint="eastAsia" w:cs="Times New Roman"/>
                      <w:color w:val="auto"/>
                      <w:kern w:val="0"/>
                      <w:szCs w:val="21"/>
                      <w:highlight w:val="none"/>
                      <w:lang w:val="en-US" w:eastAsia="zh-CN" w:bidi="ar"/>
                    </w:rPr>
                    <w:t>、容器第三遍及以后清洗废水、地面清洗废水、高压蒸汽灭菌废水</w:t>
                  </w:r>
                  <w:r>
                    <w:rPr>
                      <w:rFonts w:hint="eastAsia" w:ascii="Times New Roman" w:hAnsi="Times New Roman" w:cs="Times New Roman"/>
                      <w:color w:val="auto"/>
                      <w:kern w:val="0"/>
                      <w:szCs w:val="21"/>
                      <w:highlight w:val="none"/>
                      <w:lang w:val="en-US" w:eastAsia="zh-CN" w:bidi="ar"/>
                    </w:rPr>
                    <w:t>，经市政污水管网进入</w:t>
                  </w:r>
                  <w:r>
                    <w:rPr>
                      <w:rFonts w:hint="eastAsia" w:cs="Times New Roman"/>
                      <w:color w:val="auto"/>
                      <w:kern w:val="0"/>
                      <w:szCs w:val="21"/>
                      <w:highlight w:val="none"/>
                      <w:lang w:val="en-US" w:eastAsia="zh-CN" w:bidi="ar"/>
                    </w:rPr>
                    <w:t>金桥基地第一污水处理厂</w:t>
                  </w:r>
                  <w:r>
                    <w:rPr>
                      <w:rFonts w:hint="eastAsia" w:ascii="Times New Roman" w:hAnsi="Times New Roman" w:cs="Times New Roman"/>
                      <w:color w:val="auto"/>
                      <w:kern w:val="0"/>
                      <w:szCs w:val="21"/>
                      <w:highlight w:val="none"/>
                      <w:lang w:val="en-US" w:eastAsia="zh-CN" w:bidi="ar"/>
                    </w:rPr>
                    <w:t>处理，符合基地排水规划。</w:t>
                  </w:r>
                </w:p>
              </w:tc>
              <w:tc>
                <w:tcPr>
                  <w:tcW w:w="697" w:type="dxa"/>
                  <w:tcBorders>
                    <w:tl2br w:val="nil"/>
                    <w:tr2bl w:val="nil"/>
                  </w:tcBorders>
                  <w:vAlign w:val="center"/>
                </w:tcPr>
                <w:p w14:paraId="77DF9BAC">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7F0DEC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597" w:type="dxa"/>
                  <w:tcBorders>
                    <w:tl2br w:val="nil"/>
                    <w:tr2bl w:val="nil"/>
                  </w:tcBorders>
                  <w:vAlign w:val="center"/>
                </w:tcPr>
                <w:p w14:paraId="6851ADA9">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供热</w:t>
                  </w:r>
                </w:p>
              </w:tc>
              <w:tc>
                <w:tcPr>
                  <w:tcW w:w="3348" w:type="dxa"/>
                  <w:tcBorders>
                    <w:tl2br w:val="nil"/>
                    <w:tr2bl w:val="nil"/>
                  </w:tcBorders>
                  <w:vAlign w:val="center"/>
                </w:tcPr>
                <w:p w14:paraId="3BDD13C6">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基地采用集中燃气锅炉房供热，供热能源采用天燃气。根据园区热负荷分布，供热划分为</w:t>
                  </w:r>
                  <w:r>
                    <w:rPr>
                      <w:rFonts w:hint="default" w:ascii="Times New Roman" w:hAnsi="Times New Roman" w:cs="Times New Roman"/>
                      <w:color w:val="auto"/>
                      <w:kern w:val="0"/>
                      <w:szCs w:val="21"/>
                      <w:highlight w:val="none"/>
                      <w:lang w:val="en-US" w:eastAsia="zh-CN" w:bidi="ar"/>
                    </w:rPr>
                    <w:t>9</w:t>
                  </w:r>
                  <w:r>
                    <w:rPr>
                      <w:rFonts w:hint="eastAsia" w:ascii="Times New Roman" w:hAnsi="Times New Roman" w:cs="Times New Roman"/>
                      <w:color w:val="auto"/>
                      <w:kern w:val="0"/>
                      <w:szCs w:val="21"/>
                      <w:highlight w:val="none"/>
                      <w:lang w:val="en-US" w:eastAsia="zh-CN" w:bidi="ar"/>
                    </w:rPr>
                    <w:t>个供热区，规划设置</w:t>
                  </w:r>
                  <w:r>
                    <w:rPr>
                      <w:rFonts w:hint="default" w:ascii="Times New Roman" w:hAnsi="Times New Roman" w:cs="Times New Roman"/>
                      <w:color w:val="auto"/>
                      <w:kern w:val="0"/>
                      <w:szCs w:val="21"/>
                      <w:highlight w:val="none"/>
                      <w:lang w:val="en-US" w:eastAsia="zh-CN" w:bidi="ar"/>
                    </w:rPr>
                    <w:t>9</w:t>
                  </w:r>
                  <w:r>
                    <w:rPr>
                      <w:rFonts w:hint="eastAsia" w:ascii="Times New Roman" w:hAnsi="Times New Roman" w:cs="Times New Roman"/>
                      <w:color w:val="auto"/>
                      <w:kern w:val="0"/>
                      <w:szCs w:val="21"/>
                      <w:highlight w:val="none"/>
                      <w:lang w:val="en-US" w:eastAsia="zh-CN" w:bidi="ar"/>
                    </w:rPr>
                    <w:t>座热水锅炉房。</w:t>
                  </w:r>
                </w:p>
              </w:tc>
              <w:tc>
                <w:tcPr>
                  <w:tcW w:w="2016" w:type="dxa"/>
                  <w:tcBorders>
                    <w:tl2br w:val="nil"/>
                    <w:tr2bl w:val="nil"/>
                  </w:tcBorders>
                  <w:vAlign w:val="center"/>
                </w:tcPr>
                <w:p w14:paraId="02F33A35">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本项目冬季供暖</w:t>
                  </w:r>
                  <w:r>
                    <w:rPr>
                      <w:rFonts w:hint="eastAsia" w:cs="Times New Roman"/>
                      <w:color w:val="auto"/>
                      <w:kern w:val="0"/>
                      <w:szCs w:val="21"/>
                      <w:highlight w:val="none"/>
                      <w:lang w:val="en-US" w:eastAsia="zh-CN" w:bidi="ar"/>
                    </w:rPr>
                    <w:t>采用市政集中供热</w:t>
                  </w:r>
                  <w:r>
                    <w:rPr>
                      <w:rFonts w:hint="eastAsia" w:ascii="Times New Roman" w:hAnsi="Times New Roman" w:cs="Times New Roman"/>
                      <w:color w:val="auto"/>
                      <w:kern w:val="0"/>
                      <w:szCs w:val="21"/>
                      <w:highlight w:val="none"/>
                      <w:lang w:val="en-US" w:eastAsia="zh-CN" w:bidi="ar"/>
                    </w:rPr>
                    <w:t>。</w:t>
                  </w:r>
                </w:p>
              </w:tc>
              <w:tc>
                <w:tcPr>
                  <w:tcW w:w="697" w:type="dxa"/>
                  <w:tcBorders>
                    <w:tl2br w:val="nil"/>
                    <w:tr2bl w:val="nil"/>
                  </w:tcBorders>
                  <w:vAlign w:val="center"/>
                </w:tcPr>
                <w:p w14:paraId="092128FC">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5230B7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97" w:type="dxa"/>
                  <w:tcBorders>
                    <w:tl2br w:val="nil"/>
                    <w:tr2bl w:val="nil"/>
                  </w:tcBorders>
                  <w:vAlign w:val="center"/>
                </w:tcPr>
                <w:p w14:paraId="3C51397C">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大气</w:t>
                  </w:r>
                </w:p>
                <w:p w14:paraId="258F40A7">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污染</w:t>
                  </w:r>
                </w:p>
                <w:p w14:paraId="04A4DDB5">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防治</w:t>
                  </w:r>
                </w:p>
                <w:p w14:paraId="5FC577FB">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措施</w:t>
                  </w:r>
                </w:p>
              </w:tc>
              <w:tc>
                <w:tcPr>
                  <w:tcW w:w="3348" w:type="dxa"/>
                  <w:tcBorders>
                    <w:tl2br w:val="nil"/>
                    <w:tr2bl w:val="nil"/>
                  </w:tcBorders>
                  <w:vAlign w:val="center"/>
                </w:tcPr>
                <w:p w14:paraId="03A611D7">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加强对入区项目的环境管理，严格污染治理措施，控制园区大气污染物排放总量；禁止铸造等重金属污染的生产工序进入园区；积极进行绿化建设，提高绿地覆盖率，防治地面扬尘；加强施工期对现场、道路、堆场的管理；加强园区环境清扫，减少二次扬尘。</w:t>
                  </w:r>
                </w:p>
              </w:tc>
              <w:tc>
                <w:tcPr>
                  <w:tcW w:w="2016" w:type="dxa"/>
                  <w:tcBorders>
                    <w:tl2br w:val="nil"/>
                    <w:tr2bl w:val="nil"/>
                  </w:tcBorders>
                  <w:vAlign w:val="center"/>
                </w:tcPr>
                <w:p w14:paraId="39BDAE0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本项目不涉及铸造等重污染的生产工序；项目产生的废气能够实现达标排放；符合基地大气污染防治要求。</w:t>
                  </w:r>
                </w:p>
              </w:tc>
              <w:tc>
                <w:tcPr>
                  <w:tcW w:w="697" w:type="dxa"/>
                  <w:tcBorders>
                    <w:tl2br w:val="nil"/>
                    <w:tr2bl w:val="nil"/>
                  </w:tcBorders>
                  <w:vAlign w:val="center"/>
                </w:tcPr>
                <w:p w14:paraId="2CFCC1C7">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174921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597" w:type="dxa"/>
                  <w:tcBorders>
                    <w:tl2br w:val="nil"/>
                    <w:tr2bl w:val="nil"/>
                  </w:tcBorders>
                  <w:vAlign w:val="center"/>
                </w:tcPr>
                <w:p w14:paraId="47D34D35">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水污</w:t>
                  </w:r>
                </w:p>
                <w:p w14:paraId="69FFC39A">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染防</w:t>
                  </w:r>
                </w:p>
                <w:p w14:paraId="2FD496D6">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治措</w:t>
                  </w:r>
                </w:p>
                <w:p w14:paraId="6CE529E4">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施</w:t>
                  </w:r>
                </w:p>
                <w:p w14:paraId="642E2640">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408061E3">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对入区项目严格把关，优先选择轻污染、节水型产业入园；采用单项治理和综合治理相结合、局部分散处理与园区集中处理相结合的方针；与园区建设同步落实园区污水管网和污水处理厂的规划、设计，确保污水处理达标后排往收纳水体。</w:t>
                  </w:r>
                </w:p>
              </w:tc>
              <w:tc>
                <w:tcPr>
                  <w:tcW w:w="2016" w:type="dxa"/>
                  <w:tcBorders>
                    <w:tl2br w:val="nil"/>
                    <w:tr2bl w:val="nil"/>
                  </w:tcBorders>
                  <w:vAlign w:val="center"/>
                </w:tcPr>
                <w:p w14:paraId="55BEB93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本项目不属于高污染、高耗水行业；</w:t>
                  </w:r>
                  <w:r>
                    <w:rPr>
                      <w:rFonts w:hint="eastAsia" w:cs="Times New Roman"/>
                      <w:color w:val="auto"/>
                      <w:kern w:val="0"/>
                      <w:szCs w:val="21"/>
                      <w:highlight w:val="none"/>
                      <w:lang w:val="en-US" w:eastAsia="zh-CN" w:bidi="ar"/>
                    </w:rPr>
                    <w:t>运行过程废水经园区化粪池处理后</w:t>
                  </w:r>
                  <w:r>
                    <w:rPr>
                      <w:rFonts w:hint="eastAsia" w:ascii="Times New Roman" w:hAnsi="Times New Roman" w:cs="Times New Roman"/>
                      <w:color w:val="auto"/>
                      <w:kern w:val="0"/>
                      <w:szCs w:val="21"/>
                      <w:highlight w:val="none"/>
                      <w:lang w:val="en-US" w:eastAsia="zh-CN" w:bidi="ar"/>
                    </w:rPr>
                    <w:t>进入</w:t>
                  </w:r>
                  <w:r>
                    <w:rPr>
                      <w:rFonts w:hint="eastAsia" w:cs="Times New Roman"/>
                      <w:color w:val="auto"/>
                      <w:kern w:val="0"/>
                      <w:szCs w:val="21"/>
                      <w:highlight w:val="none"/>
                      <w:lang w:val="en-US" w:eastAsia="zh-CN" w:bidi="ar"/>
                    </w:rPr>
                    <w:t>金桥基地第一污水处理厂</w:t>
                  </w:r>
                  <w:r>
                    <w:rPr>
                      <w:rFonts w:hint="eastAsia" w:ascii="Times New Roman" w:hAnsi="Times New Roman" w:cs="Times New Roman"/>
                      <w:color w:val="auto"/>
                      <w:kern w:val="0"/>
                      <w:szCs w:val="21"/>
                      <w:highlight w:val="none"/>
                      <w:lang w:val="en-US" w:eastAsia="zh-CN" w:bidi="ar"/>
                    </w:rPr>
                    <w:t>处理，符合基地水污染防治要求。</w:t>
                  </w:r>
                </w:p>
              </w:tc>
              <w:tc>
                <w:tcPr>
                  <w:tcW w:w="697" w:type="dxa"/>
                  <w:tcBorders>
                    <w:tl2br w:val="nil"/>
                    <w:tr2bl w:val="nil"/>
                  </w:tcBorders>
                  <w:vAlign w:val="center"/>
                </w:tcPr>
                <w:p w14:paraId="778D9750">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7D89ED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3D158ABE">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声环</w:t>
                  </w:r>
                </w:p>
                <w:p w14:paraId="7FBD3B82">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境</w:t>
                  </w:r>
                </w:p>
                <w:p w14:paraId="40C61F89">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7320C07E">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园区工业用地内的工厂合理布局；产业园合理布局，环境噪声敏感建筑设置在远离道路、锅炉房等噪声污染的地方；在产业园内道路附近建设噪声敏感建筑物，设置足够的防护距离。</w:t>
                  </w:r>
                </w:p>
              </w:tc>
              <w:tc>
                <w:tcPr>
                  <w:tcW w:w="2016" w:type="dxa"/>
                  <w:tcBorders>
                    <w:tl2br w:val="nil"/>
                    <w:tr2bl w:val="nil"/>
                  </w:tcBorders>
                  <w:vAlign w:val="center"/>
                </w:tcPr>
                <w:p w14:paraId="191AF922">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本项目选用低噪音设备，采取降噪措施，确保厂界噪声达标排放，符合基地声环境要求。</w:t>
                  </w:r>
                </w:p>
              </w:tc>
              <w:tc>
                <w:tcPr>
                  <w:tcW w:w="697" w:type="dxa"/>
                  <w:tcBorders>
                    <w:tl2br w:val="nil"/>
                    <w:tr2bl w:val="nil"/>
                  </w:tcBorders>
                  <w:vAlign w:val="center"/>
                </w:tcPr>
                <w:p w14:paraId="2D3BEFB4">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59AA54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597" w:type="dxa"/>
                  <w:tcBorders>
                    <w:tl2br w:val="nil"/>
                    <w:tr2bl w:val="nil"/>
                  </w:tcBorders>
                  <w:vAlign w:val="center"/>
                </w:tcPr>
                <w:p w14:paraId="27D0FEE6">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固体</w:t>
                  </w:r>
                </w:p>
                <w:p w14:paraId="338FED4E">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废物</w:t>
                  </w:r>
                </w:p>
              </w:tc>
              <w:tc>
                <w:tcPr>
                  <w:tcW w:w="3348" w:type="dxa"/>
                  <w:tcBorders>
                    <w:tl2br w:val="nil"/>
                    <w:tr2bl w:val="nil"/>
                  </w:tcBorders>
                  <w:vAlign w:val="center"/>
                </w:tcPr>
                <w:p w14:paraId="7AF07A11">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设置园区环卫管理站，并设置垃圾收集转运站。</w:t>
                  </w:r>
                </w:p>
              </w:tc>
              <w:tc>
                <w:tcPr>
                  <w:tcW w:w="2016" w:type="dxa"/>
                  <w:tcBorders>
                    <w:tl2br w:val="nil"/>
                    <w:tr2bl w:val="nil"/>
                  </w:tcBorders>
                  <w:vAlign w:val="center"/>
                </w:tcPr>
                <w:p w14:paraId="6600D3A5">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生活垃圾统一收集后由环卫部门期清运。</w:t>
                  </w:r>
                </w:p>
              </w:tc>
              <w:tc>
                <w:tcPr>
                  <w:tcW w:w="697" w:type="dxa"/>
                  <w:tcBorders>
                    <w:tl2br w:val="nil"/>
                    <w:tr2bl w:val="nil"/>
                  </w:tcBorders>
                  <w:vAlign w:val="center"/>
                </w:tcPr>
                <w:p w14:paraId="1FC07277">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22BD4A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6658" w:type="dxa"/>
                  <w:gridSpan w:val="4"/>
                  <w:tcBorders>
                    <w:tl2br w:val="nil"/>
                    <w:tr2bl w:val="nil"/>
                  </w:tcBorders>
                  <w:vAlign w:val="center"/>
                </w:tcPr>
                <w:p w14:paraId="13D3C990">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b/>
                      <w:bCs/>
                      <w:color w:val="auto"/>
                      <w:kern w:val="0"/>
                      <w:szCs w:val="21"/>
                      <w:highlight w:val="none"/>
                      <w:lang w:val="en-US" w:eastAsia="zh-CN" w:bidi="ar"/>
                    </w:rPr>
                    <w:t>与规划环评审查意见的符合性</w:t>
                  </w:r>
                </w:p>
              </w:tc>
            </w:tr>
            <w:tr w14:paraId="1C5F40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97" w:type="dxa"/>
                  <w:tcBorders>
                    <w:tl2br w:val="nil"/>
                    <w:tr2bl w:val="nil"/>
                  </w:tcBorders>
                  <w:shd w:val="clear" w:color="auto" w:fill="auto"/>
                  <w:vAlign w:val="center"/>
                </w:tcPr>
                <w:p w14:paraId="4265248A">
                  <w:pPr>
                    <w:widowControl/>
                    <w:spacing w:line="240" w:lineRule="auto"/>
                    <w:jc w:val="center"/>
                    <w:rPr>
                      <w:rFonts w:hint="eastAsia"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Cs w:val="21"/>
                      <w:highlight w:val="none"/>
                      <w:lang w:bidi="ar"/>
                    </w:rPr>
                    <w:t>类别</w:t>
                  </w:r>
                </w:p>
              </w:tc>
              <w:tc>
                <w:tcPr>
                  <w:tcW w:w="3348" w:type="dxa"/>
                  <w:tcBorders>
                    <w:tl2br w:val="nil"/>
                    <w:tr2bl w:val="nil"/>
                  </w:tcBorders>
                  <w:shd w:val="clear" w:color="auto" w:fill="auto"/>
                  <w:vAlign w:val="center"/>
                </w:tcPr>
                <w:p w14:paraId="7DA055A2">
                  <w:pPr>
                    <w:widowControl/>
                    <w:spacing w:line="240" w:lineRule="auto"/>
                    <w:jc w:val="center"/>
                    <w:rPr>
                      <w:rFonts w:hint="eastAsia"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cs="Times New Roman"/>
                      <w:b/>
                      <w:bCs/>
                      <w:color w:val="auto"/>
                      <w:kern w:val="0"/>
                      <w:szCs w:val="21"/>
                      <w:highlight w:val="none"/>
                      <w:lang w:val="en-US" w:eastAsia="zh-CN" w:bidi="ar"/>
                    </w:rPr>
                    <w:t>规划环评审查意见</w:t>
                  </w:r>
                  <w:r>
                    <w:rPr>
                      <w:rFonts w:hint="eastAsia" w:ascii="Times New Roman" w:hAnsi="Times New Roman" w:eastAsia="宋体" w:cs="Times New Roman"/>
                      <w:b/>
                      <w:bCs/>
                      <w:color w:val="auto"/>
                      <w:kern w:val="0"/>
                      <w:szCs w:val="21"/>
                      <w:highlight w:val="none"/>
                      <w:lang w:val="en-US" w:eastAsia="zh-CN" w:bidi="ar"/>
                    </w:rPr>
                    <w:t>相关内容</w:t>
                  </w:r>
                </w:p>
              </w:tc>
              <w:tc>
                <w:tcPr>
                  <w:tcW w:w="2016" w:type="dxa"/>
                  <w:tcBorders>
                    <w:tl2br w:val="nil"/>
                    <w:tr2bl w:val="nil"/>
                  </w:tcBorders>
                  <w:shd w:val="clear" w:color="auto" w:fill="auto"/>
                  <w:vAlign w:val="center"/>
                </w:tcPr>
                <w:p w14:paraId="39A5E659">
                  <w:pPr>
                    <w:widowControl/>
                    <w:spacing w:line="240" w:lineRule="auto"/>
                    <w:jc w:val="center"/>
                    <w:rPr>
                      <w:rFonts w:hint="eastAsia" w:ascii="Times New Roman" w:hAnsi="Times New Roman" w:eastAsia="宋体" w:cs="Times New Roman"/>
                      <w:b/>
                      <w:bCs/>
                      <w:color w:val="auto"/>
                      <w:kern w:val="0"/>
                      <w:szCs w:val="21"/>
                      <w:highlight w:val="none"/>
                      <w:lang w:val="en-US" w:eastAsia="zh-CN" w:bidi="ar"/>
                    </w:rPr>
                  </w:pPr>
                  <w:r>
                    <w:rPr>
                      <w:rFonts w:hint="eastAsia" w:ascii="Times New Roman" w:hAnsi="Times New Roman" w:eastAsia="宋体" w:cs="Times New Roman"/>
                      <w:b/>
                      <w:bCs/>
                      <w:color w:val="auto"/>
                      <w:kern w:val="0"/>
                      <w:szCs w:val="21"/>
                      <w:highlight w:val="none"/>
                      <w:lang w:val="en-US" w:eastAsia="zh-CN" w:bidi="ar"/>
                    </w:rPr>
                    <w:t>本</w:t>
                  </w:r>
                  <w:r>
                    <w:rPr>
                      <w:rFonts w:hint="default" w:ascii="Times New Roman" w:hAnsi="Times New Roman" w:eastAsia="宋体" w:cs="Times New Roman"/>
                      <w:b/>
                      <w:bCs/>
                      <w:color w:val="auto"/>
                      <w:kern w:val="0"/>
                      <w:szCs w:val="21"/>
                      <w:highlight w:val="none"/>
                      <w:lang w:bidi="ar"/>
                    </w:rPr>
                    <w:t>项目</w:t>
                  </w:r>
                  <w:r>
                    <w:rPr>
                      <w:rFonts w:hint="eastAsia" w:ascii="Times New Roman" w:hAnsi="Times New Roman" w:eastAsia="宋体" w:cs="Times New Roman"/>
                      <w:b/>
                      <w:bCs/>
                      <w:color w:val="auto"/>
                      <w:kern w:val="0"/>
                      <w:szCs w:val="21"/>
                      <w:highlight w:val="none"/>
                      <w:lang w:val="en-US" w:eastAsia="zh-CN" w:bidi="ar"/>
                    </w:rPr>
                    <w:t>符合性</w:t>
                  </w:r>
                </w:p>
                <w:p w14:paraId="790C4FAE">
                  <w:pPr>
                    <w:widowControl/>
                    <w:spacing w:line="240" w:lineRule="auto"/>
                    <w:jc w:val="center"/>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Cs w:val="21"/>
                      <w:highlight w:val="none"/>
                      <w:lang w:val="en-US" w:eastAsia="zh-CN" w:bidi="ar"/>
                    </w:rPr>
                    <w:t>分析</w:t>
                  </w:r>
                </w:p>
              </w:tc>
              <w:tc>
                <w:tcPr>
                  <w:tcW w:w="697" w:type="dxa"/>
                  <w:tcBorders>
                    <w:tl2br w:val="nil"/>
                    <w:tr2bl w:val="nil"/>
                  </w:tcBorders>
                  <w:shd w:val="clear" w:color="auto" w:fill="auto"/>
                  <w:vAlign w:val="center"/>
                </w:tcPr>
                <w:p w14:paraId="1654D3B6">
                  <w:pPr>
                    <w:widowControl/>
                    <w:spacing w:line="240" w:lineRule="auto"/>
                    <w:jc w:val="center"/>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Cs w:val="21"/>
                      <w:highlight w:val="none"/>
                      <w:lang w:val="en-US" w:eastAsia="zh-CN" w:bidi="ar"/>
                    </w:rPr>
                    <w:t>是否符合</w:t>
                  </w:r>
                </w:p>
              </w:tc>
            </w:tr>
            <w:tr w14:paraId="2F5A90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7" w:type="dxa"/>
                  <w:tcBorders>
                    <w:tl2br w:val="nil"/>
                    <w:tr2bl w:val="nil"/>
                  </w:tcBorders>
                  <w:vAlign w:val="center"/>
                </w:tcPr>
                <w:p w14:paraId="66E06AE3">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大气</w:t>
                  </w:r>
                </w:p>
                <w:p w14:paraId="3A742DDC">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污染</w:t>
                  </w:r>
                </w:p>
                <w:p w14:paraId="7EDE7B57">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防治</w:t>
                  </w:r>
                </w:p>
                <w:p w14:paraId="5332B82E">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措施</w:t>
                  </w:r>
                </w:p>
              </w:tc>
              <w:tc>
                <w:tcPr>
                  <w:tcW w:w="3348" w:type="dxa"/>
                  <w:tcBorders>
                    <w:tl2br w:val="nil"/>
                    <w:tr2bl w:val="nil"/>
                  </w:tcBorders>
                  <w:vAlign w:val="center"/>
                </w:tcPr>
                <w:p w14:paraId="2296E7B5">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）园区内新建的生产、采暖设施采用清洁能源，燃气锅炉须达到北京市《锅炉污染物综合排放标准》（</w:t>
                  </w:r>
                  <w:r>
                    <w:rPr>
                      <w:rFonts w:hint="default" w:ascii="Times New Roman" w:hAnsi="Times New Roman" w:cs="Times New Roman"/>
                      <w:color w:val="auto"/>
                      <w:kern w:val="0"/>
                      <w:szCs w:val="21"/>
                      <w:highlight w:val="none"/>
                      <w:lang w:val="en-US" w:eastAsia="zh-CN" w:bidi="ar"/>
                    </w:rPr>
                    <w:t>DB11/139-2002</w:t>
                  </w:r>
                  <w:r>
                    <w:rPr>
                      <w:rFonts w:hint="eastAsia" w:ascii="Times New Roman" w:hAnsi="Times New Roman" w:cs="Times New Roman"/>
                      <w:color w:val="auto"/>
                      <w:kern w:val="0"/>
                      <w:szCs w:val="21"/>
                      <w:highlight w:val="none"/>
                      <w:lang w:val="en-US" w:eastAsia="zh-CN" w:bidi="ar"/>
                    </w:rPr>
                    <w:t>）中的限值；</w:t>
                  </w:r>
                </w:p>
                <w:p w14:paraId="4B4B3E8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2</w:t>
                  </w:r>
                  <w:r>
                    <w:rPr>
                      <w:rFonts w:hint="eastAsia" w:ascii="Times New Roman" w:hAnsi="Times New Roman" w:cs="Times New Roman"/>
                      <w:color w:val="auto"/>
                      <w:kern w:val="0"/>
                      <w:szCs w:val="21"/>
                      <w:highlight w:val="none"/>
                      <w:lang w:val="en-US" w:eastAsia="zh-CN" w:bidi="ar"/>
                    </w:rPr>
                    <w:t>）施工期间须执行《北京市建设工程施工现场环境保护标准》（京建施</w:t>
                  </w:r>
                  <w:r>
                    <w:rPr>
                      <w:rFonts w:hint="default" w:ascii="Times New Roman" w:hAnsi="Times New Roman" w:cs="Times New Roman"/>
                      <w:color w:val="auto"/>
                      <w:kern w:val="0"/>
                      <w:szCs w:val="21"/>
                      <w:highlight w:val="none"/>
                      <w:lang w:val="en-US" w:eastAsia="zh-CN" w:bidi="ar"/>
                    </w:rPr>
                    <w:t>[2003]3</w:t>
                  </w:r>
                  <w:r>
                    <w:rPr>
                      <w:rFonts w:hint="eastAsia" w:ascii="Times New Roman" w:hAnsi="Times New Roman" w:cs="Times New Roman"/>
                      <w:color w:val="auto"/>
                      <w:kern w:val="0"/>
                      <w:szCs w:val="21"/>
                      <w:highlight w:val="none"/>
                      <w:lang w:val="en-US" w:eastAsia="zh-CN" w:bidi="ar"/>
                    </w:rPr>
                    <w:t>号）中的规定，做好防尘降尘工作。</w:t>
                  </w:r>
                </w:p>
              </w:tc>
              <w:tc>
                <w:tcPr>
                  <w:tcW w:w="2016" w:type="dxa"/>
                  <w:tcBorders>
                    <w:tl2br w:val="nil"/>
                    <w:tr2bl w:val="nil"/>
                  </w:tcBorders>
                  <w:vAlign w:val="center"/>
                </w:tcPr>
                <w:p w14:paraId="6E507B36">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、本项目冬季</w:t>
                  </w:r>
                  <w:r>
                    <w:rPr>
                      <w:rFonts w:hint="eastAsia" w:cs="Times New Roman"/>
                      <w:color w:val="auto"/>
                      <w:kern w:val="0"/>
                      <w:szCs w:val="21"/>
                      <w:highlight w:val="none"/>
                      <w:lang w:val="en-US" w:eastAsia="zh-CN" w:bidi="ar"/>
                    </w:rPr>
                    <w:t>采用市政集中供热</w:t>
                  </w:r>
                  <w:r>
                    <w:rPr>
                      <w:rFonts w:hint="eastAsia" w:ascii="Times New Roman" w:hAnsi="Times New Roman" w:cs="Times New Roman"/>
                      <w:color w:val="auto"/>
                      <w:kern w:val="0"/>
                      <w:szCs w:val="21"/>
                      <w:highlight w:val="none"/>
                      <w:lang w:val="en-US" w:eastAsia="zh-CN" w:bidi="ar"/>
                    </w:rPr>
                    <w:t>，不涉及锅炉烟气排放；</w:t>
                  </w:r>
                </w:p>
                <w:p w14:paraId="46C85EA5">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2</w:t>
                  </w:r>
                  <w:r>
                    <w:rPr>
                      <w:rFonts w:hint="eastAsia" w:ascii="Times New Roman" w:hAnsi="Times New Roman" w:cs="Times New Roman"/>
                      <w:color w:val="auto"/>
                      <w:kern w:val="0"/>
                      <w:szCs w:val="21"/>
                      <w:highlight w:val="none"/>
                      <w:lang w:val="en-US" w:eastAsia="zh-CN" w:bidi="ar"/>
                    </w:rPr>
                    <w:t>、项目使用</w:t>
                  </w:r>
                  <w:r>
                    <w:rPr>
                      <w:rFonts w:hint="eastAsia" w:cs="Times New Roman"/>
                      <w:color w:val="auto"/>
                      <w:kern w:val="0"/>
                      <w:szCs w:val="21"/>
                      <w:highlight w:val="none"/>
                      <w:lang w:val="en-US" w:eastAsia="zh-CN" w:bidi="ar"/>
                    </w:rPr>
                    <w:t>现有</w:t>
                  </w:r>
                  <w:r>
                    <w:rPr>
                      <w:rFonts w:hint="eastAsia" w:ascii="Times New Roman" w:hAnsi="Times New Roman" w:cs="Times New Roman"/>
                      <w:color w:val="auto"/>
                      <w:kern w:val="0"/>
                      <w:szCs w:val="21"/>
                      <w:highlight w:val="none"/>
                      <w:lang w:val="en-US" w:eastAsia="zh-CN" w:bidi="ar"/>
                    </w:rPr>
                    <w:t>厂房，仪器设备安装过程中严格对施工现场进行管理；符合大气污染防治要求。</w:t>
                  </w:r>
                </w:p>
              </w:tc>
              <w:tc>
                <w:tcPr>
                  <w:tcW w:w="697" w:type="dxa"/>
                  <w:tcBorders>
                    <w:tl2br w:val="nil"/>
                    <w:tr2bl w:val="nil"/>
                  </w:tcBorders>
                  <w:vAlign w:val="center"/>
                </w:tcPr>
                <w:p w14:paraId="0940CD0F">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687F6B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15CB1660">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水污</w:t>
                  </w:r>
                </w:p>
                <w:p w14:paraId="1D294A83">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染防</w:t>
                  </w:r>
                </w:p>
                <w:p w14:paraId="5BFCA6BA">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治措</w:t>
                  </w:r>
                </w:p>
                <w:p w14:paraId="7C4151AE">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施</w:t>
                  </w:r>
                </w:p>
                <w:p w14:paraId="3BF03CCF">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2F8B5AA9">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园区内须建设完善的雨、污分流系统。园区生活污水和生产废水排入园区集中污水处理厂，经处理后的污水排入新凤河，排放执行《北京市水污染物排放标准》（试行）中“排入地表水体”新建三级标准。</w:t>
                  </w:r>
                </w:p>
              </w:tc>
              <w:tc>
                <w:tcPr>
                  <w:tcW w:w="2016" w:type="dxa"/>
                  <w:tcBorders>
                    <w:tl2br w:val="nil"/>
                    <w:tr2bl w:val="nil"/>
                  </w:tcBorders>
                  <w:vAlign w:val="center"/>
                </w:tcPr>
                <w:p w14:paraId="0475AFEE">
                  <w:pPr>
                    <w:keepNext w:val="0"/>
                    <w:keepLines w:val="0"/>
                    <w:pageBreakBefore w:val="0"/>
                    <w:widowControl/>
                    <w:kinsoku/>
                    <w:wordWrap w:val="0"/>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本项目污水经化粪池预处理后经市政污水管网排入金桥基地第一污水处理厂，符合北京市《水污染物综合排放标准》（DB11/3072013）中“排入公共污水处理系统的水污染物排放限值”要求，符合水污染防治要求。</w:t>
                  </w:r>
                </w:p>
              </w:tc>
              <w:tc>
                <w:tcPr>
                  <w:tcW w:w="697" w:type="dxa"/>
                  <w:tcBorders>
                    <w:tl2br w:val="nil"/>
                    <w:tr2bl w:val="nil"/>
                  </w:tcBorders>
                  <w:vAlign w:val="center"/>
                </w:tcPr>
                <w:p w14:paraId="090DFCEB">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57BEC7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74E56590">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声环</w:t>
                  </w:r>
                </w:p>
                <w:p w14:paraId="7685C61A">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境</w:t>
                  </w:r>
                </w:p>
                <w:p w14:paraId="680EFA90">
                  <w:pPr>
                    <w:widowControl/>
                    <w:spacing w:line="240" w:lineRule="auto"/>
                    <w:jc w:val="center"/>
                    <w:rPr>
                      <w:rFonts w:hint="default" w:ascii="Times New Roman" w:hAnsi="Times New Roman" w:cs="Times New Roman"/>
                      <w:color w:val="auto"/>
                      <w:kern w:val="0"/>
                      <w:szCs w:val="21"/>
                      <w:highlight w:val="none"/>
                      <w:lang w:val="en-US" w:eastAsia="zh-CN" w:bidi="ar"/>
                    </w:rPr>
                  </w:pPr>
                </w:p>
              </w:tc>
              <w:tc>
                <w:tcPr>
                  <w:tcW w:w="3348" w:type="dxa"/>
                  <w:tcBorders>
                    <w:tl2br w:val="nil"/>
                    <w:tr2bl w:val="nil"/>
                  </w:tcBorders>
                  <w:vAlign w:val="center"/>
                </w:tcPr>
                <w:p w14:paraId="461F8FDA">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调压站、燃气锅炉等设备须采取降噪措施，厂界噪声执行《工业企业厂界噪声标准》（</w:t>
                  </w:r>
                  <w:r>
                    <w:rPr>
                      <w:rFonts w:hint="default" w:ascii="Times New Roman" w:hAnsi="Times New Roman" w:cs="Times New Roman"/>
                      <w:color w:val="auto"/>
                      <w:kern w:val="0"/>
                      <w:szCs w:val="21"/>
                      <w:highlight w:val="none"/>
                      <w:lang w:val="en-US" w:eastAsia="zh-CN" w:bidi="ar"/>
                    </w:rPr>
                    <w:t>GB12348-90</w:t>
                  </w:r>
                  <w:r>
                    <w:rPr>
                      <w:rFonts w:hint="eastAsia" w:ascii="Times New Roman" w:hAnsi="Times New Roman" w:cs="Times New Roman"/>
                      <w:color w:val="auto"/>
                      <w:kern w:val="0"/>
                      <w:szCs w:val="21"/>
                      <w:highlight w:val="none"/>
                      <w:lang w:val="en-US" w:eastAsia="zh-CN" w:bidi="ar"/>
                    </w:rPr>
                    <w:t>）中三类标准。</w:t>
                  </w:r>
                </w:p>
                <w:p w14:paraId="02551C89">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w:t>
                  </w:r>
                  <w:r>
                    <w:rPr>
                      <w:rFonts w:hint="eastAsia" w:ascii="Times New Roman" w:hAnsi="Times New Roman" w:cs="Times New Roman"/>
                      <w:color w:val="auto"/>
                      <w:kern w:val="0"/>
                      <w:szCs w:val="21"/>
                      <w:highlight w:val="none"/>
                      <w:lang w:val="en-US" w:eastAsia="zh-CN" w:bidi="ar"/>
                    </w:rPr>
                    <w:t>为减少六环路居民的噪声影响，六环路南侧</w:t>
                  </w:r>
                  <w:r>
                    <w:rPr>
                      <w:rFonts w:hint="default" w:ascii="Times New Roman" w:hAnsi="Times New Roman" w:cs="Times New Roman"/>
                      <w:color w:val="auto"/>
                      <w:kern w:val="0"/>
                      <w:szCs w:val="21"/>
                      <w:highlight w:val="none"/>
                      <w:lang w:val="en-US" w:eastAsia="zh-CN" w:bidi="ar"/>
                    </w:rPr>
                    <w:t>100</w:t>
                  </w:r>
                  <w:r>
                    <w:rPr>
                      <w:rFonts w:hint="eastAsia" w:ascii="Times New Roman" w:hAnsi="Times New Roman" w:cs="Times New Roman"/>
                      <w:color w:val="auto"/>
                      <w:kern w:val="0"/>
                      <w:szCs w:val="21"/>
                      <w:highlight w:val="none"/>
                      <w:lang w:val="en-US" w:eastAsia="zh-CN" w:bidi="ar"/>
                    </w:rPr>
                    <w:t>米内不得建设住宅、学校、医院等噪声敏感建筑物。</w:t>
                  </w:r>
                </w:p>
                <w:p w14:paraId="59D707BE">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3.</w:t>
                  </w:r>
                  <w:r>
                    <w:rPr>
                      <w:rFonts w:hint="eastAsia" w:ascii="Times New Roman" w:hAnsi="Times New Roman" w:cs="Times New Roman"/>
                      <w:color w:val="auto"/>
                      <w:kern w:val="0"/>
                      <w:szCs w:val="21"/>
                      <w:highlight w:val="none"/>
                      <w:lang w:val="en-US" w:eastAsia="zh-CN" w:bidi="ar"/>
                    </w:rPr>
                    <w:t>施工期噪声执行《建筑施工场界噪声限值》（</w:t>
                  </w:r>
                  <w:r>
                    <w:rPr>
                      <w:rFonts w:hint="default" w:ascii="Times New Roman" w:hAnsi="Times New Roman" w:cs="Times New Roman"/>
                      <w:color w:val="auto"/>
                      <w:kern w:val="0"/>
                      <w:szCs w:val="21"/>
                      <w:highlight w:val="none"/>
                      <w:lang w:val="en-US" w:eastAsia="zh-CN" w:bidi="ar"/>
                    </w:rPr>
                    <w:t>GB12523-90</w:t>
                  </w:r>
                  <w:r>
                    <w:rPr>
                      <w:rFonts w:hint="eastAsia" w:ascii="Times New Roman" w:hAnsi="Times New Roman" w:cs="Times New Roman"/>
                      <w:color w:val="auto"/>
                      <w:kern w:val="0"/>
                      <w:szCs w:val="21"/>
                      <w:highlight w:val="none"/>
                      <w:lang w:val="en-US" w:eastAsia="zh-CN" w:bidi="ar"/>
                    </w:rPr>
                    <w:t>）的规定。</w:t>
                  </w:r>
                </w:p>
                <w:p w14:paraId="0A6BAE54">
                  <w:pPr>
                    <w:widowControl/>
                    <w:spacing w:line="240" w:lineRule="auto"/>
                    <w:jc w:val="both"/>
                    <w:rPr>
                      <w:rFonts w:hint="default" w:ascii="Times New Roman" w:hAnsi="Times New Roman" w:cs="Times New Roman"/>
                      <w:color w:val="auto"/>
                      <w:kern w:val="0"/>
                      <w:szCs w:val="21"/>
                      <w:highlight w:val="none"/>
                      <w:lang w:val="en-US" w:eastAsia="zh-CN" w:bidi="ar"/>
                    </w:rPr>
                  </w:pPr>
                </w:p>
              </w:tc>
              <w:tc>
                <w:tcPr>
                  <w:tcW w:w="2016" w:type="dxa"/>
                  <w:tcBorders>
                    <w:tl2br w:val="nil"/>
                    <w:tr2bl w:val="nil"/>
                  </w:tcBorders>
                  <w:vAlign w:val="center"/>
                </w:tcPr>
                <w:p w14:paraId="106263D3">
                  <w:pPr>
                    <w:keepNext w:val="0"/>
                    <w:keepLines w:val="0"/>
                    <w:pageBreakBefore w:val="0"/>
                    <w:widowControl/>
                    <w:kinsoku/>
                    <w:wordWrap w:val="0"/>
                    <w:overflowPunct/>
                    <w:topLinePunct w:val="0"/>
                    <w:autoSpaceDE/>
                    <w:autoSpaceDN/>
                    <w:bidi w:val="0"/>
                    <w:adjustRightInd/>
                    <w:snapToGrid/>
                    <w:spacing w:line="240" w:lineRule="auto"/>
                    <w:jc w:val="both"/>
                    <w:textAlignment w:val="auto"/>
                    <w:rPr>
                      <w:rFonts w:hint="eastAsia"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本项目运营期</w:t>
                  </w:r>
                  <w:r>
                    <w:rPr>
                      <w:rFonts w:hint="eastAsia" w:cs="Times New Roman"/>
                      <w:color w:val="auto"/>
                      <w:kern w:val="0"/>
                      <w:szCs w:val="21"/>
                      <w:highlight w:val="none"/>
                      <w:lang w:val="en-US" w:eastAsia="zh-CN" w:bidi="ar"/>
                    </w:rPr>
                    <w:t>使用低噪设备，</w:t>
                  </w:r>
                  <w:r>
                    <w:rPr>
                      <w:rFonts w:hint="eastAsia" w:ascii="Times New Roman" w:hAnsi="Times New Roman" w:cs="Times New Roman"/>
                      <w:color w:val="auto"/>
                      <w:kern w:val="0"/>
                      <w:szCs w:val="21"/>
                      <w:highlight w:val="none"/>
                      <w:lang w:val="en-US" w:eastAsia="zh-CN" w:bidi="ar"/>
                    </w:rPr>
                    <w:t>厂界噪声执行《工业企业厂界环境噪声排放标准》（</w:t>
                  </w:r>
                  <w:r>
                    <w:rPr>
                      <w:rFonts w:hint="default" w:ascii="Times New Roman" w:hAnsi="Times New Roman" w:cs="Times New Roman"/>
                      <w:color w:val="auto"/>
                      <w:kern w:val="0"/>
                      <w:szCs w:val="21"/>
                      <w:highlight w:val="none"/>
                      <w:lang w:val="en-US" w:eastAsia="zh-CN" w:bidi="ar"/>
                    </w:rPr>
                    <w:t>GB12348-2008</w:t>
                  </w:r>
                  <w:r>
                    <w:rPr>
                      <w:rFonts w:hint="eastAsia" w:ascii="Times New Roman" w:hAnsi="Times New Roman" w:cs="Times New Roman"/>
                      <w:color w:val="auto"/>
                      <w:kern w:val="0"/>
                      <w:szCs w:val="21"/>
                      <w:highlight w:val="none"/>
                      <w:lang w:val="en-US" w:eastAsia="zh-CN" w:bidi="ar"/>
                    </w:rPr>
                    <w:t>）中的</w:t>
                  </w:r>
                  <w:r>
                    <w:rPr>
                      <w:rFonts w:hint="default" w:ascii="Times New Roman" w:hAnsi="Times New Roman" w:cs="Times New Roman"/>
                      <w:color w:val="auto"/>
                      <w:kern w:val="0"/>
                      <w:szCs w:val="21"/>
                      <w:highlight w:val="none"/>
                      <w:lang w:val="en-US" w:eastAsia="zh-CN" w:bidi="ar"/>
                    </w:rPr>
                    <w:t>3</w:t>
                  </w:r>
                  <w:r>
                    <w:rPr>
                      <w:rFonts w:hint="eastAsia" w:ascii="Times New Roman" w:hAnsi="Times New Roman" w:cs="Times New Roman"/>
                      <w:color w:val="auto"/>
                      <w:kern w:val="0"/>
                      <w:szCs w:val="21"/>
                      <w:highlight w:val="none"/>
                      <w:lang w:val="en-US" w:eastAsia="zh-CN" w:bidi="ar"/>
                    </w:rPr>
                    <w:t>类标准。</w:t>
                  </w:r>
                </w:p>
                <w:p w14:paraId="0FED0840">
                  <w:pPr>
                    <w:keepNext w:val="0"/>
                    <w:keepLines w:val="0"/>
                    <w:pageBreakBefore w:val="0"/>
                    <w:widowControl/>
                    <w:numPr>
                      <w:ilvl w:val="0"/>
                      <w:numId w:val="0"/>
                    </w:numPr>
                    <w:kinsoku/>
                    <w:wordWrap w:val="0"/>
                    <w:overflowPunct/>
                    <w:topLinePunct w:val="0"/>
                    <w:autoSpaceDE/>
                    <w:autoSpaceDN/>
                    <w:bidi w:val="0"/>
                    <w:adjustRightInd/>
                    <w:snapToGrid/>
                    <w:spacing w:line="240" w:lineRule="auto"/>
                    <w:jc w:val="both"/>
                    <w:textAlignment w:val="auto"/>
                    <w:rPr>
                      <w:rFonts w:hint="eastAsia"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w:t>
                  </w:r>
                  <w:r>
                    <w:rPr>
                      <w:rFonts w:hint="eastAsia" w:ascii="Times New Roman" w:hAnsi="Times New Roman" w:cs="Times New Roman"/>
                      <w:color w:val="auto"/>
                      <w:kern w:val="0"/>
                      <w:szCs w:val="21"/>
                      <w:highlight w:val="none"/>
                      <w:lang w:val="en-US" w:eastAsia="zh-CN" w:bidi="ar"/>
                    </w:rPr>
                    <w:t>本项目位于金桥科技产业基地，不涉及此项目。</w:t>
                  </w:r>
                </w:p>
                <w:p w14:paraId="347EEB94">
                  <w:pPr>
                    <w:keepNext w:val="0"/>
                    <w:keepLines w:val="0"/>
                    <w:pageBreakBefore w:val="0"/>
                    <w:widowControl/>
                    <w:numPr>
                      <w:ilvl w:val="0"/>
                      <w:numId w:val="0"/>
                    </w:numPr>
                    <w:kinsoku/>
                    <w:wordWrap w:val="0"/>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3.</w:t>
                  </w:r>
                  <w:r>
                    <w:rPr>
                      <w:rFonts w:hint="eastAsia" w:ascii="Times New Roman" w:hAnsi="Times New Roman" w:cs="Times New Roman"/>
                      <w:color w:val="auto"/>
                      <w:kern w:val="0"/>
                      <w:szCs w:val="21"/>
                      <w:highlight w:val="none"/>
                      <w:lang w:val="en-US" w:eastAsia="zh-CN" w:bidi="ar"/>
                    </w:rPr>
                    <w:t>施工期厂界噪声执行《建筑施工场界环境噪声排放标准》（</w:t>
                  </w:r>
                  <w:r>
                    <w:rPr>
                      <w:rFonts w:hint="default" w:ascii="Times New Roman" w:hAnsi="Times New Roman" w:cs="Times New Roman"/>
                      <w:color w:val="auto"/>
                      <w:kern w:val="0"/>
                      <w:szCs w:val="21"/>
                      <w:highlight w:val="none"/>
                      <w:lang w:val="en-US" w:eastAsia="zh-CN" w:bidi="ar"/>
                    </w:rPr>
                    <w:t>GB12523-2011</w:t>
                  </w:r>
                  <w:r>
                    <w:rPr>
                      <w:rFonts w:hint="eastAsia" w:ascii="Times New Roman" w:hAnsi="Times New Roman" w:cs="Times New Roman"/>
                      <w:color w:val="auto"/>
                      <w:kern w:val="0"/>
                      <w:szCs w:val="21"/>
                      <w:highlight w:val="none"/>
                      <w:lang w:val="en-US" w:eastAsia="zh-CN" w:bidi="ar"/>
                    </w:rPr>
                    <w:t>）中的限值</w:t>
                  </w:r>
                  <w:r>
                    <w:rPr>
                      <w:rFonts w:hint="eastAsia" w:cs="Times New Roman"/>
                      <w:color w:val="auto"/>
                      <w:kern w:val="0"/>
                      <w:szCs w:val="21"/>
                      <w:highlight w:val="none"/>
                      <w:lang w:val="en-US" w:eastAsia="zh-CN" w:bidi="ar"/>
                    </w:rPr>
                    <w:t>要求。</w:t>
                  </w:r>
                </w:p>
              </w:tc>
              <w:tc>
                <w:tcPr>
                  <w:tcW w:w="697" w:type="dxa"/>
                  <w:tcBorders>
                    <w:tl2br w:val="nil"/>
                    <w:tr2bl w:val="nil"/>
                  </w:tcBorders>
                  <w:vAlign w:val="center"/>
                </w:tcPr>
                <w:p w14:paraId="5DB16375">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r w14:paraId="344854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97" w:type="dxa"/>
                  <w:tcBorders>
                    <w:tl2br w:val="nil"/>
                    <w:tr2bl w:val="nil"/>
                  </w:tcBorders>
                  <w:vAlign w:val="center"/>
                </w:tcPr>
                <w:p w14:paraId="6027E5A3">
                  <w:pPr>
                    <w:widowControl/>
                    <w:spacing w:line="240" w:lineRule="auto"/>
                    <w:jc w:val="center"/>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固体</w:t>
                  </w:r>
                </w:p>
                <w:p w14:paraId="00E640F4">
                  <w:pPr>
                    <w:widowControl/>
                    <w:spacing w:line="240" w:lineRule="auto"/>
                    <w:jc w:val="center"/>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废物</w:t>
                  </w:r>
                </w:p>
              </w:tc>
              <w:tc>
                <w:tcPr>
                  <w:tcW w:w="3348" w:type="dxa"/>
                  <w:tcBorders>
                    <w:tl2br w:val="nil"/>
                    <w:tr2bl w:val="nil"/>
                  </w:tcBorders>
                  <w:vAlign w:val="center"/>
                </w:tcPr>
                <w:p w14:paraId="2BF7FB2F">
                  <w:pPr>
                    <w:widowControl/>
                    <w:spacing w:line="240" w:lineRule="auto"/>
                    <w:jc w:val="both"/>
                    <w:rPr>
                      <w:rFonts w:hint="eastAsia"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园区产生的生产、生活垃圾须集中密闭收集处理。</w:t>
                  </w:r>
                </w:p>
                <w:p w14:paraId="0F4C1216">
                  <w:pPr>
                    <w:widowControl/>
                    <w:spacing w:line="240" w:lineRule="auto"/>
                    <w:jc w:val="both"/>
                    <w:rPr>
                      <w:rFonts w:hint="default" w:ascii="Times New Roman" w:hAnsi="Times New Roman" w:cs="Times New Roman"/>
                      <w:color w:val="auto"/>
                      <w:kern w:val="0"/>
                      <w:szCs w:val="21"/>
                      <w:highlight w:val="none"/>
                      <w:lang w:val="en-US" w:eastAsia="zh-CN" w:bidi="ar"/>
                    </w:rPr>
                  </w:pPr>
                </w:p>
              </w:tc>
              <w:tc>
                <w:tcPr>
                  <w:tcW w:w="2016" w:type="dxa"/>
                  <w:tcBorders>
                    <w:tl2br w:val="nil"/>
                    <w:tr2bl w:val="nil"/>
                  </w:tcBorders>
                  <w:vAlign w:val="center"/>
                </w:tcPr>
                <w:p w14:paraId="5D35CAFE">
                  <w:pPr>
                    <w:keepNext w:val="0"/>
                    <w:keepLines w:val="0"/>
                    <w:pageBreakBefore w:val="0"/>
                    <w:widowControl/>
                    <w:numPr>
                      <w:ilvl w:val="0"/>
                      <w:numId w:val="0"/>
                    </w:numPr>
                    <w:kinsoku/>
                    <w:wordWrap w:val="0"/>
                    <w:overflowPunct/>
                    <w:topLinePunct w:val="0"/>
                    <w:autoSpaceDE/>
                    <w:autoSpaceDN/>
                    <w:bidi w:val="0"/>
                    <w:adjustRightInd/>
                    <w:snapToGrid/>
                    <w:spacing w:line="240" w:lineRule="auto"/>
                    <w:jc w:val="both"/>
                    <w:textAlignment w:val="auto"/>
                    <w:rPr>
                      <w:rFonts w:hint="default" w:ascii="Times New Roman" w:hAnsi="Times New Roman" w:cs="Times New Roman"/>
                      <w:color w:val="auto"/>
                      <w:kern w:val="0"/>
                      <w:szCs w:val="21"/>
                      <w:highlight w:val="none"/>
                      <w:lang w:val="en-US" w:eastAsia="zh-CN" w:bidi="ar"/>
                    </w:rPr>
                  </w:pPr>
                  <w:r>
                    <w:rPr>
                      <w:rFonts w:hint="eastAsia" w:ascii="Times New Roman" w:hAnsi="Times New Roman" w:cs="Times New Roman"/>
                      <w:color w:val="auto"/>
                      <w:kern w:val="0"/>
                      <w:szCs w:val="21"/>
                      <w:highlight w:val="none"/>
                      <w:lang w:val="en-US" w:eastAsia="zh-CN" w:bidi="ar"/>
                    </w:rPr>
                    <w:t>本项目建设一般固废间、危险废物间，危险废物委托北京鑫兴众成环境科技有限责任公司处置；一般工业固体废物中的废包装物由物资回收单位回收；生活垃圾由环卫部门定期清运。</w:t>
                  </w:r>
                </w:p>
              </w:tc>
              <w:tc>
                <w:tcPr>
                  <w:tcW w:w="697" w:type="dxa"/>
                  <w:tcBorders>
                    <w:tl2br w:val="nil"/>
                    <w:tr2bl w:val="nil"/>
                  </w:tcBorders>
                  <w:vAlign w:val="center"/>
                </w:tcPr>
                <w:p w14:paraId="09F85D21">
                  <w:pPr>
                    <w:widowControl/>
                    <w:spacing w:line="240" w:lineRule="auto"/>
                    <w:jc w:val="both"/>
                    <w:rPr>
                      <w:rFonts w:hint="default" w:ascii="Times New Roman" w:hAnsi="Times New Roman"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符合</w:t>
                  </w:r>
                </w:p>
              </w:tc>
            </w:tr>
          </w:tbl>
          <w:p w14:paraId="070E7344">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根据上表分析结果，本项目符合</w:t>
            </w:r>
            <w:r>
              <w:rPr>
                <w:rFonts w:hint="eastAsia" w:ascii="Times New Roman" w:hAnsi="Times New Roman" w:eastAsia="宋体" w:cs="Times New Roman"/>
                <w:color w:val="auto"/>
                <w:kern w:val="0"/>
                <w:sz w:val="24"/>
                <w:highlight w:val="none"/>
                <w:lang w:val="en-US" w:eastAsia="zh-CN" w:bidi="ar"/>
              </w:rPr>
              <w:t>中关村科技园区通州园金桥科技产业基地相关规划环境影响跟踪评价</w:t>
            </w:r>
            <w:r>
              <w:rPr>
                <w:rFonts w:hint="default" w:ascii="Times New Roman" w:hAnsi="Times New Roman" w:eastAsia="宋体" w:cs="Times New Roman"/>
                <w:color w:val="auto"/>
                <w:kern w:val="0"/>
                <w:sz w:val="24"/>
                <w:highlight w:val="none"/>
                <w:lang w:bidi="ar"/>
              </w:rPr>
              <w:t>及其审查意见的相关要求。</w:t>
            </w:r>
          </w:p>
        </w:tc>
      </w:tr>
      <w:tr w14:paraId="641DA9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8" w:hRule="atLeast"/>
          <w:jc w:val="center"/>
        </w:trPr>
        <w:tc>
          <w:tcPr>
            <w:tcW w:w="2129" w:type="dxa"/>
            <w:tcBorders>
              <w:top w:val="single" w:color="auto" w:sz="4" w:space="0"/>
              <w:left w:val="single" w:color="auto" w:sz="8" w:space="0"/>
              <w:bottom w:val="single" w:color="auto" w:sz="4" w:space="0"/>
              <w:right w:val="single" w:color="auto" w:sz="4" w:space="0"/>
            </w:tcBorders>
            <w:vAlign w:val="center"/>
          </w:tcPr>
          <w:p w14:paraId="5C2B01FC">
            <w:pPr>
              <w:autoSpaceDE w:val="0"/>
              <w:autoSpaceDN w:val="0"/>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其他符合性分析</w:t>
            </w:r>
          </w:p>
        </w:tc>
        <w:tc>
          <w:tcPr>
            <w:tcW w:w="6741" w:type="dxa"/>
            <w:gridSpan w:val="3"/>
            <w:tcBorders>
              <w:top w:val="single" w:color="auto" w:sz="4" w:space="0"/>
              <w:left w:val="single" w:color="auto" w:sz="4" w:space="0"/>
              <w:bottom w:val="single" w:color="auto" w:sz="4" w:space="0"/>
              <w:right w:val="single" w:color="auto" w:sz="8" w:space="0"/>
            </w:tcBorders>
          </w:tcPr>
          <w:p w14:paraId="78F7F596">
            <w:pPr>
              <w:numPr>
                <w:ilvl w:val="0"/>
                <w:numId w:val="5"/>
              </w:numPr>
              <w:spacing w:line="360" w:lineRule="auto"/>
              <w:ind w:firstLine="482"/>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产业政策符合性分析：</w:t>
            </w:r>
          </w:p>
          <w:p w14:paraId="5B9581EA">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w:t>
            </w:r>
            <w:r>
              <w:rPr>
                <w:rFonts w:hint="default" w:ascii="Times New Roman" w:hAnsi="Times New Roman" w:eastAsia="宋体" w:cs="Times New Roman"/>
                <w:color w:val="auto"/>
                <w:kern w:val="0"/>
                <w:sz w:val="24"/>
                <w:highlight w:val="none"/>
                <w:lang w:val="en-US" w:eastAsia="zh-CN" w:bidi="ar"/>
              </w:rPr>
              <w:t>从事</w:t>
            </w:r>
            <w:r>
              <w:rPr>
                <w:rFonts w:hint="eastAsia" w:cs="Times New Roman"/>
                <w:color w:val="auto"/>
                <w:kern w:val="0"/>
                <w:sz w:val="24"/>
                <w:highlight w:val="none"/>
                <w:lang w:val="en-US" w:eastAsia="zh-CN" w:bidi="ar"/>
              </w:rPr>
              <w:t>检验检测服务</w:t>
            </w:r>
            <w:r>
              <w:rPr>
                <w:rFonts w:hint="default"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bidi="ar"/>
              </w:rPr>
              <w:t>属于《产业结构调整指导目录（2024年本）》中</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val="en-US" w:eastAsia="zh-CN" w:bidi="ar"/>
              </w:rPr>
              <w:t>三十一、科技服务业</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中的“检验检测服务”，属于“</w:t>
            </w:r>
            <w:r>
              <w:rPr>
                <w:rFonts w:hint="default" w:ascii="Times New Roman" w:hAnsi="Times New Roman" w:eastAsia="宋体" w:cs="Times New Roman"/>
                <w:color w:val="auto"/>
                <w:kern w:val="0"/>
                <w:sz w:val="24"/>
                <w:highlight w:val="none"/>
                <w:lang w:val="en-US" w:eastAsia="zh-CN" w:bidi="ar"/>
              </w:rPr>
              <w:t>鼓励类</w:t>
            </w:r>
            <w:r>
              <w:rPr>
                <w:rFonts w:hint="eastAsia"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bidi="ar"/>
              </w:rPr>
              <w:t>项目。</w:t>
            </w:r>
          </w:p>
          <w:p w14:paraId="696CABD2">
            <w:pPr>
              <w:spacing w:line="360" w:lineRule="auto"/>
              <w:ind w:firstLine="480" w:firstLineChars="200"/>
              <w:rPr>
                <w:rFonts w:hint="default" w:ascii="Times New Roman" w:hAnsi="Times New Roman" w:eastAsia="宋体" w:cs="Times New Roman"/>
                <w:color w:val="auto"/>
                <w:kern w:val="0"/>
                <w:sz w:val="24"/>
                <w:highlight w:val="none"/>
                <w:lang w:eastAsia="zh-CN" w:bidi="ar"/>
              </w:rPr>
            </w:pPr>
            <w:r>
              <w:rPr>
                <w:rFonts w:hint="default" w:ascii="Times New Roman" w:hAnsi="Times New Roman" w:eastAsia="宋体" w:cs="Times New Roman"/>
                <w:color w:val="auto"/>
                <w:kern w:val="0"/>
                <w:sz w:val="24"/>
                <w:highlight w:val="none"/>
                <w:lang w:bidi="ar"/>
              </w:rPr>
              <w:t>本项目不属于《北京市新增产业的禁止和限制目录（2022年版）》中禁止和限制类中所列的项目</w:t>
            </w:r>
            <w:r>
              <w:rPr>
                <w:rFonts w:hint="default" w:ascii="Times New Roman" w:hAnsi="Times New Roman" w:eastAsia="宋体" w:cs="Times New Roman"/>
                <w:color w:val="auto"/>
                <w:kern w:val="0"/>
                <w:sz w:val="24"/>
                <w:highlight w:val="none"/>
                <w:lang w:eastAsia="zh-CN" w:bidi="ar"/>
              </w:rPr>
              <w:t>。</w:t>
            </w:r>
          </w:p>
          <w:p w14:paraId="0ACE11D9">
            <w:pPr>
              <w:spacing w:line="360" w:lineRule="auto"/>
              <w:ind w:firstLine="480" w:firstLineChars="2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本项目</w:t>
            </w:r>
            <w:r>
              <w:rPr>
                <w:rFonts w:hint="eastAsia" w:cs="Times New Roman"/>
                <w:color w:val="auto"/>
                <w:kern w:val="0"/>
                <w:sz w:val="24"/>
                <w:highlight w:val="none"/>
                <w:lang w:val="en-US" w:eastAsia="zh-CN" w:bidi="ar"/>
              </w:rPr>
              <w:t>不属于外商投资项目，</w:t>
            </w:r>
            <w:r>
              <w:rPr>
                <w:rFonts w:hint="default" w:ascii="Times New Roman" w:hAnsi="Times New Roman" w:eastAsia="宋体" w:cs="Times New Roman"/>
                <w:color w:val="auto"/>
                <w:kern w:val="0"/>
                <w:sz w:val="24"/>
                <w:highlight w:val="none"/>
                <w:lang w:val="en-US" w:eastAsia="zh-CN" w:bidi="ar"/>
              </w:rPr>
              <w:t>未列入</w:t>
            </w:r>
            <w:r>
              <w:rPr>
                <w:rFonts w:hint="default" w:ascii="Times New Roman" w:hAnsi="Times New Roman" w:eastAsia="宋体" w:cs="Times New Roman"/>
                <w:color w:val="auto"/>
                <w:kern w:val="0"/>
                <w:sz w:val="24"/>
                <w:highlight w:val="none"/>
                <w:lang w:eastAsia="zh-CN" w:bidi="ar"/>
              </w:rPr>
              <w:t>《外商投资准入特别管理措施（负面清单）（202</w:t>
            </w:r>
            <w:r>
              <w:rPr>
                <w:rFonts w:hint="default" w:ascii="Times New Roman" w:hAnsi="Times New Roman" w:eastAsia="宋体" w:cs="Times New Roman"/>
                <w:color w:val="auto"/>
                <w:kern w:val="0"/>
                <w:sz w:val="24"/>
                <w:highlight w:val="none"/>
                <w:lang w:val="en-US" w:eastAsia="zh-CN" w:bidi="ar"/>
              </w:rPr>
              <w:t>5</w:t>
            </w:r>
            <w:r>
              <w:rPr>
                <w:rFonts w:hint="default" w:ascii="Times New Roman" w:hAnsi="Times New Roman" w:eastAsia="宋体" w:cs="Times New Roman"/>
                <w:color w:val="auto"/>
                <w:kern w:val="0"/>
                <w:sz w:val="24"/>
                <w:highlight w:val="none"/>
                <w:lang w:eastAsia="zh-CN" w:bidi="ar"/>
              </w:rPr>
              <w:t>年版）》</w:t>
            </w:r>
            <w:r>
              <w:rPr>
                <w:rFonts w:hint="default" w:ascii="Times New Roman" w:hAnsi="Times New Roman" w:eastAsia="宋体" w:cs="Times New Roman"/>
                <w:color w:val="auto"/>
                <w:kern w:val="0"/>
                <w:sz w:val="24"/>
                <w:highlight w:val="none"/>
                <w:lang w:val="en-US" w:eastAsia="zh-CN" w:bidi="ar"/>
              </w:rPr>
              <w:t>。</w:t>
            </w:r>
          </w:p>
          <w:p w14:paraId="328B9A70">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val="en-US" w:eastAsia="zh-CN" w:bidi="ar"/>
              </w:rPr>
              <w:t>综上，</w:t>
            </w:r>
            <w:r>
              <w:rPr>
                <w:rFonts w:hint="default" w:ascii="Times New Roman" w:hAnsi="Times New Roman" w:eastAsia="宋体" w:cs="Times New Roman"/>
                <w:color w:val="auto"/>
                <w:kern w:val="0"/>
                <w:sz w:val="24"/>
                <w:highlight w:val="none"/>
                <w:lang w:bidi="ar"/>
              </w:rPr>
              <w:t>本项目符合产业政策</w:t>
            </w:r>
            <w:r>
              <w:rPr>
                <w:rFonts w:hint="default" w:ascii="Times New Roman" w:hAnsi="Times New Roman" w:eastAsia="宋体" w:cs="Times New Roman"/>
                <w:color w:val="auto"/>
                <w:kern w:val="0"/>
                <w:sz w:val="24"/>
                <w:highlight w:val="none"/>
                <w:lang w:val="en-US" w:eastAsia="zh-CN" w:bidi="ar"/>
              </w:rPr>
              <w:t>的要求</w:t>
            </w:r>
            <w:r>
              <w:rPr>
                <w:rFonts w:hint="default" w:ascii="Times New Roman" w:hAnsi="Times New Roman" w:eastAsia="宋体" w:cs="Times New Roman"/>
                <w:color w:val="auto"/>
                <w:kern w:val="0"/>
                <w:sz w:val="24"/>
                <w:highlight w:val="none"/>
                <w:lang w:bidi="ar"/>
              </w:rPr>
              <w:t>。</w:t>
            </w:r>
          </w:p>
          <w:p w14:paraId="30B081A5">
            <w:pPr>
              <w:numPr>
                <w:ilvl w:val="0"/>
                <w:numId w:val="5"/>
              </w:numPr>
              <w:spacing w:line="360" w:lineRule="auto"/>
              <w:ind w:firstLine="482"/>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选址合理性分析</w:t>
            </w:r>
          </w:p>
          <w:p w14:paraId="7E6A714D">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w:t>
            </w:r>
            <w:r>
              <w:rPr>
                <w:rFonts w:hint="eastAsia" w:ascii="Times New Roman" w:hAnsi="Times New Roman" w:eastAsia="宋体" w:cs="Times New Roman"/>
                <w:color w:val="auto"/>
                <w:kern w:val="0"/>
                <w:sz w:val="24"/>
                <w:highlight w:val="none"/>
                <w:lang w:val="en-US" w:eastAsia="zh-CN" w:bidi="ar"/>
              </w:rPr>
              <w:t>租用</w:t>
            </w:r>
            <w:r>
              <w:rPr>
                <w:rFonts w:hint="default" w:ascii="Times New Roman" w:hAnsi="Times New Roman" w:eastAsia="宋体" w:cs="Times New Roman"/>
                <w:color w:val="auto"/>
                <w:kern w:val="0"/>
                <w:sz w:val="24"/>
                <w:highlight w:val="none"/>
                <w:lang w:bidi="ar"/>
              </w:rPr>
              <w:t>现有房屋进行建设，不新建房屋，</w:t>
            </w:r>
            <w:r>
              <w:rPr>
                <w:rFonts w:hint="eastAsia" w:ascii="Times New Roman" w:hAnsi="Times New Roman" w:eastAsia="宋体" w:cs="Times New Roman"/>
                <w:color w:val="auto"/>
                <w:kern w:val="0"/>
                <w:sz w:val="24"/>
                <w:highlight w:val="none"/>
                <w:lang w:val="en-US" w:eastAsia="zh-CN" w:bidi="ar"/>
              </w:rPr>
              <w:t>房屋所有权人：北京中联启能电力科技有限公司，房屋所有权证号：</w:t>
            </w:r>
            <w:r>
              <w:rPr>
                <w:rFonts w:hint="eastAsia" w:cs="Times New Roman"/>
                <w:color w:val="auto"/>
                <w:kern w:val="0"/>
                <w:sz w:val="24"/>
                <w:highlight w:val="none"/>
                <w:lang w:val="en-US" w:eastAsia="zh-CN" w:bidi="ar"/>
              </w:rPr>
              <w:t>“京（2020）开不动产权第0005729号”</w:t>
            </w:r>
            <w:r>
              <w:rPr>
                <w:rFonts w:hint="default" w:ascii="Times New Roman" w:hAnsi="Times New Roman" w:eastAsia="宋体" w:cs="Times New Roman"/>
                <w:color w:val="auto"/>
                <w:kern w:val="0"/>
                <w:sz w:val="24"/>
                <w:highlight w:val="none"/>
                <w:lang w:bidi="ar"/>
              </w:rPr>
              <w:t>，房屋</w:t>
            </w:r>
            <w:r>
              <w:rPr>
                <w:rFonts w:hint="default" w:ascii="Times New Roman" w:hAnsi="Times New Roman" w:eastAsia="宋体" w:cs="Times New Roman"/>
                <w:color w:val="auto"/>
                <w:kern w:val="0"/>
                <w:sz w:val="24"/>
                <w:highlight w:val="none"/>
                <w:lang w:eastAsia="zh-CN" w:bidi="ar"/>
              </w:rPr>
              <w:t>用途</w:t>
            </w:r>
            <w:r>
              <w:rPr>
                <w:rFonts w:hint="default" w:ascii="Times New Roman" w:hAnsi="Times New Roman" w:eastAsia="宋体" w:cs="Times New Roman"/>
                <w:color w:val="auto"/>
                <w:kern w:val="0"/>
                <w:sz w:val="24"/>
                <w:highlight w:val="none"/>
                <w:lang w:bidi="ar"/>
              </w:rPr>
              <w:t>为</w:t>
            </w:r>
            <w:r>
              <w:rPr>
                <w:rFonts w:hint="eastAsia" w:cs="Times New Roman"/>
                <w:color w:val="auto"/>
                <w:kern w:val="0"/>
                <w:sz w:val="24"/>
                <w:highlight w:val="none"/>
                <w:lang w:val="en-US" w:eastAsia="zh-CN" w:bidi="ar"/>
              </w:rPr>
              <w:t>工业用地/</w:t>
            </w:r>
            <w:r>
              <w:rPr>
                <w:rFonts w:hint="eastAsia" w:ascii="Times New Roman" w:hAnsi="Times New Roman" w:eastAsia="宋体" w:cs="Times New Roman"/>
                <w:color w:val="auto"/>
                <w:kern w:val="0"/>
                <w:sz w:val="24"/>
                <w:highlight w:val="none"/>
                <w:lang w:val="en-US" w:eastAsia="zh-CN" w:bidi="ar"/>
              </w:rPr>
              <w:t>厂房</w:t>
            </w:r>
            <w:r>
              <w:rPr>
                <w:rFonts w:hint="eastAsia" w:cs="Times New Roman"/>
                <w:color w:val="auto"/>
                <w:kern w:val="0"/>
                <w:sz w:val="24"/>
                <w:highlight w:val="none"/>
                <w:lang w:eastAsia="zh-CN" w:bidi="ar"/>
              </w:rPr>
              <w:t>。</w:t>
            </w:r>
            <w:r>
              <w:rPr>
                <w:rFonts w:hint="eastAsia" w:ascii="Times New Roman" w:hAnsi="Times New Roman" w:eastAsia="宋体" w:cs="Times New Roman"/>
                <w:color w:val="auto"/>
                <w:kern w:val="0"/>
                <w:sz w:val="24"/>
                <w:highlight w:val="none"/>
                <w:lang w:val="en-US" w:eastAsia="zh-CN" w:bidi="ar"/>
              </w:rPr>
              <w:t>本单位已与房屋所有权人签订房屋租赁合同，合同约定租赁用途为“办公、研发、生产、装配”。</w:t>
            </w:r>
            <w:r>
              <w:rPr>
                <w:rFonts w:hint="default" w:ascii="Times New Roman" w:hAnsi="Times New Roman" w:eastAsia="宋体" w:cs="Times New Roman"/>
                <w:color w:val="auto"/>
                <w:kern w:val="0"/>
                <w:sz w:val="24"/>
                <w:highlight w:val="none"/>
                <w:lang w:val="en-US" w:eastAsia="zh-CN" w:bidi="ar"/>
              </w:rPr>
              <w:t>本项目</w:t>
            </w:r>
            <w:r>
              <w:rPr>
                <w:rFonts w:hint="eastAsia" w:ascii="Times New Roman" w:hAnsi="Times New Roman" w:eastAsia="宋体" w:cs="Times New Roman"/>
                <w:color w:val="auto"/>
                <w:kern w:val="0"/>
                <w:sz w:val="24"/>
                <w:highlight w:val="none"/>
                <w:lang w:val="en-US" w:eastAsia="zh-CN" w:bidi="ar"/>
              </w:rPr>
              <w:t>符合房屋规划用途，符合租赁用途约定，项目</w:t>
            </w:r>
            <w:r>
              <w:rPr>
                <w:rFonts w:hint="default" w:ascii="Times New Roman" w:hAnsi="Times New Roman" w:eastAsia="宋体" w:cs="Times New Roman"/>
                <w:color w:val="auto"/>
                <w:kern w:val="0"/>
                <w:sz w:val="24"/>
                <w:highlight w:val="none"/>
                <w:lang w:val="en-US" w:eastAsia="zh-CN" w:bidi="ar"/>
              </w:rPr>
              <w:t>选址合理可行</w:t>
            </w:r>
            <w:r>
              <w:rPr>
                <w:rFonts w:hint="eastAsia" w:ascii="Times New Roman" w:hAnsi="Times New Roman" w:eastAsia="宋体" w:cs="Times New Roman"/>
                <w:color w:val="auto"/>
                <w:kern w:val="0"/>
                <w:sz w:val="24"/>
                <w:highlight w:val="none"/>
                <w:lang w:val="en-US" w:eastAsia="zh-CN" w:bidi="ar"/>
              </w:rPr>
              <w:t>、符合合同约定用途</w:t>
            </w:r>
            <w:r>
              <w:rPr>
                <w:rFonts w:hint="default" w:ascii="Times New Roman" w:hAnsi="Times New Roman" w:eastAsia="宋体" w:cs="Times New Roman"/>
                <w:color w:val="auto"/>
                <w:kern w:val="0"/>
                <w:sz w:val="24"/>
                <w:highlight w:val="none"/>
                <w:lang w:val="en-US" w:eastAsia="zh-CN" w:bidi="ar"/>
              </w:rPr>
              <w:t>。</w:t>
            </w:r>
          </w:p>
          <w:p w14:paraId="5489996C">
            <w:pPr>
              <w:numPr>
                <w:ilvl w:val="0"/>
                <w:numId w:val="5"/>
              </w:numPr>
              <w:spacing w:line="360" w:lineRule="auto"/>
              <w:ind w:firstLine="482"/>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与</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三线一单</w:t>
            </w:r>
            <w:r>
              <w:rPr>
                <w:rFonts w:hint="eastAsia" w:cs="Times New Roman"/>
                <w:b/>
                <w:bCs/>
                <w:color w:val="auto"/>
                <w:kern w:val="0"/>
                <w:sz w:val="24"/>
                <w:highlight w:val="none"/>
                <w:lang w:eastAsia="zh-CN" w:bidi="ar"/>
              </w:rPr>
              <w:t>”</w:t>
            </w:r>
            <w:r>
              <w:rPr>
                <w:rFonts w:hint="default" w:ascii="Times New Roman" w:hAnsi="Times New Roman" w:eastAsia="宋体" w:cs="Times New Roman"/>
                <w:b/>
                <w:bCs/>
                <w:color w:val="auto"/>
                <w:kern w:val="0"/>
                <w:sz w:val="24"/>
                <w:highlight w:val="none"/>
                <w:lang w:bidi="ar"/>
              </w:rPr>
              <w:t>符合性分析</w:t>
            </w:r>
          </w:p>
          <w:p w14:paraId="624EC0CB">
            <w:pPr>
              <w:numPr>
                <w:ilvl w:val="0"/>
                <w:numId w:val="6"/>
              </w:numPr>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生态保护红线符合性分析</w:t>
            </w:r>
          </w:p>
          <w:p w14:paraId="3E9EDE53">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北京市人民政府关于发布北京市生态保护红线的通知》(京政发(2018)18号)，全市生态保护红线包括水源涵养、水土保持和生物多样性维护的生态功能重要区、水土流失生态敏感区以及市级以上禁止开发区域和有必要严格保护的其他各类保护地。</w:t>
            </w:r>
          </w:p>
          <w:p w14:paraId="7EC162B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本项目位于</w:t>
            </w:r>
            <w:r>
              <w:rPr>
                <w:rFonts w:hint="eastAsia" w:cs="Times New Roman"/>
                <w:color w:val="auto"/>
                <w:sz w:val="24"/>
                <w:highlight w:val="none"/>
                <w:lang w:val="en-US" w:eastAsia="zh-CN"/>
              </w:rPr>
              <w:t>北京经济技术开发区环科中路2号院11号楼B单元</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kern w:val="0"/>
                <w:sz w:val="24"/>
                <w:highlight w:val="none"/>
                <w:lang w:bidi="ar"/>
              </w:rPr>
              <w:t>本项目所在地不涉及生态保护红线，符合生态保护红线的要求。本项目与北京市生态红线位置关系见</w:t>
            </w:r>
            <w:r>
              <w:rPr>
                <w:rFonts w:hint="default" w:ascii="Times New Roman" w:hAnsi="Times New Roman" w:eastAsia="宋体" w:cs="Times New Roman"/>
                <w:color w:val="auto"/>
                <w:kern w:val="0"/>
                <w:sz w:val="24"/>
                <w:highlight w:val="none"/>
                <w:lang w:val="en-US" w:eastAsia="zh-CN" w:bidi="ar"/>
              </w:rPr>
              <w:t>下图</w:t>
            </w:r>
            <w:r>
              <w:rPr>
                <w:rFonts w:hint="default" w:ascii="Times New Roman" w:hAnsi="Times New Roman" w:eastAsia="宋体" w:cs="Times New Roman"/>
                <w:color w:val="auto"/>
                <w:kern w:val="0"/>
                <w:sz w:val="24"/>
                <w:highlight w:val="none"/>
                <w:lang w:bidi="ar"/>
              </w:rPr>
              <w:t>。</w:t>
            </w:r>
          </w:p>
          <w:p w14:paraId="5BF4A43A">
            <w:pPr>
              <w:spacing w:line="360" w:lineRule="auto"/>
              <w:jc w:val="both"/>
              <w:rPr>
                <w:rFonts w:hint="eastAsia" w:ascii="Times New Roman" w:hAnsi="Times New Roman" w:eastAsia="宋体" w:cs="Times New Roman"/>
                <w:color w:val="auto"/>
                <w:kern w:val="0"/>
                <w:sz w:val="24"/>
                <w:highlight w:val="none"/>
                <w:lang w:eastAsia="zh-CN" w:bidi="ar"/>
              </w:rPr>
            </w:pPr>
            <w:r>
              <w:rPr>
                <w:sz w:val="24"/>
              </w:rPr>
              <mc:AlternateContent>
                <mc:Choice Requires="wps">
                  <w:drawing>
                    <wp:anchor distT="0" distB="0" distL="114300" distR="114300" simplePos="0" relativeHeight="251673600" behindDoc="0" locked="0" layoutInCell="1" allowOverlap="1">
                      <wp:simplePos x="0" y="0"/>
                      <wp:positionH relativeFrom="column">
                        <wp:posOffset>2926715</wp:posOffset>
                      </wp:positionH>
                      <wp:positionV relativeFrom="paragraph">
                        <wp:posOffset>2620645</wp:posOffset>
                      </wp:positionV>
                      <wp:extent cx="692785" cy="311785"/>
                      <wp:effectExtent l="657225" t="6350" r="6350" b="169545"/>
                      <wp:wrapNone/>
                      <wp:docPr id="28" name="矩形标注 28"/>
                      <wp:cNvGraphicFramePr/>
                      <a:graphic xmlns:a="http://schemas.openxmlformats.org/drawingml/2006/main">
                        <a:graphicData uri="http://schemas.microsoft.com/office/word/2010/wordprocessingShape">
                          <wps:wsp>
                            <wps:cNvSpPr/>
                            <wps:spPr>
                              <a:xfrm>
                                <a:off x="5311140" y="3707130"/>
                                <a:ext cx="692785" cy="311785"/>
                              </a:xfrm>
                              <a:prstGeom prst="wedgeRectCallout">
                                <a:avLst>
                                  <a:gd name="adj1" fmla="val -137809"/>
                                  <a:gd name="adj2" fmla="val 93584"/>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78C0AFC9">
                                  <w:pPr>
                                    <w:jc w:val="center"/>
                                    <w:rPr>
                                      <w:rFonts w:hint="eastAsia" w:eastAsia="宋体"/>
                                      <w:b/>
                                      <w:bCs/>
                                      <w:lang w:val="en-US" w:eastAsia="zh-CN"/>
                                    </w:rPr>
                                  </w:pPr>
                                  <w:r>
                                    <w:rPr>
                                      <w:rFonts w:hint="eastAsia"/>
                                      <w:b/>
                                      <w:bCs/>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0.45pt;margin-top:206.35pt;height:24.55pt;width:54.55pt;z-index:251673600;v-text-anchor:middle;mso-width-relative:page;mso-height-relative:page;" fillcolor="#5B9BD5 [3204]" filled="t" stroked="t" coordsize="21600,21600" o:gfxdata="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Jjc6xPcAAAACwEAAA8AAAAAAAAAAQAgAAAAIgAAAGRycy9kb3ducmV2LnhtbFBLAQIUABQA&#10;AAAIAIdO4kASYIqd0AIAAJMFAAAOAAAAAAAAAAEAIAAAACsBAABkcnMvZTJvRG9jLnhtbFBLBQYA&#10;AAAABgAGAFkBAABtBgAAAAA=&#10;" adj="-18967,31014">
                      <v:fill on="t" focussize="0,0"/>
                      <v:stroke weight="1pt" color="#2E75B6 [2404]" miterlimit="8" joinstyle="miter"/>
                      <v:imagedata o:title=""/>
                      <o:lock v:ext="edit" aspectratio="f"/>
                      <v:textbox>
                        <w:txbxContent>
                          <w:p w14:paraId="78C0AFC9">
                            <w:pPr>
                              <w:jc w:val="center"/>
                              <w:rPr>
                                <w:rFonts w:hint="eastAsia" w:eastAsia="宋体"/>
                                <w:b/>
                                <w:bCs/>
                                <w:lang w:val="en-US" w:eastAsia="zh-CN"/>
                              </w:rPr>
                            </w:pPr>
                            <w:r>
                              <w:rPr>
                                <w:rFonts w:hint="eastAsia"/>
                                <w:b/>
                                <w:bCs/>
                                <w:lang w:val="en-US" w:eastAsia="zh-CN"/>
                              </w:rPr>
                              <w:t>本项目</w:t>
                            </w:r>
                          </w:p>
                        </w:txbxContent>
                      </v:textbox>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2193925</wp:posOffset>
                      </wp:positionH>
                      <wp:positionV relativeFrom="paragraph">
                        <wp:posOffset>3049905</wp:posOffset>
                      </wp:positionV>
                      <wp:extent cx="75565" cy="75565"/>
                      <wp:effectExtent l="6350" t="6350" r="9525" b="9525"/>
                      <wp:wrapNone/>
                      <wp:docPr id="27" name="椭圆 27"/>
                      <wp:cNvGraphicFramePr/>
                      <a:graphic xmlns:a="http://schemas.openxmlformats.org/drawingml/2006/main">
                        <a:graphicData uri="http://schemas.microsoft.com/office/word/2010/wordprocessingShape">
                          <wps:wsp>
                            <wps:cNvSpPr/>
                            <wps:spPr>
                              <a:xfrm>
                                <a:off x="4597400" y="4136390"/>
                                <a:ext cx="75565" cy="75565"/>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2.75pt;margin-top:240.15pt;height:5.95pt;width:5.95pt;z-index:251672576;v-text-anchor:middle;mso-width-relative:page;mso-height-relative:page;" fillcolor="#FF0000" filled="t" stroked="t" coordsize="21600,21600" o:gfxdata="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U8UvdcAAAALAQAADwAAAAAAAAABACAAAAAiAAAAZHJz&#10;L2Rvd25yZXYueG1sUEsBAhQAFAAAAAgAh07iQNNvB9h3AgAAAgUAAA4AAAAAAAAAAQAgAAAAJgEA&#10;AGRycy9lMm9Eb2MueG1sUEsFBgAAAAAGAAYAWQEAAA8GAAAAAA==&#10;">
                      <v:fill on="t" focussize="0,0"/>
                      <v:stroke weight="1pt" color="#FF0000 [2404]" miterlimit="8" joinstyle="miter"/>
                      <v:imagedata o:title=""/>
                      <o:lock v:ext="edit" aspectratio="f"/>
                    </v:shape>
                  </w:pict>
                </mc:Fallback>
              </mc:AlternateContent>
            </w:r>
            <w:r>
              <w:rPr>
                <w:rFonts w:hint="eastAsia" w:ascii="Times New Roman" w:hAnsi="Times New Roman" w:eastAsia="宋体" w:cs="Times New Roman"/>
                <w:color w:val="auto"/>
                <w:kern w:val="0"/>
                <w:sz w:val="24"/>
                <w:highlight w:val="none"/>
                <w:lang w:eastAsia="zh-CN" w:bidi="ar"/>
              </w:rPr>
              <w:drawing>
                <wp:inline distT="0" distB="0" distL="114300" distR="114300">
                  <wp:extent cx="4140200" cy="4127500"/>
                  <wp:effectExtent l="0" t="0" r="5080" b="2540"/>
                  <wp:docPr id="25" name="图片 25" descr="176162856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761628562470"/>
                          <pic:cNvPicPr>
                            <a:picLocks noChangeAspect="1"/>
                          </pic:cNvPicPr>
                        </pic:nvPicPr>
                        <pic:blipFill>
                          <a:blip r:embed="rId9"/>
                          <a:stretch>
                            <a:fillRect/>
                          </a:stretch>
                        </pic:blipFill>
                        <pic:spPr>
                          <a:xfrm>
                            <a:off x="0" y="0"/>
                            <a:ext cx="4140200" cy="4127500"/>
                          </a:xfrm>
                          <a:prstGeom prst="rect">
                            <a:avLst/>
                          </a:prstGeom>
                        </pic:spPr>
                      </pic:pic>
                    </a:graphicData>
                  </a:graphic>
                </wp:inline>
              </w:drawing>
            </w:r>
          </w:p>
          <w:p w14:paraId="534D3A2F">
            <w:pPr>
              <w:widowControl/>
              <w:numPr>
                <w:ilvl w:val="0"/>
                <w:numId w:val="3"/>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b/>
                <w:bCs/>
                <w:color w:val="auto"/>
                <w:kern w:val="0"/>
                <w:sz w:val="24"/>
                <w:highlight w:val="none"/>
                <w:lang w:bidi="ar"/>
              </w:rPr>
              <w:t>本项目与北京市生态保护红线位置关系图</w:t>
            </w:r>
          </w:p>
          <w:p w14:paraId="54BDF33E">
            <w:pPr>
              <w:numPr>
                <w:ilvl w:val="0"/>
                <w:numId w:val="6"/>
              </w:numPr>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环境质量底线符合性分析</w:t>
            </w:r>
          </w:p>
          <w:p w14:paraId="1629670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根据北京市生态环境局发布的《2024年北京市生态环境状况公报》(2025年5月9日发布)，2024年</w:t>
            </w:r>
            <w:r>
              <w:rPr>
                <w:rFonts w:hint="eastAsia" w:cs="Times New Roman"/>
                <w:color w:val="auto"/>
                <w:kern w:val="0"/>
                <w:sz w:val="24"/>
                <w:highlight w:val="none"/>
                <w:lang w:val="en-US" w:eastAsia="zh-CN" w:bidi="ar"/>
              </w:rPr>
              <w:t>通州</w:t>
            </w:r>
            <w:r>
              <w:rPr>
                <w:rFonts w:hint="default" w:ascii="Times New Roman" w:hAnsi="Times New Roman" w:eastAsia="宋体" w:cs="Times New Roman"/>
                <w:color w:val="auto"/>
                <w:kern w:val="0"/>
                <w:sz w:val="24"/>
                <w:highlight w:val="none"/>
                <w:lang w:bidi="ar"/>
              </w:rPr>
              <w:t>区各污染物浓度均达到《环境空气质量标准》(GB3095-2012)限值要求，北京市</w:t>
            </w:r>
            <w:r>
              <w:rPr>
                <w:rFonts w:hint="eastAsia" w:ascii="Times New Roman" w:hAnsi="Times New Roman" w:eastAsia="宋体" w:cs="Times New Roman"/>
                <w:color w:val="auto"/>
                <w:kern w:val="0"/>
                <w:sz w:val="24"/>
                <w:highlight w:val="none"/>
                <w:lang w:val="en-US" w:eastAsia="zh-CN" w:bidi="ar"/>
              </w:rPr>
              <w:t>O</w:t>
            </w:r>
            <w:r>
              <w:rPr>
                <w:rFonts w:hint="default" w:ascii="Times New Roman" w:hAnsi="Times New Roman" w:eastAsia="宋体" w:cs="Times New Roman"/>
                <w:color w:val="auto"/>
                <w:kern w:val="0"/>
                <w:sz w:val="24"/>
                <w:highlight w:val="none"/>
                <w:vertAlign w:val="subscript"/>
                <w:lang w:val="en-US" w:eastAsia="zh-CN" w:bidi="ar"/>
              </w:rPr>
              <w:t>3</w:t>
            </w:r>
            <w:r>
              <w:rPr>
                <w:rFonts w:hint="default" w:ascii="Times New Roman" w:hAnsi="Times New Roman" w:eastAsia="宋体" w:cs="Times New Roman"/>
                <w:color w:val="auto"/>
                <w:kern w:val="0"/>
                <w:sz w:val="24"/>
                <w:highlight w:val="none"/>
                <w:lang w:bidi="ar"/>
              </w:rPr>
              <w:t>日最大8小时平均浓度未能达到《环境空气质量标准》(GB3095-2012)限值要求，其他污染物现状浓度达到上述标准要求，判定项目</w:t>
            </w:r>
            <w:r>
              <w:rPr>
                <w:rFonts w:hint="eastAsia" w:cs="Times New Roman"/>
                <w:color w:val="auto"/>
                <w:kern w:val="0"/>
                <w:sz w:val="24"/>
                <w:highlight w:val="none"/>
                <w:lang w:val="en-US" w:eastAsia="zh-CN" w:bidi="ar"/>
              </w:rPr>
              <w:t>所在区</w:t>
            </w:r>
            <w:r>
              <w:rPr>
                <w:rFonts w:hint="default" w:ascii="Times New Roman" w:hAnsi="Times New Roman" w:eastAsia="宋体" w:cs="Times New Roman"/>
                <w:color w:val="auto"/>
                <w:kern w:val="0"/>
                <w:sz w:val="24"/>
                <w:highlight w:val="none"/>
                <w:lang w:bidi="ar"/>
              </w:rPr>
              <w:t>为环境空气质量不达标区。本项目</w:t>
            </w:r>
            <w:r>
              <w:rPr>
                <w:rFonts w:hint="eastAsia" w:cs="Times New Roman"/>
                <w:color w:val="auto"/>
                <w:kern w:val="0"/>
                <w:sz w:val="24"/>
                <w:highlight w:val="none"/>
                <w:lang w:val="en-US" w:eastAsia="zh-CN" w:bidi="ar"/>
              </w:rPr>
              <w:t>根据不同过程废气类别分别采用万向罩、通风</w:t>
            </w:r>
            <w:r>
              <w:rPr>
                <w:rFonts w:hint="eastAsia" w:ascii="Times New Roman" w:hAnsi="Times New Roman" w:eastAsia="宋体" w:cs="Times New Roman"/>
                <w:color w:val="auto"/>
                <w:kern w:val="0"/>
                <w:sz w:val="24"/>
                <w:highlight w:val="none"/>
                <w:lang w:val="en-US" w:eastAsia="zh-CN" w:bidi="ar"/>
              </w:rPr>
              <w:t>橱收集，并经干式过滤器（酸式吸附剂+碱式吸附剂+活性炭）吸附处理</w:t>
            </w:r>
            <w:r>
              <w:rPr>
                <w:rFonts w:hint="default" w:ascii="Times New Roman" w:hAnsi="Times New Roman" w:eastAsia="宋体" w:cs="Times New Roman"/>
                <w:color w:val="auto"/>
                <w:kern w:val="0"/>
                <w:sz w:val="24"/>
                <w:highlight w:val="none"/>
                <w:lang w:val="en-US" w:eastAsia="zh-CN" w:bidi="ar"/>
              </w:rPr>
              <w:t>，满足</w:t>
            </w:r>
            <w:r>
              <w:rPr>
                <w:rFonts w:hint="eastAsia" w:cs="Times New Roman"/>
                <w:color w:val="auto"/>
                <w:kern w:val="0"/>
                <w:sz w:val="24"/>
                <w:highlight w:val="none"/>
                <w:lang w:val="en-US" w:eastAsia="zh-CN" w:bidi="ar"/>
              </w:rPr>
              <w:t>达标</w:t>
            </w:r>
            <w:r>
              <w:rPr>
                <w:rFonts w:hint="default" w:ascii="Times New Roman" w:hAnsi="Times New Roman" w:eastAsia="宋体" w:cs="Times New Roman"/>
                <w:color w:val="auto"/>
                <w:kern w:val="0"/>
                <w:sz w:val="24"/>
                <w:highlight w:val="none"/>
                <w:lang w:val="en-US" w:eastAsia="zh-CN" w:bidi="ar"/>
              </w:rPr>
              <w:t>排放要求</w:t>
            </w:r>
            <w:r>
              <w:rPr>
                <w:rFonts w:hint="default" w:ascii="Times New Roman" w:hAnsi="Times New Roman" w:eastAsia="宋体" w:cs="Times New Roman"/>
                <w:color w:val="auto"/>
                <w:kern w:val="0"/>
                <w:sz w:val="24"/>
                <w:highlight w:val="none"/>
                <w:lang w:bidi="ar"/>
              </w:rPr>
              <w:t>。随着北京市大气污染治理的措施的逐步实施，环境空气质量持续改善</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本项目的实施不会突破大气环境质量底线。</w:t>
            </w:r>
          </w:p>
          <w:p w14:paraId="4D61E7F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项目所在地附近地表水体为</w:t>
            </w:r>
            <w:r>
              <w:rPr>
                <w:rFonts w:hint="eastAsia" w:cs="Times New Roman"/>
                <w:color w:val="auto"/>
                <w:kern w:val="0"/>
                <w:sz w:val="24"/>
                <w:highlight w:val="none"/>
                <w:lang w:val="en-US" w:eastAsia="zh-CN" w:bidi="ar"/>
              </w:rPr>
              <w:t>西北侧的</w:t>
            </w:r>
            <w:r>
              <w:rPr>
                <w:rFonts w:hint="eastAsia" w:cs="Times New Roman"/>
                <w:color w:val="auto"/>
                <w:sz w:val="24"/>
                <w:szCs w:val="24"/>
                <w:lang w:val="en-US" w:eastAsia="zh-CN"/>
              </w:rPr>
              <w:t>2.25</w:t>
            </w:r>
            <w:r>
              <w:rPr>
                <w:rFonts w:ascii="宋体" w:hAnsi="宋体" w:eastAsia="宋体" w:cs="宋体"/>
                <w:color w:val="auto"/>
                <w:sz w:val="24"/>
                <w:szCs w:val="24"/>
              </w:rPr>
              <w:t>km处的</w:t>
            </w:r>
            <w:r>
              <w:rPr>
                <w:rFonts w:hint="eastAsia" w:ascii="宋体" w:hAnsi="宋体" w:cs="宋体"/>
                <w:color w:val="auto"/>
                <w:sz w:val="24"/>
                <w:szCs w:val="24"/>
                <w:lang w:val="en-US" w:eastAsia="zh-CN"/>
              </w:rPr>
              <w:t>新凤</w:t>
            </w:r>
            <w:r>
              <w:rPr>
                <w:rFonts w:hint="eastAsia" w:ascii="宋体" w:hAnsi="宋体" w:cs="宋体"/>
                <w:color w:val="auto"/>
                <w:sz w:val="24"/>
                <w:szCs w:val="24"/>
                <w:lang w:eastAsia="zh-CN"/>
              </w:rPr>
              <w:t>河</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highlight w:val="none"/>
                <w:lang w:bidi="ar"/>
              </w:rPr>
              <w:t>根据北京市五大水系各河流、水库水体功能划分与水质分类，</w:t>
            </w:r>
            <w:r>
              <w:rPr>
                <w:rFonts w:hint="eastAsia" w:ascii="宋体" w:hAnsi="宋体" w:cs="宋体"/>
                <w:color w:val="auto"/>
                <w:sz w:val="24"/>
                <w:szCs w:val="24"/>
                <w:lang w:eastAsia="zh-CN"/>
              </w:rPr>
              <w:t>新凤河</w:t>
            </w:r>
            <w:r>
              <w:rPr>
                <w:rFonts w:hint="default" w:ascii="Times New Roman" w:hAnsi="Times New Roman" w:eastAsia="宋体" w:cs="Times New Roman"/>
                <w:color w:val="auto"/>
                <w:kern w:val="0"/>
                <w:sz w:val="24"/>
                <w:highlight w:val="none"/>
                <w:lang w:bidi="ar"/>
              </w:rPr>
              <w:t>水体功能为Ⅴ类。根据北京市生态环境局网站公布的</w:t>
            </w:r>
            <w:r>
              <w:rPr>
                <w:rFonts w:hint="default" w:ascii="Times New Roman" w:hAnsi="Times New Roman" w:eastAsia="宋体" w:cs="Times New Roman"/>
                <w:color w:val="auto"/>
                <w:kern w:val="0"/>
                <w:sz w:val="24"/>
                <w:highlight w:val="none"/>
                <w:lang w:val="en-US" w:eastAsia="zh-CN" w:bidi="ar"/>
              </w:rPr>
              <w:t>近一</w:t>
            </w:r>
            <w:r>
              <w:rPr>
                <w:rFonts w:hint="default" w:ascii="Times New Roman" w:hAnsi="Times New Roman" w:eastAsia="宋体" w:cs="Times New Roman"/>
                <w:color w:val="auto"/>
                <w:kern w:val="0"/>
                <w:sz w:val="24"/>
                <w:highlight w:val="none"/>
                <w:lang w:bidi="ar"/>
              </w:rPr>
              <w:t>年河流水质状况，</w:t>
            </w:r>
            <w:r>
              <w:rPr>
                <w:rFonts w:hint="eastAsia" w:ascii="宋体" w:hAnsi="宋体" w:cs="宋体"/>
                <w:color w:val="auto"/>
                <w:sz w:val="24"/>
                <w:szCs w:val="24"/>
                <w:lang w:eastAsia="zh-CN"/>
              </w:rPr>
              <w:t>新凤河</w:t>
            </w:r>
            <w:r>
              <w:rPr>
                <w:rFonts w:hint="default" w:ascii="Times New Roman" w:hAnsi="Times New Roman" w:eastAsia="宋体" w:cs="Times New Roman"/>
                <w:color w:val="auto"/>
                <w:kern w:val="0"/>
                <w:sz w:val="24"/>
                <w:highlight w:val="none"/>
                <w:lang w:bidi="ar"/>
              </w:rPr>
              <w:t>现状水质均能够达到《地表水环境质量标准》（GB3838-2002）中Ⅴ类标准限值。</w:t>
            </w:r>
            <w:r>
              <w:rPr>
                <w:rFonts w:hint="default" w:ascii="Times New Roman" w:hAnsi="Times New Roman" w:eastAsia="宋体" w:cs="Times New Roman"/>
                <w:color w:val="auto"/>
                <w:kern w:val="0"/>
                <w:sz w:val="24"/>
                <w:highlight w:val="none"/>
                <w:lang w:eastAsia="zh-CN" w:bidi="ar"/>
              </w:rPr>
              <w:t>项目废水</w:t>
            </w:r>
            <w:r>
              <w:rPr>
                <w:rFonts w:hint="default" w:ascii="Times New Roman" w:hAnsi="Times New Roman" w:eastAsia="宋体" w:cs="Times New Roman"/>
                <w:color w:val="auto"/>
                <w:kern w:val="0"/>
                <w:sz w:val="24"/>
                <w:highlight w:val="none"/>
                <w:lang w:val="en-US" w:eastAsia="zh-CN" w:bidi="ar"/>
              </w:rPr>
              <w:t>包括生活污水、</w:t>
            </w:r>
            <w:r>
              <w:rPr>
                <w:rFonts w:hint="eastAsia" w:cs="Times New Roman"/>
                <w:color w:val="auto"/>
                <w:kern w:val="0"/>
                <w:sz w:val="24"/>
                <w:highlight w:val="none"/>
                <w:lang w:val="en-US" w:eastAsia="zh-CN" w:bidi="ar"/>
              </w:rPr>
              <w:t>高压蒸汽灭菌废水、容器第三遍及以后</w:t>
            </w:r>
            <w:r>
              <w:rPr>
                <w:rFonts w:hint="default" w:ascii="Times New Roman" w:hAnsi="Times New Roman" w:eastAsia="宋体" w:cs="Times New Roman"/>
                <w:color w:val="auto"/>
                <w:kern w:val="0"/>
                <w:sz w:val="24"/>
                <w:highlight w:val="none"/>
                <w:lang w:val="en-US" w:eastAsia="zh-CN" w:bidi="ar"/>
              </w:rPr>
              <w:t>清洗废水</w:t>
            </w:r>
            <w:r>
              <w:rPr>
                <w:rFonts w:hint="eastAsia" w:cs="Times New Roman"/>
                <w:color w:val="auto"/>
                <w:kern w:val="0"/>
                <w:sz w:val="24"/>
                <w:highlight w:val="none"/>
                <w:lang w:val="en-US" w:eastAsia="zh-CN" w:bidi="ar"/>
              </w:rPr>
              <w:t>、地面清洗废水</w:t>
            </w:r>
            <w:r>
              <w:rPr>
                <w:rFonts w:hint="default" w:ascii="Times New Roman" w:hAnsi="Times New Roman" w:eastAsia="宋体" w:cs="Times New Roman"/>
                <w:color w:val="auto"/>
                <w:kern w:val="0"/>
                <w:sz w:val="24"/>
                <w:highlight w:val="none"/>
                <w:lang w:val="en-US" w:eastAsia="zh-CN" w:bidi="ar"/>
              </w:rPr>
              <w:t>，</w:t>
            </w:r>
            <w:r>
              <w:rPr>
                <w:rFonts w:hint="eastAsia" w:cs="Times New Roman"/>
                <w:color w:val="auto"/>
                <w:kern w:val="0"/>
                <w:sz w:val="24"/>
                <w:highlight w:val="none"/>
                <w:lang w:val="en-US" w:eastAsia="zh-CN" w:bidi="ar"/>
              </w:rPr>
              <w:t>以上废水一起进</w:t>
            </w:r>
            <w:r>
              <w:rPr>
                <w:rFonts w:hint="default" w:cs="Times New Roman"/>
                <w:color w:val="auto"/>
                <w:kern w:val="0"/>
                <w:sz w:val="24"/>
                <w:highlight w:val="none"/>
                <w:lang w:val="en-US" w:eastAsia="zh-CN" w:bidi="ar"/>
              </w:rPr>
              <w:t>园区化粪池处理</w:t>
            </w:r>
            <w:r>
              <w:rPr>
                <w:rFonts w:hint="eastAsia" w:cs="Times New Roman"/>
                <w:color w:val="auto"/>
                <w:kern w:val="0"/>
                <w:sz w:val="24"/>
                <w:highlight w:val="none"/>
                <w:lang w:val="en-US" w:eastAsia="zh-CN" w:bidi="ar"/>
              </w:rPr>
              <w:t>，最后通过</w:t>
            </w:r>
            <w:r>
              <w:rPr>
                <w:rFonts w:hint="default" w:cs="Times New Roman"/>
                <w:color w:val="auto"/>
                <w:kern w:val="0"/>
                <w:sz w:val="24"/>
                <w:highlight w:val="none"/>
                <w:lang w:val="en-US" w:eastAsia="zh-CN" w:bidi="ar"/>
              </w:rPr>
              <w:t>市政管网排入</w:t>
            </w:r>
            <w:r>
              <w:rPr>
                <w:rFonts w:hint="eastAsia" w:cs="Times New Roman"/>
                <w:color w:val="auto"/>
                <w:kern w:val="0"/>
                <w:sz w:val="24"/>
                <w:highlight w:val="none"/>
                <w:lang w:val="en-US" w:eastAsia="zh-CN" w:bidi="ar"/>
              </w:rPr>
              <w:t>金桥基地第一污水处理厂</w:t>
            </w:r>
            <w:r>
              <w:rPr>
                <w:rFonts w:hint="default" w:cs="Times New Roman"/>
                <w:color w:val="auto"/>
                <w:kern w:val="0"/>
                <w:sz w:val="24"/>
                <w:highlight w:val="none"/>
                <w:lang w:val="en-US" w:eastAsia="zh-CN" w:bidi="ar"/>
              </w:rPr>
              <w:t>处理，不直接排入地表水体，不会突破</w:t>
            </w:r>
            <w:r>
              <w:rPr>
                <w:rFonts w:hint="default" w:ascii="Times New Roman" w:hAnsi="Times New Roman" w:eastAsia="宋体" w:cs="Times New Roman"/>
                <w:color w:val="auto"/>
                <w:kern w:val="0"/>
                <w:sz w:val="24"/>
                <w:highlight w:val="none"/>
                <w:lang w:bidi="ar"/>
              </w:rPr>
              <w:t>水环境质量底线。</w:t>
            </w:r>
          </w:p>
          <w:p w14:paraId="400C843C">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本项目</w:t>
            </w:r>
            <w:r>
              <w:rPr>
                <w:rFonts w:hint="default" w:ascii="Times New Roman" w:hAnsi="Times New Roman" w:eastAsia="宋体" w:cs="Times New Roman"/>
                <w:color w:val="auto"/>
                <w:kern w:val="0"/>
                <w:sz w:val="24"/>
                <w:highlight w:val="none"/>
                <w:lang w:eastAsia="zh-CN" w:bidi="ar"/>
              </w:rPr>
              <w:t>实验</w:t>
            </w:r>
            <w:r>
              <w:rPr>
                <w:rFonts w:hint="default" w:ascii="Times New Roman" w:hAnsi="Times New Roman" w:eastAsia="宋体" w:cs="Times New Roman"/>
                <w:color w:val="auto"/>
                <w:kern w:val="0"/>
                <w:sz w:val="24"/>
                <w:highlight w:val="none"/>
                <w:lang w:bidi="ar"/>
              </w:rPr>
              <w:t>设备均为低噪声设备，且采取了</w:t>
            </w:r>
            <w:r>
              <w:rPr>
                <w:rFonts w:hint="eastAsia" w:cs="Times New Roman"/>
                <w:color w:val="auto"/>
                <w:kern w:val="0"/>
                <w:sz w:val="24"/>
                <w:highlight w:val="none"/>
                <w:lang w:val="en-US" w:eastAsia="zh-CN" w:bidi="ar"/>
              </w:rPr>
              <w:t>减震、</w:t>
            </w:r>
            <w:r>
              <w:rPr>
                <w:rFonts w:hint="default" w:ascii="Times New Roman" w:hAnsi="Times New Roman" w:eastAsia="宋体" w:cs="Times New Roman"/>
                <w:color w:val="auto"/>
                <w:kern w:val="0"/>
                <w:sz w:val="24"/>
                <w:highlight w:val="none"/>
                <w:lang w:bidi="ar"/>
              </w:rPr>
              <w:t>隔声</w:t>
            </w:r>
            <w:r>
              <w:rPr>
                <w:rFonts w:hint="eastAsia" w:cs="Times New Roman"/>
                <w:color w:val="auto"/>
                <w:kern w:val="0"/>
                <w:sz w:val="24"/>
                <w:highlight w:val="none"/>
                <w:lang w:val="en-US" w:eastAsia="zh-CN" w:bidi="ar"/>
              </w:rPr>
              <w:t>等</w:t>
            </w:r>
            <w:r>
              <w:rPr>
                <w:rFonts w:hint="default" w:ascii="Times New Roman" w:hAnsi="Times New Roman" w:eastAsia="宋体" w:cs="Times New Roman"/>
                <w:color w:val="auto"/>
                <w:kern w:val="0"/>
                <w:sz w:val="24"/>
                <w:highlight w:val="none"/>
                <w:lang w:bidi="ar"/>
              </w:rPr>
              <w:t>措施，厂界噪声</w:t>
            </w:r>
            <w:r>
              <w:rPr>
                <w:rFonts w:hint="eastAsia" w:cs="Times New Roman"/>
                <w:color w:val="auto"/>
                <w:kern w:val="0"/>
                <w:sz w:val="24"/>
                <w:highlight w:val="none"/>
                <w:lang w:val="en-US" w:eastAsia="zh-CN" w:bidi="ar"/>
              </w:rPr>
              <w:t>预测值</w:t>
            </w:r>
            <w:r>
              <w:rPr>
                <w:rFonts w:hint="default" w:ascii="Times New Roman" w:hAnsi="Times New Roman" w:eastAsia="宋体" w:cs="Times New Roman"/>
                <w:color w:val="auto"/>
                <w:kern w:val="0"/>
                <w:sz w:val="24"/>
                <w:highlight w:val="none"/>
                <w:lang w:bidi="ar"/>
              </w:rPr>
              <w:t>达标，不会突破声环境质量底线。</w:t>
            </w:r>
          </w:p>
          <w:p w14:paraId="3B39D0A8">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项目产生的</w:t>
            </w:r>
            <w:r>
              <w:rPr>
                <w:rFonts w:hint="default" w:ascii="Times New Roman" w:hAnsi="Times New Roman" w:eastAsia="宋体" w:cs="Times New Roman"/>
                <w:color w:val="auto"/>
                <w:kern w:val="0"/>
                <w:sz w:val="24"/>
                <w:highlight w:val="none"/>
                <w:lang w:val="en-US" w:eastAsia="zh-CN" w:bidi="ar"/>
              </w:rPr>
              <w:t>固体废物分类收集，建设规范的</w:t>
            </w:r>
            <w:r>
              <w:rPr>
                <w:rFonts w:hint="eastAsia" w:cs="Times New Roman"/>
                <w:color w:val="auto"/>
                <w:kern w:val="0"/>
                <w:sz w:val="24"/>
                <w:highlight w:val="none"/>
                <w:lang w:val="en-US" w:eastAsia="zh-CN" w:bidi="ar"/>
              </w:rPr>
              <w:t>固体废物</w:t>
            </w:r>
            <w:r>
              <w:rPr>
                <w:rFonts w:hint="default" w:ascii="Times New Roman" w:hAnsi="Times New Roman" w:eastAsia="宋体" w:cs="Times New Roman"/>
                <w:color w:val="auto"/>
                <w:kern w:val="0"/>
                <w:sz w:val="24"/>
                <w:highlight w:val="none"/>
                <w:lang w:val="en-US" w:eastAsia="zh-CN" w:bidi="ar"/>
              </w:rPr>
              <w:t>暂存间，所有固体废物</w:t>
            </w:r>
            <w:r>
              <w:rPr>
                <w:rFonts w:hint="default" w:ascii="Times New Roman" w:hAnsi="Times New Roman" w:eastAsia="宋体" w:cs="Times New Roman"/>
                <w:color w:val="auto"/>
                <w:kern w:val="0"/>
                <w:sz w:val="24"/>
                <w:highlight w:val="none"/>
                <w:lang w:bidi="ar"/>
              </w:rPr>
              <w:t>定期委托有资质的单位处置。</w:t>
            </w:r>
          </w:p>
          <w:p w14:paraId="0E84F6F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val="en-US" w:eastAsia="zh-CN" w:bidi="ar"/>
              </w:rPr>
              <w:t>项目运营期废气、废水、噪声等达标排放，</w:t>
            </w:r>
            <w:r>
              <w:rPr>
                <w:rFonts w:hint="eastAsia" w:cs="Times New Roman"/>
                <w:color w:val="auto"/>
                <w:kern w:val="0"/>
                <w:sz w:val="24"/>
                <w:highlight w:val="none"/>
                <w:lang w:val="en-US" w:eastAsia="zh-CN" w:bidi="ar"/>
              </w:rPr>
              <w:t>固体废物</w:t>
            </w:r>
            <w:r>
              <w:rPr>
                <w:rFonts w:hint="default" w:ascii="Times New Roman" w:hAnsi="Times New Roman" w:eastAsia="宋体" w:cs="Times New Roman"/>
                <w:color w:val="auto"/>
                <w:kern w:val="0"/>
                <w:sz w:val="24"/>
                <w:highlight w:val="none"/>
                <w:lang w:val="en-US" w:eastAsia="zh-CN" w:bidi="ar"/>
              </w:rPr>
              <w:t>合理处置，不会突破环境质量底线。</w:t>
            </w:r>
          </w:p>
          <w:p w14:paraId="34069539">
            <w:pPr>
              <w:numPr>
                <w:ilvl w:val="0"/>
                <w:numId w:val="6"/>
              </w:numPr>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资源利用上线符合性分析</w:t>
            </w:r>
          </w:p>
          <w:p w14:paraId="7B977D87">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val="en-US" w:eastAsia="zh-CN" w:bidi="ar"/>
              </w:rPr>
              <w:t>本项目属于检测实验室项目，</w:t>
            </w:r>
            <w:r>
              <w:rPr>
                <w:rFonts w:hint="default" w:ascii="Times New Roman" w:hAnsi="Times New Roman" w:eastAsia="宋体" w:cs="Times New Roman"/>
                <w:color w:val="auto"/>
                <w:kern w:val="0"/>
                <w:sz w:val="24"/>
                <w:highlight w:val="none"/>
                <w:lang w:bidi="ar"/>
              </w:rPr>
              <w:t>电力及水资源消耗量相对于区域资源利用总量很少</w:t>
            </w:r>
            <w:r>
              <w:rPr>
                <w:rFonts w:hint="eastAsia" w:cs="Times New Roman"/>
                <w:color w:val="auto"/>
                <w:kern w:val="0"/>
                <w:sz w:val="24"/>
                <w:highlight w:val="none"/>
                <w:lang w:eastAsia="zh-CN" w:bidi="ar"/>
              </w:rPr>
              <w:t>，</w:t>
            </w:r>
            <w:r>
              <w:rPr>
                <w:rFonts w:hint="eastAsia" w:cs="Times New Roman"/>
                <w:color w:val="auto"/>
                <w:kern w:val="0"/>
                <w:sz w:val="24"/>
                <w:highlight w:val="none"/>
                <w:lang w:val="en-US" w:eastAsia="zh-CN" w:bidi="ar"/>
              </w:rPr>
              <w:t>电力及水资源有保证</w:t>
            </w:r>
            <w:r>
              <w:rPr>
                <w:rFonts w:hint="default" w:ascii="Times New Roman" w:hAnsi="Times New Roman" w:eastAsia="宋体" w:cs="Times New Roman"/>
                <w:color w:val="auto"/>
                <w:kern w:val="0"/>
                <w:sz w:val="24"/>
                <w:highlight w:val="none"/>
                <w:lang w:bidi="ar"/>
              </w:rPr>
              <w:t>；项目不新增用地，租用现有厂房，用地符合规划要求。因此项目资源利用情况不会突破区域资源利用上线，符合资源利用上线的要求</w:t>
            </w:r>
            <w:r>
              <w:rPr>
                <w:rFonts w:hint="default" w:ascii="Times New Roman" w:hAnsi="Times New Roman" w:eastAsia="宋体" w:cs="Times New Roman"/>
                <w:color w:val="auto"/>
                <w:kern w:val="0"/>
                <w:sz w:val="24"/>
                <w:highlight w:val="none"/>
                <w:lang w:bidi="ar"/>
              </w:rPr>
              <w:t>。</w:t>
            </w:r>
          </w:p>
          <w:p w14:paraId="7DB78B5E">
            <w:pPr>
              <w:numPr>
                <w:ilvl w:val="0"/>
                <w:numId w:val="6"/>
              </w:numPr>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环境准入负面清单</w:t>
            </w:r>
          </w:p>
          <w:p w14:paraId="68EA28BF">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根据《关于北京市生态环境分区管控(</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三线一单</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)的实施意见》，北京市生态环境管控分为优先保护单元、重点管控单元和一般管控单元三类区域。</w:t>
            </w:r>
          </w:p>
          <w:p w14:paraId="61F99195">
            <w:pP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2024年12月25日，北京市生态环境局发布了《北京市生态环境局关于生态环境分区管控动态更新成果的通告》(通告(2024)33号)，发布了北京市生态环境分区管控动态更新成果，根据该成果，本项目位于重点管控单元，本项目在《北京市生态环境管控分区图》中的位置示意图见</w:t>
            </w:r>
            <w:r>
              <w:rPr>
                <w:rFonts w:hint="default" w:ascii="Times New Roman" w:hAnsi="Times New Roman" w:eastAsia="宋体" w:cs="Times New Roman"/>
                <w:color w:val="auto"/>
                <w:kern w:val="0"/>
                <w:sz w:val="24"/>
                <w:highlight w:val="none"/>
                <w:lang w:val="en-US" w:eastAsia="zh-CN" w:bidi="ar"/>
              </w:rPr>
              <w:t>下</w:t>
            </w:r>
            <w:r>
              <w:rPr>
                <w:rFonts w:hint="default" w:ascii="Times New Roman" w:hAnsi="Times New Roman" w:eastAsia="宋体" w:cs="Times New Roman"/>
                <w:color w:val="auto"/>
                <w:kern w:val="0"/>
                <w:sz w:val="24"/>
                <w:highlight w:val="none"/>
                <w:lang w:bidi="ar"/>
              </w:rPr>
              <w:t>图。</w:t>
            </w:r>
          </w:p>
          <w:p w14:paraId="6C5ECFA7">
            <w:pPr>
              <w:spacing w:line="360" w:lineRule="auto"/>
              <w:ind w:firstLine="42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1"/>
              </w:rPr>
              <mc:AlternateContent>
                <mc:Choice Requires="wps">
                  <w:drawing>
                    <wp:anchor distT="0" distB="0" distL="114300" distR="114300" simplePos="0" relativeHeight="251662336" behindDoc="0" locked="0" layoutInCell="1" allowOverlap="1">
                      <wp:simplePos x="0" y="0"/>
                      <wp:positionH relativeFrom="column">
                        <wp:posOffset>2040255</wp:posOffset>
                      </wp:positionH>
                      <wp:positionV relativeFrom="paragraph">
                        <wp:posOffset>2473960</wp:posOffset>
                      </wp:positionV>
                      <wp:extent cx="75565" cy="75565"/>
                      <wp:effectExtent l="6350" t="6350" r="9525" b="9525"/>
                      <wp:wrapNone/>
                      <wp:docPr id="15" name="椭圆 15"/>
                      <wp:cNvGraphicFramePr/>
                      <a:graphic xmlns:a="http://schemas.openxmlformats.org/drawingml/2006/main">
                        <a:graphicData uri="http://schemas.microsoft.com/office/word/2010/wordprocessingShape">
                          <wps:wsp>
                            <wps:cNvSpPr/>
                            <wps:spPr>
                              <a:xfrm>
                                <a:off x="4424680" y="5042535"/>
                                <a:ext cx="75565" cy="75565"/>
                              </a:xfrm>
                              <a:prstGeom prst="ellipse">
                                <a:avLst/>
                              </a:prstGeom>
                              <a:solidFill>
                                <a:schemeClr val="tx1"/>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0.65pt;margin-top:194.8pt;height:5.95pt;width:5.95pt;z-index:251662336;v-text-anchor:middle;mso-width-relative:page;mso-height-relative:page;" fillcolor="#000000 [3213]" filled="t" stroked="t" coordsize="21600,21600" o:gfxdata="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8RatraAAAACwEAAA8AAAAAAAAAAQAgAAAA&#10;IgAAAGRycy9kb3ducmV2LnhtbFBLAQIUABQAAAAIAIdO4kAizzM7ewIAAAIFAAAOAAAAAAAAAAEA&#10;IAAAACkBAABkcnMvZTJvRG9jLnhtbFBLBQYAAAAABgAGAFkBAAAWBgAAAAA=&#10;">
                      <v:fill on="t" focussize="0,0"/>
                      <v:stroke weight="1pt" color="#FFFF00 [2404]" miterlimit="8" joinstyle="miter"/>
                      <v:imagedata o:title=""/>
                      <o:lock v:ext="edit" aspectratio="f"/>
                    </v:shape>
                  </w:pict>
                </mc:Fallback>
              </mc:AlternateContent>
            </w:r>
            <w:r>
              <w:rPr>
                <w:rFonts w:hint="default" w:ascii="Times New Roman" w:hAnsi="Times New Roman" w:eastAsia="宋体" w:cs="Times New Roman"/>
                <w:color w:val="auto"/>
              </w:rPr>
              <w:drawing>
                <wp:inline distT="0" distB="0" distL="114300" distR="114300">
                  <wp:extent cx="3314700" cy="3246120"/>
                  <wp:effectExtent l="0" t="0" r="7620" b="0"/>
                  <wp:docPr id="1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5"/>
                          <pic:cNvPicPr>
                            <a:picLocks noChangeAspect="1"/>
                          </pic:cNvPicPr>
                        </pic:nvPicPr>
                        <pic:blipFill>
                          <a:blip r:embed="rId10"/>
                          <a:stretch>
                            <a:fillRect/>
                          </a:stretch>
                        </pic:blipFill>
                        <pic:spPr>
                          <a:xfrm>
                            <a:off x="0" y="0"/>
                            <a:ext cx="3314700" cy="3246120"/>
                          </a:xfrm>
                          <a:prstGeom prst="rect">
                            <a:avLst/>
                          </a:prstGeom>
                          <a:noFill/>
                          <a:ln>
                            <a:noFill/>
                          </a:ln>
                        </pic:spPr>
                      </pic:pic>
                    </a:graphicData>
                  </a:graphic>
                </wp:inline>
              </w:drawing>
            </w:r>
          </w:p>
          <w:p w14:paraId="21F3436F">
            <w:pPr>
              <w:widowControl/>
              <w:numPr>
                <w:ilvl w:val="0"/>
                <w:numId w:val="3"/>
              </w:numPr>
              <w:spacing w:line="360" w:lineRule="auto"/>
              <w:ind w:left="425" w:leftChars="0" w:hanging="425" w:firstLineChars="0"/>
              <w:jc w:val="center"/>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本项目在北京市生态环境管控分区图中的位置示意图</w:t>
            </w:r>
          </w:p>
          <w:p w14:paraId="646EE070">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highlight w:val="none"/>
                <w:lang w:eastAsia="zh-CN" w:bidi="ar"/>
              </w:rPr>
            </w:pPr>
            <w:r>
              <w:rPr>
                <w:rFonts w:hint="default" w:ascii="Times New Roman" w:hAnsi="Times New Roman" w:eastAsia="宋体" w:cs="Times New Roman"/>
                <w:color w:val="auto"/>
                <w:kern w:val="0"/>
                <w:sz w:val="24"/>
                <w:highlight w:val="none"/>
                <w:lang w:bidi="ar"/>
              </w:rPr>
              <w:t>根据北京市生态环境局</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北京市生态环境局政府网站-政务服务-生态环境分区管控(</w:t>
            </w:r>
            <w:r>
              <w:rPr>
                <w:rFonts w:hint="default" w:ascii="Times New Roman" w:hAnsi="Times New Roman" w:eastAsia="宋体" w:cs="Times New Roman"/>
                <w:color w:val="auto"/>
                <w:kern w:val="0"/>
                <w:sz w:val="24"/>
                <w:highlight w:val="none"/>
                <w:lang w:val="en-US" w:eastAsia="zh-CN" w:bidi="ar"/>
              </w:rPr>
              <w:t>‘</w:t>
            </w:r>
            <w:r>
              <w:rPr>
                <w:rFonts w:hint="default" w:ascii="Times New Roman" w:hAnsi="Times New Roman" w:eastAsia="宋体" w:cs="Times New Roman"/>
                <w:color w:val="auto"/>
                <w:kern w:val="0"/>
                <w:sz w:val="24"/>
                <w:highlight w:val="none"/>
                <w:lang w:bidi="ar"/>
              </w:rPr>
              <w:t>三线一单’)系统</w:t>
            </w:r>
            <w:r>
              <w:rPr>
                <w:rFonts w:hint="eastAsia"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，本项目属于</w:t>
            </w:r>
            <w:r>
              <w:rPr>
                <w:rFonts w:hint="eastAsia" w:cs="Times New Roman"/>
                <w:color w:val="auto"/>
                <w:kern w:val="0"/>
                <w:sz w:val="24"/>
                <w:highlight w:val="none"/>
                <w:lang w:eastAsia="zh-CN" w:bidi="ar"/>
              </w:rPr>
              <w:t>金桥科技产业基地</w:t>
            </w:r>
            <w:r>
              <w:rPr>
                <w:rFonts w:hint="default" w:ascii="Times New Roman" w:hAnsi="Times New Roman" w:eastAsia="宋体" w:cs="Times New Roman"/>
                <w:color w:val="auto"/>
                <w:kern w:val="0"/>
                <w:sz w:val="24"/>
                <w:highlight w:val="none"/>
                <w:lang w:bidi="ar"/>
              </w:rPr>
              <w:t>重点管控单元，环境管控单元编码为</w:t>
            </w:r>
            <w:r>
              <w:rPr>
                <w:rFonts w:hint="eastAsia" w:cs="Times New Roman"/>
                <w:color w:val="auto"/>
                <w:kern w:val="0"/>
                <w:sz w:val="24"/>
                <w:highlight w:val="none"/>
                <w:lang w:val="en-US" w:eastAsia="zh-CN" w:bidi="ar"/>
              </w:rPr>
              <w:t>ZH11011220002</w:t>
            </w:r>
            <w:r>
              <w:rPr>
                <w:rFonts w:hint="default" w:ascii="Times New Roman" w:hAnsi="Times New Roman" w:eastAsia="宋体" w:cs="Times New Roman"/>
                <w:color w:val="auto"/>
                <w:kern w:val="0"/>
                <w:sz w:val="24"/>
                <w:highlight w:val="none"/>
                <w:lang w:bidi="ar"/>
              </w:rPr>
              <w:t>，本项目在</w:t>
            </w:r>
            <w:r>
              <w:rPr>
                <w:rFonts w:hint="eastAsia" w:cs="Times New Roman"/>
                <w:color w:val="auto"/>
                <w:kern w:val="0"/>
                <w:sz w:val="24"/>
                <w:highlight w:val="none"/>
                <w:lang w:eastAsia="zh-CN" w:bidi="ar"/>
              </w:rPr>
              <w:t>金桥科技产业基地</w:t>
            </w:r>
            <w:r>
              <w:rPr>
                <w:rFonts w:hint="default" w:ascii="Times New Roman" w:hAnsi="Times New Roman" w:eastAsia="宋体" w:cs="Times New Roman"/>
                <w:color w:val="auto"/>
                <w:kern w:val="0"/>
                <w:sz w:val="24"/>
                <w:highlight w:val="none"/>
                <w:lang w:bidi="ar"/>
              </w:rPr>
              <w:t>重点管控单元图中位置见</w:t>
            </w:r>
            <w:r>
              <w:rPr>
                <w:rFonts w:hint="default" w:ascii="Times New Roman" w:hAnsi="Times New Roman" w:eastAsia="宋体" w:cs="Times New Roman"/>
                <w:color w:val="auto"/>
                <w:kern w:val="0"/>
                <w:sz w:val="24"/>
                <w:highlight w:val="none"/>
                <w:lang w:val="en-US" w:eastAsia="zh-CN" w:bidi="ar"/>
              </w:rPr>
              <w:t>下</w:t>
            </w:r>
            <w:r>
              <w:rPr>
                <w:rFonts w:hint="default" w:ascii="Times New Roman" w:hAnsi="Times New Roman" w:eastAsia="宋体" w:cs="Times New Roman"/>
                <w:color w:val="auto"/>
                <w:kern w:val="0"/>
                <w:sz w:val="24"/>
                <w:highlight w:val="none"/>
                <w:lang w:bidi="ar"/>
              </w:rPr>
              <w:t>图</w:t>
            </w:r>
            <w:r>
              <w:rPr>
                <w:rFonts w:hint="default" w:ascii="Times New Roman" w:hAnsi="Times New Roman" w:eastAsia="宋体" w:cs="Times New Roman"/>
                <w:color w:val="auto"/>
                <w:kern w:val="0"/>
                <w:sz w:val="24"/>
                <w:highlight w:val="none"/>
                <w:lang w:eastAsia="zh-CN" w:bidi="ar"/>
              </w:rPr>
              <w:t>。</w:t>
            </w:r>
          </w:p>
          <w:p w14:paraId="457B2961">
            <w:pPr>
              <w:spacing w:line="360" w:lineRule="auto"/>
              <w:rPr>
                <w:rFonts w:hint="default" w:ascii="Times New Roman" w:hAnsi="Times New Roman" w:eastAsia="宋体" w:cs="Times New Roman"/>
                <w:color w:val="auto"/>
                <w:kern w:val="0"/>
                <w:sz w:val="24"/>
                <w:highlight w:val="none"/>
                <w:lang w:eastAsia="zh-CN" w:bidi="ar"/>
              </w:rPr>
            </w:pPr>
            <w:r>
              <w:rPr>
                <w:sz w:val="21"/>
              </w:rPr>
              <mc:AlternateContent>
                <mc:Choice Requires="wps">
                  <w:drawing>
                    <wp:anchor distT="0" distB="0" distL="114300" distR="114300" simplePos="0" relativeHeight="251668480" behindDoc="0" locked="0" layoutInCell="1" allowOverlap="1">
                      <wp:simplePos x="0" y="0"/>
                      <wp:positionH relativeFrom="column">
                        <wp:posOffset>2995295</wp:posOffset>
                      </wp:positionH>
                      <wp:positionV relativeFrom="paragraph">
                        <wp:posOffset>1031240</wp:posOffset>
                      </wp:positionV>
                      <wp:extent cx="647700" cy="320040"/>
                      <wp:effectExtent l="415290" t="6350" r="19050" b="252730"/>
                      <wp:wrapNone/>
                      <wp:docPr id="155" name="矩形标注 155"/>
                      <wp:cNvGraphicFramePr/>
                      <a:graphic xmlns:a="http://schemas.openxmlformats.org/drawingml/2006/main">
                        <a:graphicData uri="http://schemas.microsoft.com/office/word/2010/wordprocessingShape">
                          <wps:wsp>
                            <wps:cNvSpPr/>
                            <wps:spPr>
                              <a:xfrm>
                                <a:off x="5448935" y="2291080"/>
                                <a:ext cx="647700" cy="320040"/>
                              </a:xfrm>
                              <a:prstGeom prst="wedgeRectCallout">
                                <a:avLst>
                                  <a:gd name="adj1" fmla="val -106666"/>
                                  <a:gd name="adj2" fmla="val 119642"/>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76F2A199">
                                  <w:pPr>
                                    <w:jc w:val="center"/>
                                    <w:rPr>
                                      <w:rFonts w:hint="default" w:eastAsia="宋体"/>
                                      <w:b/>
                                      <w:bCs/>
                                      <w:lang w:val="en-US" w:eastAsia="zh-CN"/>
                                    </w:rPr>
                                  </w:pPr>
                                  <w:r>
                                    <w:rPr>
                                      <w:rFonts w:hint="eastAsia"/>
                                      <w:b/>
                                      <w:bCs/>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5.85pt;margin-top:81.2pt;height:25.2pt;width:51pt;z-index:251668480;v-text-anchor:middle;mso-width-relative:page;mso-height-relative:page;" fillcolor="#5B9BD5 [3204]" filled="t" stroked="t" coordsize="21600,21600" o:gfxdata="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FuVRL2wAAAAsBAAAPAAAAAAAAAAEAIAAAACIAAABkcnMvZG93bnJldi54bWxQSwECFAAU&#10;AAAACACHTuJASUVr/NICAACWBQAADgAAAAAAAAABACAAAAAqAQAAZHJzL2Uyb0RvYy54bWxQSwUG&#10;AAAAAAYABgBZAQAAbgYAAAAA&#10;" adj="-12240,36643">
                      <v:fill on="t" focussize="0,0"/>
                      <v:stroke weight="1pt" color="#2E75B6 [2404]" miterlimit="8" joinstyle="miter"/>
                      <v:imagedata o:title=""/>
                      <o:lock v:ext="edit" aspectratio="f"/>
                      <v:textbox>
                        <w:txbxContent>
                          <w:p w14:paraId="76F2A199">
                            <w:pPr>
                              <w:jc w:val="center"/>
                              <w:rPr>
                                <w:rFonts w:hint="default" w:eastAsia="宋体"/>
                                <w:b/>
                                <w:bCs/>
                                <w:lang w:val="en-US" w:eastAsia="zh-CN"/>
                              </w:rPr>
                            </w:pPr>
                            <w:r>
                              <w:rPr>
                                <w:rFonts w:hint="eastAsia"/>
                                <w:b/>
                                <w:bCs/>
                                <w:lang w:val="en-US" w:eastAsia="zh-CN"/>
                              </w:rPr>
                              <w:t>本项目</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2450465</wp:posOffset>
                      </wp:positionH>
                      <wp:positionV relativeFrom="paragraph">
                        <wp:posOffset>1543050</wp:posOffset>
                      </wp:positionV>
                      <wp:extent cx="76200" cy="75565"/>
                      <wp:effectExtent l="10160" t="13970" r="20320" b="17145"/>
                      <wp:wrapNone/>
                      <wp:docPr id="154" name="等腰三角形 154"/>
                      <wp:cNvGraphicFramePr/>
                      <a:graphic xmlns:a="http://schemas.openxmlformats.org/drawingml/2006/main">
                        <a:graphicData uri="http://schemas.microsoft.com/office/word/2010/wordprocessingShape">
                          <wps:wsp>
                            <wps:cNvSpPr/>
                            <wps:spPr>
                              <a:xfrm>
                                <a:off x="4938395" y="2816860"/>
                                <a:ext cx="76200" cy="75565"/>
                              </a:xfrm>
                              <a:prstGeom prst="triangle">
                                <a:avLst/>
                              </a:prstGeom>
                              <a:solidFill>
                                <a:srgbClr val="FFFF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92.95pt;margin-top:121.5pt;height:5.95pt;width:6pt;z-index:251667456;v-text-anchor:middle;mso-width-relative:page;mso-height-relative:page;" fillcolor="#FFFF00" filled="t" stroked="t" coordsize="21600,21600" o:gfxdata="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MgTzwzZAAAACwEAAA8AAAAAAAAAAQAgAAAAIgAAAGRycy9kb3ducmV2&#10;LnhtbFBLAQIUABQAAAAIAIdO4kAb2QyepgIAADAFAAAOAAAAAAAAAAEAIAAAACgBAABkcnMvZTJv&#10;RG9jLnhtbFBLBQYAAAAABgAGAFkBAABABgAAAAA=&#10;" adj="10800">
                      <v:fill on="t" focussize="0,0"/>
                      <v:stroke weight="1pt" color="#2E75B6 [2404]" miterlimit="8" joinstyle="miter"/>
                      <v:imagedata o:title=""/>
                      <o:lock v:ext="edit" aspectratio="f"/>
                    </v:shape>
                  </w:pict>
                </mc:Fallback>
              </mc:AlternateContent>
            </w:r>
            <w:r>
              <w:drawing>
                <wp:inline distT="0" distB="0" distL="114300" distR="114300">
                  <wp:extent cx="4141470" cy="5498465"/>
                  <wp:effectExtent l="0" t="0" r="3810" b="3175"/>
                  <wp:docPr id="1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9"/>
                          <pic:cNvPicPr>
                            <a:picLocks noChangeAspect="1"/>
                          </pic:cNvPicPr>
                        </pic:nvPicPr>
                        <pic:blipFill>
                          <a:blip r:embed="rId11"/>
                          <a:stretch>
                            <a:fillRect/>
                          </a:stretch>
                        </pic:blipFill>
                        <pic:spPr>
                          <a:xfrm>
                            <a:off x="0" y="0"/>
                            <a:ext cx="4141470" cy="5498465"/>
                          </a:xfrm>
                          <a:prstGeom prst="rect">
                            <a:avLst/>
                          </a:prstGeom>
                          <a:noFill/>
                          <a:ln>
                            <a:noFill/>
                          </a:ln>
                        </pic:spPr>
                      </pic:pic>
                    </a:graphicData>
                  </a:graphic>
                </wp:inline>
              </w:drawing>
            </w:r>
          </w:p>
          <w:p w14:paraId="15431A60">
            <w:pPr>
              <w:widowControl/>
              <w:numPr>
                <w:ilvl w:val="0"/>
                <w:numId w:val="3"/>
              </w:numPr>
              <w:spacing w:line="360" w:lineRule="auto"/>
              <w:ind w:left="425" w:leftChars="0" w:hanging="425" w:firstLineChars="0"/>
              <w:jc w:val="center"/>
            </w:pPr>
            <w:r>
              <w:rPr>
                <w:rFonts w:hint="eastAsia" w:ascii="宋体" w:hAnsi="宋体" w:eastAsia="宋体" w:cs="宋体"/>
                <w:b/>
                <w:bCs/>
                <w:color w:val="000000"/>
                <w:kern w:val="0"/>
                <w:sz w:val="24"/>
                <w:szCs w:val="24"/>
                <w:lang w:val="en-US" w:eastAsia="zh-CN" w:bidi="ar"/>
              </w:rPr>
              <w:t>本项目与金桥科技产业基地管控单元位置关系图</w:t>
            </w:r>
          </w:p>
          <w:p w14:paraId="101745A2">
            <w:pPr>
              <w:widowControl/>
              <w:numPr>
                <w:ilvl w:val="0"/>
                <w:numId w:val="0"/>
              </w:numPr>
              <w:spacing w:line="360" w:lineRule="auto"/>
              <w:ind w:leftChars="0" w:firstLine="480" w:firstLineChars="200"/>
              <w:jc w:val="both"/>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现就全市总体环境准入清单、五大功能区环境准入清单及环境管控单元环境准入清单的符合性进行分析。</w:t>
            </w:r>
          </w:p>
        </w:tc>
      </w:tr>
    </w:tbl>
    <w:p w14:paraId="62C22A72">
      <w:pPr>
        <w:pStyle w:val="8"/>
        <w:rPr>
          <w:rFonts w:hint="default" w:ascii="Times New Roman" w:hAnsi="Times New Roman" w:eastAsia="宋体" w:cs="Times New Roman"/>
          <w:color w:val="auto"/>
          <w:sz w:val="21"/>
          <w:szCs w:val="22"/>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13197"/>
      </w:tblGrid>
      <w:tr w14:paraId="0D891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1" w:hRule="atLeast"/>
          <w:jc w:val="center"/>
        </w:trPr>
        <w:tc>
          <w:tcPr>
            <w:tcW w:w="456" w:type="dxa"/>
            <w:vAlign w:val="center"/>
          </w:tcPr>
          <w:p w14:paraId="7756D829">
            <w:pPr>
              <w:autoSpaceDE w:val="0"/>
              <w:autoSpaceDN w:val="0"/>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rPr>
              <w:t>其他符合性分析</w:t>
            </w:r>
          </w:p>
        </w:tc>
        <w:tc>
          <w:tcPr>
            <w:tcW w:w="13196" w:type="dxa"/>
          </w:tcPr>
          <w:p w14:paraId="59AFA03E">
            <w:pPr>
              <w:pStyle w:val="9"/>
              <w:spacing w:line="360" w:lineRule="auto"/>
              <w:ind w:firstLine="482" w:firstLineChars="200"/>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1）全市总体生态环境准入清单</w:t>
            </w:r>
          </w:p>
          <w:p w14:paraId="41A35466">
            <w:pPr>
              <w:pStyle w:val="9"/>
              <w:spacing w:line="360" w:lineRule="auto"/>
              <w:ind w:firstLine="480" w:firstLineChars="200"/>
              <w:rPr>
                <w:rFonts w:hint="default" w:ascii="Times New Roman" w:hAnsi="Times New Roman" w:eastAsia="宋体" w:cs="Times New Roman"/>
                <w:color w:val="auto"/>
                <w:kern w:val="0"/>
                <w:sz w:val="24"/>
                <w:highlight w:val="none"/>
                <w:lang w:eastAsia="zh-CN" w:bidi="ar"/>
              </w:rPr>
            </w:pPr>
            <w:r>
              <w:rPr>
                <w:rFonts w:hint="default" w:ascii="Times New Roman" w:hAnsi="Times New Roman" w:eastAsia="宋体" w:cs="Times New Roman"/>
                <w:color w:val="auto"/>
                <w:kern w:val="0"/>
                <w:sz w:val="24"/>
                <w:highlight w:val="none"/>
                <w:lang w:bidi="ar"/>
              </w:rPr>
              <w:t>本项目属于重点管控类单元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重点产业园区</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具体</w:t>
            </w:r>
            <w:r>
              <w:rPr>
                <w:rFonts w:hint="eastAsia" w:ascii="Times New Roman" w:hAnsi="Times New Roman" w:eastAsia="宋体" w:cs="Times New Roman"/>
                <w:color w:val="auto"/>
                <w:kern w:val="0"/>
                <w:sz w:val="24"/>
                <w:highlight w:val="none"/>
                <w:lang w:val="en-US" w:eastAsia="zh-CN" w:bidi="ar"/>
              </w:rPr>
              <w:t>符合</w:t>
            </w:r>
            <w:r>
              <w:rPr>
                <w:rFonts w:hint="default" w:ascii="Times New Roman" w:hAnsi="Times New Roman" w:eastAsia="宋体" w:cs="Times New Roman"/>
                <w:color w:val="auto"/>
                <w:kern w:val="0"/>
                <w:sz w:val="24"/>
                <w:highlight w:val="none"/>
                <w:lang w:val="en-US" w:eastAsia="zh-CN" w:bidi="ar"/>
              </w:rPr>
              <w:t>性分析</w:t>
            </w:r>
            <w:r>
              <w:rPr>
                <w:rFonts w:hint="default" w:ascii="Times New Roman" w:hAnsi="Times New Roman" w:eastAsia="宋体" w:cs="Times New Roman"/>
                <w:color w:val="auto"/>
                <w:kern w:val="0"/>
                <w:sz w:val="24"/>
                <w:highlight w:val="none"/>
                <w:lang w:bidi="ar"/>
              </w:rPr>
              <w:t>见下表</w:t>
            </w:r>
            <w:r>
              <w:rPr>
                <w:rFonts w:hint="default" w:ascii="Times New Roman" w:hAnsi="Times New Roman" w:eastAsia="宋体" w:cs="Times New Roman"/>
                <w:color w:val="auto"/>
                <w:kern w:val="0"/>
                <w:sz w:val="24"/>
                <w:highlight w:val="none"/>
                <w:lang w:eastAsia="zh-CN" w:bidi="ar"/>
              </w:rPr>
              <w:t>。</w:t>
            </w:r>
          </w:p>
          <w:p w14:paraId="31E999C8">
            <w:pPr>
              <w:widowControl/>
              <w:numPr>
                <w:ilvl w:val="0"/>
                <w:numId w:val="4"/>
              </w:numPr>
              <w:spacing w:line="360" w:lineRule="auto"/>
              <w:ind w:left="425" w:leftChars="0" w:hanging="425" w:firstLineChars="0"/>
              <w:jc w:val="center"/>
              <w:rPr>
                <w:rFonts w:hint="default" w:ascii="Times New Roman" w:hAnsi="Times New Roman" w:eastAsia="宋体" w:cs="Times New Roman"/>
                <w:b/>
                <w:bCs/>
                <w:color w:val="auto"/>
                <w:kern w:val="0"/>
                <w:sz w:val="24"/>
                <w:highlight w:val="none"/>
                <w:lang w:bidi="ar"/>
              </w:rPr>
            </w:pPr>
            <w:r>
              <w:rPr>
                <w:rFonts w:hint="default" w:ascii="Times New Roman" w:hAnsi="Times New Roman" w:eastAsia="宋体" w:cs="Times New Roman"/>
                <w:b/>
                <w:bCs/>
                <w:color w:val="auto"/>
                <w:kern w:val="0"/>
                <w:sz w:val="24"/>
                <w:highlight w:val="none"/>
                <w:lang w:bidi="ar"/>
              </w:rPr>
              <w:t>项目与</w:t>
            </w:r>
            <w:r>
              <w:rPr>
                <w:rFonts w:hint="eastAsia" w:ascii="Times New Roman" w:hAnsi="Times New Roman" w:eastAsia="宋体" w:cs="Times New Roman"/>
                <w:b/>
                <w:bCs/>
                <w:color w:val="auto"/>
                <w:kern w:val="0"/>
                <w:sz w:val="24"/>
                <w:highlight w:val="none"/>
                <w:lang w:val="en-US" w:eastAsia="zh-CN" w:bidi="ar"/>
              </w:rPr>
              <w:t>重点管控类（重点产业园区）生态环境总体准入清单管控要求符合性分析一览表</w:t>
            </w:r>
          </w:p>
          <w:tbl>
            <w:tblPr>
              <w:tblStyle w:val="24"/>
              <w:tblW w:w="1305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6495"/>
              <w:gridCol w:w="4980"/>
              <w:gridCol w:w="746"/>
            </w:tblGrid>
            <w:tr w14:paraId="710809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38" w:type="dxa"/>
                  <w:tcBorders>
                    <w:tl2br w:val="nil"/>
                    <w:tr2bl w:val="nil"/>
                  </w:tcBorders>
                  <w:shd w:val="clear" w:color="auto" w:fill="auto"/>
                  <w:vAlign w:val="center"/>
                </w:tcPr>
                <w:p w14:paraId="69BD677E">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管控类别</w:t>
                  </w:r>
                </w:p>
              </w:tc>
              <w:tc>
                <w:tcPr>
                  <w:tcW w:w="6495" w:type="dxa"/>
                  <w:tcBorders>
                    <w:tl2br w:val="nil"/>
                    <w:tr2bl w:val="nil"/>
                  </w:tcBorders>
                  <w:shd w:val="clear" w:color="auto" w:fill="auto"/>
                  <w:vAlign w:val="center"/>
                </w:tcPr>
                <w:p w14:paraId="223844D0">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重点管控要求</w:t>
                  </w:r>
                </w:p>
              </w:tc>
              <w:tc>
                <w:tcPr>
                  <w:tcW w:w="4980" w:type="dxa"/>
                  <w:tcBorders>
                    <w:tl2br w:val="nil"/>
                    <w:tr2bl w:val="nil"/>
                  </w:tcBorders>
                  <w:shd w:val="clear" w:color="auto" w:fill="auto"/>
                  <w:vAlign w:val="center"/>
                </w:tcPr>
                <w:p w14:paraId="63B49296">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本项目符合性</w:t>
                  </w:r>
                </w:p>
              </w:tc>
              <w:tc>
                <w:tcPr>
                  <w:tcW w:w="746" w:type="dxa"/>
                  <w:tcBorders>
                    <w:tl2br w:val="nil"/>
                    <w:tr2bl w:val="nil"/>
                  </w:tcBorders>
                  <w:shd w:val="clear" w:color="auto" w:fill="auto"/>
                  <w:vAlign w:val="center"/>
                </w:tcPr>
                <w:p w14:paraId="21687915">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w:t>
                  </w:r>
                </w:p>
                <w:p w14:paraId="3FF9E662">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w:t>
                  </w:r>
                </w:p>
              </w:tc>
            </w:tr>
            <w:tr w14:paraId="4917F1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4" w:hRule="atLeast"/>
                <w:jc w:val="center"/>
              </w:trPr>
              <w:tc>
                <w:tcPr>
                  <w:tcW w:w="838" w:type="dxa"/>
                  <w:tcBorders>
                    <w:tl2br w:val="nil"/>
                    <w:tr2bl w:val="nil"/>
                  </w:tcBorders>
                  <w:shd w:val="clear" w:color="auto" w:fill="auto"/>
                  <w:vAlign w:val="center"/>
                </w:tcPr>
                <w:p w14:paraId="5C6453A6">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空间布局约束</w:t>
                  </w:r>
                </w:p>
              </w:tc>
              <w:tc>
                <w:tcPr>
                  <w:tcW w:w="6495" w:type="dxa"/>
                  <w:tcBorders>
                    <w:tl2br w:val="nil"/>
                    <w:tr2bl w:val="nil"/>
                  </w:tcBorders>
                  <w:shd w:val="clear" w:color="auto" w:fill="auto"/>
                  <w:vAlign w:val="center"/>
                </w:tcPr>
                <w:p w14:paraId="0D248A0D">
                  <w:pPr>
                    <w:pStyle w:val="9"/>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严格执行《北京市新增产业的禁止和限制目录（2022年版）》、北京市《建设项目规划使用性质正面和负面清单》《外商投资准入特别管理措施(负面清单)（2021年版）》《自由贸易试验区外商投资准入特别管理措施（负面清单）（2021年版）》。</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2.严格执行《北京市工业污染行业生产工艺调整退出及设备淘汰目录（202</w:t>
                  </w:r>
                  <w:r>
                    <w:rPr>
                      <w:rFonts w:hint="eastAsia" w:cs="Times New Roman"/>
                      <w:color w:val="auto"/>
                      <w:sz w:val="21"/>
                      <w:szCs w:val="21"/>
                      <w:highlight w:val="none"/>
                      <w:lang w:val="en-US" w:eastAsia="zh-CN"/>
                    </w:rPr>
                    <w:t>2</w:t>
                  </w:r>
                  <w:r>
                    <w:rPr>
                      <w:rFonts w:hint="eastAsia" w:ascii="Times New Roman" w:hAnsi="Times New Roman" w:eastAsia="宋体" w:cs="Times New Roman"/>
                      <w:color w:val="auto"/>
                      <w:sz w:val="21"/>
                      <w:szCs w:val="21"/>
                      <w:highlight w:val="none"/>
                    </w:rPr>
                    <w:t>年版）》。</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3.严格执行《北京市水污染防治条例》，采取措施，对高污染、高耗水行业加以限制。禁止新建、扩建制浆、制革、电镀、印染、有色冶炼、氯碱、农药合成、炼焦等对水体有严重污染的项目。</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4.严格执行《北京市大气污染防治条例》，禁止新建、扩建高污染工业项目，新建排放大气污染物的工业项目，应当按照环保规定进入工业园区。</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5.严格执行《北京城市总体规划(2016年-2035年)》《北京市国土空间近期规划(2021年—2025年)》及分区规划中的空间布局约束管控要求。</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6.严格执行《关于进一步加强产业园区规划环境影响评价工作的意见》。</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7.严格执行《北京市高污染燃料禁燃区划定方案（试行）》，高污染燃料禁燃区内任何单位不得新建、扩建高污染燃料燃用设施，不得将其他燃料燃用设施改造为高污染燃料燃用设施。</w:t>
                  </w:r>
                  <w:r>
                    <w:rPr>
                      <w:rFonts w:hint="eastAsia" w:ascii="Times New Roman" w:hAnsi="Times New Roman" w:eastAsia="宋体" w:cs="Times New Roman"/>
                      <w:color w:val="auto"/>
                      <w:sz w:val="21"/>
                      <w:szCs w:val="21"/>
                      <w:highlight w:val="none"/>
                    </w:rPr>
                    <w:br w:type="textWrapping"/>
                  </w:r>
                  <w:r>
                    <w:rPr>
                      <w:rFonts w:hint="eastAsia" w:ascii="Times New Roman" w:hAnsi="Times New Roman" w:eastAsia="宋体" w:cs="Times New Roman"/>
                      <w:color w:val="auto"/>
                      <w:sz w:val="21"/>
                      <w:szCs w:val="21"/>
                      <w:highlight w:val="none"/>
                    </w:rPr>
                    <w:t>8.贯彻落实《北京市“十四五”时期高精尖产业发展规划》《北京市“十四五”时期生态环境保护规划》，加快产业绿色低碳转型，全面建设绿色制造体系。</w:t>
                  </w:r>
                </w:p>
              </w:tc>
              <w:tc>
                <w:tcPr>
                  <w:tcW w:w="4980" w:type="dxa"/>
                  <w:tcBorders>
                    <w:tl2br w:val="nil"/>
                    <w:tr2bl w:val="nil"/>
                  </w:tcBorders>
                  <w:shd w:val="clear" w:color="auto" w:fill="auto"/>
                  <w:vAlign w:val="center"/>
                </w:tcPr>
                <w:p w14:paraId="6BDF9C5C">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1、本项目不属于《北京市新增产业的禁止和限制目录（202</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年版）》中禁止和限制类项目；</w:t>
                  </w:r>
                  <w:r>
                    <w:rPr>
                      <w:rFonts w:hint="eastAsia" w:cs="Times New Roman"/>
                      <w:color w:val="auto"/>
                      <w:sz w:val="21"/>
                      <w:szCs w:val="21"/>
                      <w:highlight w:val="none"/>
                      <w:lang w:val="en-US" w:eastAsia="zh-CN"/>
                    </w:rPr>
                    <w:t>项目不在</w:t>
                  </w:r>
                  <w:r>
                    <w:rPr>
                      <w:rFonts w:hint="default" w:ascii="Times New Roman" w:hAnsi="Times New Roman" w:eastAsia="宋体" w:cs="Times New Roman"/>
                      <w:color w:val="auto"/>
                      <w:sz w:val="21"/>
                      <w:szCs w:val="21"/>
                      <w:highlight w:val="none"/>
                    </w:rPr>
                    <w:t>本</w:t>
                  </w:r>
                  <w:r>
                    <w:rPr>
                      <w:rFonts w:hint="eastAsia" w:ascii="Times New Roman" w:hAnsi="Times New Roman" w:eastAsia="宋体" w:cs="Times New Roman"/>
                      <w:color w:val="auto"/>
                      <w:sz w:val="21"/>
                      <w:szCs w:val="21"/>
                      <w:highlight w:val="none"/>
                    </w:rPr>
                    <w:t>北京市《建设项目规划使用性质正面和负面清单》</w:t>
                  </w:r>
                  <w:r>
                    <w:rPr>
                      <w:rFonts w:hint="eastAsia" w:cs="Times New Roman"/>
                      <w:color w:val="auto"/>
                      <w:sz w:val="21"/>
                      <w:szCs w:val="21"/>
                      <w:highlight w:val="none"/>
                      <w:lang w:val="en-US" w:eastAsia="zh-CN"/>
                    </w:rPr>
                    <w:t>中；</w:t>
                  </w:r>
                  <w:r>
                    <w:rPr>
                      <w:rFonts w:hint="default" w:ascii="Times New Roman" w:hAnsi="Times New Roman" w:eastAsia="宋体" w:cs="Times New Roman"/>
                      <w:color w:val="auto"/>
                      <w:sz w:val="21"/>
                      <w:szCs w:val="21"/>
                      <w:highlight w:val="none"/>
                    </w:rPr>
                    <w:t>项目不属于外商投资和自由贸易类项目。</w:t>
                  </w:r>
                </w:p>
                <w:p w14:paraId="7A916D67">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2、本项目的生产工艺和设备未列入《北京市工业污染行业生产工艺调整退出及设备淘汰目录（202</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年版）》。</w:t>
                  </w:r>
                </w:p>
                <w:p w14:paraId="6F1B8AC4">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3.本项目用水量较少，</w:t>
                  </w:r>
                  <w:r>
                    <w:rPr>
                      <w:rFonts w:hint="eastAsia" w:cs="Times New Roman"/>
                      <w:color w:val="auto"/>
                      <w:sz w:val="21"/>
                      <w:szCs w:val="21"/>
                      <w:highlight w:val="none"/>
                      <w:lang w:val="en-US" w:eastAsia="zh-CN"/>
                    </w:rPr>
                    <w:t>企业制定节水制度，</w:t>
                  </w:r>
                  <w:r>
                    <w:rPr>
                      <w:rFonts w:hint="default" w:ascii="Times New Roman" w:hAnsi="Times New Roman" w:eastAsia="宋体" w:cs="Times New Roman"/>
                      <w:color w:val="auto"/>
                      <w:sz w:val="21"/>
                      <w:szCs w:val="21"/>
                      <w:highlight w:val="none"/>
                    </w:rPr>
                    <w:t>严格执行《北京市水污染防治条例》</w:t>
                  </w:r>
                  <w:r>
                    <w:rPr>
                      <w:rFonts w:hint="eastAsia" w:cs="Times New Roman"/>
                      <w:color w:val="auto"/>
                      <w:sz w:val="21"/>
                      <w:szCs w:val="21"/>
                      <w:highlight w:val="none"/>
                      <w:lang w:val="en-US" w:eastAsia="zh-CN"/>
                    </w:rPr>
                    <w:t>要求，项目不属于</w:t>
                  </w:r>
                  <w:r>
                    <w:rPr>
                      <w:rFonts w:hint="eastAsia" w:ascii="Times New Roman" w:hAnsi="Times New Roman" w:eastAsia="宋体" w:cs="Times New Roman"/>
                      <w:color w:val="auto"/>
                      <w:sz w:val="21"/>
                      <w:szCs w:val="21"/>
                      <w:highlight w:val="none"/>
                    </w:rPr>
                    <w:t>对水体有严重污染的项目</w:t>
                  </w:r>
                  <w:r>
                    <w:rPr>
                      <w:rFonts w:hint="default" w:ascii="Times New Roman" w:hAnsi="Times New Roman" w:eastAsia="宋体" w:cs="Times New Roman"/>
                      <w:color w:val="auto"/>
                      <w:sz w:val="21"/>
                      <w:szCs w:val="21"/>
                      <w:highlight w:val="none"/>
                    </w:rPr>
                    <w:t>。</w:t>
                  </w:r>
                </w:p>
                <w:p w14:paraId="02489CC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r>
                    <w:rPr>
                      <w:rFonts w:hint="eastAsia" w:cs="Times New Roman"/>
                      <w:color w:val="auto"/>
                      <w:sz w:val="21"/>
                      <w:szCs w:val="21"/>
                      <w:highlight w:val="none"/>
                      <w:lang w:val="en-US" w:eastAsia="zh-CN"/>
                    </w:rPr>
                    <w:t>项目</w:t>
                  </w:r>
                  <w:r>
                    <w:rPr>
                      <w:rFonts w:hint="eastAsia" w:ascii="Times New Roman" w:hAnsi="Times New Roman" w:eastAsia="宋体" w:cs="Times New Roman"/>
                      <w:color w:val="auto"/>
                      <w:sz w:val="21"/>
                      <w:szCs w:val="21"/>
                      <w:highlight w:val="none"/>
                    </w:rPr>
                    <w:t>严格执行《北京市大气污染防治条例》</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项目不属于</w:t>
                  </w:r>
                  <w:r>
                    <w:rPr>
                      <w:rFonts w:hint="eastAsia" w:ascii="Times New Roman" w:hAnsi="Times New Roman" w:eastAsia="宋体" w:cs="Times New Roman"/>
                      <w:color w:val="auto"/>
                      <w:sz w:val="21"/>
                      <w:szCs w:val="21"/>
                      <w:highlight w:val="none"/>
                    </w:rPr>
                    <w:t>高污染工业项目</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项目入驻园区</w:t>
                  </w:r>
                  <w:r>
                    <w:rPr>
                      <w:rFonts w:hint="default" w:ascii="Times New Roman" w:hAnsi="Times New Roman" w:eastAsia="宋体" w:cs="Times New Roman"/>
                      <w:color w:val="auto"/>
                      <w:sz w:val="21"/>
                      <w:szCs w:val="21"/>
                      <w:highlight w:val="none"/>
                    </w:rPr>
                    <w:t>。</w:t>
                  </w:r>
                </w:p>
                <w:p w14:paraId="6336DA75">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5.本项目严格执行《北京城市总体规划(2016年-2035年)》《北京市国土空间近期规划(2021年—2025年)》及分区规划中的空间布局约束管控要求。</w:t>
                  </w:r>
                </w:p>
                <w:p w14:paraId="280B586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6.本项目不涉及产业园区规划环境影响评价工作。</w:t>
                  </w:r>
                </w:p>
                <w:p w14:paraId="46550F6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7.本项目不涉及</w:t>
                  </w:r>
                  <w:r>
                    <w:rPr>
                      <w:rFonts w:hint="eastAsia" w:ascii="Times New Roman" w:hAnsi="Times New Roman" w:eastAsia="宋体" w:cs="Times New Roman"/>
                      <w:color w:val="auto"/>
                      <w:sz w:val="21"/>
                      <w:szCs w:val="21"/>
                      <w:highlight w:val="none"/>
                    </w:rPr>
                    <w:t>高污染燃料燃用设施</w:t>
                  </w:r>
                  <w:r>
                    <w:rPr>
                      <w:rFonts w:hint="default" w:ascii="Times New Roman" w:hAnsi="Times New Roman" w:eastAsia="宋体" w:cs="Times New Roman"/>
                      <w:color w:val="auto"/>
                      <w:sz w:val="21"/>
                      <w:szCs w:val="21"/>
                      <w:highlight w:val="none"/>
                    </w:rPr>
                    <w:t>。</w:t>
                  </w:r>
                </w:p>
                <w:p w14:paraId="4816AF1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8.本项目贯彻落实《北京市“十四五”时期高精尖产业发展规划》《北京市“十四五”时期生态环境保护规划》</w:t>
                  </w:r>
                  <w:r>
                    <w:rPr>
                      <w:rFonts w:hint="eastAsia" w:cs="Times New Roman"/>
                      <w:color w:val="auto"/>
                      <w:sz w:val="21"/>
                      <w:szCs w:val="21"/>
                      <w:highlight w:val="none"/>
                      <w:lang w:val="en-US" w:eastAsia="zh-CN"/>
                    </w:rPr>
                    <w:t>要求</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加强管理，严格管控污染物排放</w:t>
                  </w:r>
                  <w:r>
                    <w:rPr>
                      <w:rFonts w:hint="default" w:ascii="Times New Roman" w:hAnsi="Times New Roman" w:eastAsia="宋体" w:cs="Times New Roman"/>
                      <w:color w:val="auto"/>
                      <w:sz w:val="21"/>
                      <w:szCs w:val="21"/>
                      <w:highlight w:val="none"/>
                    </w:rPr>
                    <w:t>。</w:t>
                  </w:r>
                </w:p>
              </w:tc>
              <w:tc>
                <w:tcPr>
                  <w:tcW w:w="746" w:type="dxa"/>
                  <w:tcBorders>
                    <w:tl2br w:val="nil"/>
                    <w:tr2bl w:val="nil"/>
                  </w:tcBorders>
                  <w:shd w:val="clear" w:color="auto" w:fill="auto"/>
                  <w:vAlign w:val="center"/>
                </w:tcPr>
                <w:p w14:paraId="421F62A3">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4D01E0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8" w:hRule="atLeast"/>
                <w:jc w:val="center"/>
              </w:trPr>
              <w:tc>
                <w:tcPr>
                  <w:tcW w:w="838" w:type="dxa"/>
                  <w:tcBorders>
                    <w:tl2br w:val="nil"/>
                    <w:tr2bl w:val="nil"/>
                  </w:tcBorders>
                  <w:shd w:val="clear" w:color="auto" w:fill="auto"/>
                  <w:vAlign w:val="center"/>
                </w:tcPr>
                <w:p w14:paraId="3688CC15">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污染物排放管控</w:t>
                  </w:r>
                </w:p>
              </w:tc>
              <w:tc>
                <w:tcPr>
                  <w:tcW w:w="6495" w:type="dxa"/>
                  <w:tcBorders>
                    <w:tl2br w:val="nil"/>
                    <w:tr2bl w:val="nil"/>
                  </w:tcBorders>
                  <w:shd w:val="clear" w:color="auto" w:fill="auto"/>
                </w:tcPr>
                <w:p w14:paraId="390A1B78">
                  <w:pPr>
                    <w:pStyle w:val="9"/>
                    <w:numPr>
                      <w:ilvl w:val="0"/>
                      <w:numId w:val="7"/>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环境保护法》《中华人民共和国大气污染防治法》《中华人民共和国水污染防治法》《中华人民共和国土壤污染防治法》《中华人民共和国固体废物污染环境防治法》《排污许可管理条例》《北京市大气污染防治条例》《北京市水污染防治条例》《北京市土壤污染防治条例》等法律法规以及国家、地方环境质量标准。</w:t>
                  </w:r>
                </w:p>
                <w:p w14:paraId="53CC9C44">
                  <w:pPr>
                    <w:pStyle w:val="9"/>
                    <w:numPr>
                      <w:ilvl w:val="0"/>
                      <w:numId w:val="7"/>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严格执行《中华人民共和国清洁生产促进法》《中华人民共和国循环经济促进法》。</w:t>
                  </w:r>
                </w:p>
                <w:p w14:paraId="6B93B617">
                  <w:pPr>
                    <w:pStyle w:val="9"/>
                    <w:numPr>
                      <w:ilvl w:val="0"/>
                      <w:numId w:val="7"/>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严格执行《建设项目主要污染物排放总量指标审核及管理暂行办法》《原北京市环境保护局关于建设项目主要污染物排放总量指标审核及管理的补充通知》。</w:t>
                  </w:r>
                </w:p>
                <w:p w14:paraId="1CBD84F2">
                  <w:pPr>
                    <w:pStyle w:val="9"/>
                    <w:numPr>
                      <w:ilvl w:val="0"/>
                      <w:numId w:val="7"/>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严格执行废气、废水、噪声、固体废物等国家地方污染物排放标准；严格执行锅炉、餐饮、印刷业、木质家具制造业、汽车维修业等地方大气污染物排放标准，强化重点领域大气污染管控。</w:t>
                  </w:r>
                </w:p>
                <w:p w14:paraId="2DA203AB">
                  <w:pPr>
                    <w:pStyle w:val="9"/>
                    <w:numPr>
                      <w:ilvl w:val="0"/>
                      <w:numId w:val="7"/>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严格执行《北京市烟花爆竹安全管理规定》，五环路以内（含五环路）及各区人民政府划定的禁放区域禁止燃放烟花爆竹。</w:t>
                  </w:r>
                </w:p>
                <w:p w14:paraId="3B738319">
                  <w:pPr>
                    <w:pStyle w:val="9"/>
                    <w:numPr>
                      <w:ilvl w:val="0"/>
                      <w:numId w:val="7"/>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共中央国务院关于深入打好污染防治攻坚战的意见》《中共北京市委北京市人民政府关于深入打好北京市污染防治攻坚战的实施意见》，推动工业园区和产业集群升级、挥发性有机物和氮氧化物协同减排。</w:t>
                  </w:r>
                </w:p>
                <w:p w14:paraId="597936F7">
                  <w:pPr>
                    <w:pStyle w:val="9"/>
                    <w:numPr>
                      <w:ilvl w:val="0"/>
                      <w:numId w:val="7"/>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时期生态环境保护规划》、《北京市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时期土壤污染防治规划》。</w:t>
                  </w:r>
                </w:p>
                <w:p w14:paraId="1A3E764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8.严格执行《北京市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时期应对气候变化和节能规划》《北京市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时期能源发展规划》《北京市碳达峰实施方案》《北京市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时期制造业绿色低碳发展行动方案》，坚决控制高耗能、高排放项目新建和改扩建，严格控制新建项目能耗和碳排放水平。</w:t>
                  </w:r>
                </w:p>
              </w:tc>
              <w:tc>
                <w:tcPr>
                  <w:tcW w:w="4980" w:type="dxa"/>
                  <w:tcBorders>
                    <w:tl2br w:val="nil"/>
                    <w:tr2bl w:val="nil"/>
                  </w:tcBorders>
                  <w:shd w:val="clear" w:color="auto" w:fill="auto"/>
                </w:tcPr>
                <w:p w14:paraId="694B4AE4">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严格执行《中华人民共和国环境保护法》《中华人民共和国大气污染防治法》《中华人民共和国水污染防治法》《中华人民共和国土壤污染防治法》《中华人民共和国固体废物污染环境防治法》《排污许可管理条例》《北京市大气污染防治条例》《北京市水污染防治条例》《北京市土壤污染防治条例》等法律法规以及国家、地方环境质量标准要求。</w:t>
                  </w:r>
                </w:p>
                <w:p w14:paraId="0884FE4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2.本项目严格执行《中华人民共和国清洁生产促进法》《中华人民共和国循环经济促进法》</w:t>
                  </w:r>
                  <w:r>
                    <w:rPr>
                      <w:rFonts w:hint="eastAsia" w:cs="Times New Roman"/>
                      <w:color w:val="auto"/>
                      <w:sz w:val="21"/>
                      <w:szCs w:val="21"/>
                      <w:highlight w:val="none"/>
                      <w:lang w:val="en-US" w:eastAsia="zh-CN"/>
                    </w:rPr>
                    <w:t>要求</w:t>
                  </w:r>
                  <w:r>
                    <w:rPr>
                      <w:rFonts w:hint="default" w:ascii="Times New Roman" w:hAnsi="Times New Roman" w:eastAsia="宋体" w:cs="Times New Roman"/>
                      <w:color w:val="auto"/>
                      <w:sz w:val="21"/>
                      <w:szCs w:val="21"/>
                      <w:highlight w:val="none"/>
                    </w:rPr>
                    <w:t>。</w:t>
                  </w:r>
                </w:p>
                <w:p w14:paraId="711B770D">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3.本项目总量控制指标为挥发性有机物、</w:t>
                  </w:r>
                  <w:r>
                    <w:rPr>
                      <w:rFonts w:hint="eastAsia" w:cs="Times New Roman"/>
                      <w:color w:val="auto"/>
                      <w:sz w:val="21"/>
                      <w:szCs w:val="21"/>
                      <w:highlight w:val="none"/>
                      <w:lang w:val="en-US" w:eastAsia="zh-CN"/>
                    </w:rPr>
                    <w:t>氮氧化物、</w:t>
                  </w:r>
                  <w:r>
                    <w:rPr>
                      <w:rFonts w:hint="default" w:ascii="Times New Roman" w:hAnsi="Times New Roman" w:eastAsia="宋体" w:cs="Times New Roman"/>
                      <w:color w:val="auto"/>
                      <w:sz w:val="21"/>
                      <w:szCs w:val="21"/>
                      <w:highlight w:val="none"/>
                    </w:rPr>
                    <w:t>化学需氧量、氨氮，严格执行《建设项目主要污染物排放总量指标审核及管理暂行办法（环发[2014]197号）》、《原北京市环境保护局关于建设项目主要污染物排放总量指标审核及管理的补充通知》</w:t>
                  </w:r>
                  <w:r>
                    <w:rPr>
                      <w:rFonts w:hint="eastAsia" w:cs="Times New Roman"/>
                      <w:color w:val="auto"/>
                      <w:sz w:val="21"/>
                      <w:szCs w:val="21"/>
                      <w:highlight w:val="none"/>
                      <w:lang w:val="en-US" w:eastAsia="zh-CN"/>
                    </w:rPr>
                    <w:t>要求</w:t>
                  </w:r>
                  <w:r>
                    <w:rPr>
                      <w:rFonts w:hint="default" w:ascii="Times New Roman" w:hAnsi="Times New Roman" w:eastAsia="宋体" w:cs="Times New Roman"/>
                      <w:color w:val="auto"/>
                      <w:sz w:val="21"/>
                      <w:szCs w:val="21"/>
                      <w:highlight w:val="none"/>
                    </w:rPr>
                    <w:t>。</w:t>
                  </w:r>
                </w:p>
                <w:p w14:paraId="45B333B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4.本项目废气、废水、噪声均满足国家地方污染物排放标准，固体废物合理处置，满足国家、地方相关要求。</w:t>
                  </w:r>
                </w:p>
                <w:p w14:paraId="06D304D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5.本项目不涉及烟花爆竹的使用。</w:t>
                  </w:r>
                </w:p>
                <w:p w14:paraId="686C6E89">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6.项目严格执行《中共中央国务院关于深入打好污染防治攻坚战的意见》《中共北京市委北京市人民政府关于深入打好北京市污染防治攻坚战的实施意见》</w:t>
                  </w:r>
                  <w:r>
                    <w:rPr>
                      <w:rFonts w:hint="eastAsia" w:cs="Times New Roman"/>
                      <w:color w:val="auto"/>
                      <w:sz w:val="21"/>
                      <w:szCs w:val="21"/>
                      <w:highlight w:val="none"/>
                      <w:lang w:val="en-US" w:eastAsia="zh-CN"/>
                    </w:rPr>
                    <w:t>要求，严格管控污染物排放</w:t>
                  </w:r>
                  <w:r>
                    <w:rPr>
                      <w:rFonts w:hint="default" w:ascii="Times New Roman" w:hAnsi="Times New Roman" w:eastAsia="宋体" w:cs="Times New Roman"/>
                      <w:color w:val="auto"/>
                      <w:sz w:val="21"/>
                      <w:szCs w:val="21"/>
                      <w:highlight w:val="none"/>
                    </w:rPr>
                    <w:t>。</w:t>
                  </w:r>
                </w:p>
                <w:p w14:paraId="22D968D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7.项目严格执行《北京市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时期生态环境保护规划》、《北京市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时期土壤污染防治规划》</w:t>
                  </w:r>
                  <w:r>
                    <w:rPr>
                      <w:rFonts w:hint="eastAsia" w:cs="Times New Roman"/>
                      <w:color w:val="auto"/>
                      <w:sz w:val="21"/>
                      <w:szCs w:val="21"/>
                      <w:highlight w:val="none"/>
                      <w:lang w:val="en-US" w:eastAsia="zh-CN"/>
                    </w:rPr>
                    <w:t>要求</w:t>
                  </w:r>
                  <w:r>
                    <w:rPr>
                      <w:rFonts w:hint="default" w:ascii="Times New Roman" w:hAnsi="Times New Roman" w:eastAsia="宋体" w:cs="Times New Roman"/>
                      <w:color w:val="auto"/>
                      <w:sz w:val="21"/>
                      <w:szCs w:val="21"/>
                      <w:highlight w:val="none"/>
                    </w:rPr>
                    <w:t>。</w:t>
                  </w:r>
                </w:p>
                <w:p w14:paraId="0997EF9A">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8.项目严格执行《北京市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时期应对气候变化和节能规划》</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时期能源发展规划》</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《北京市碳达峰实施方案》</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《北京市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时期制造业绿色低碳发展行动方案》</w:t>
                  </w:r>
                  <w:r>
                    <w:rPr>
                      <w:rFonts w:hint="eastAsia" w:eastAsia="宋体" w:cs="Times New Roman"/>
                      <w:color w:val="auto"/>
                      <w:sz w:val="21"/>
                      <w:szCs w:val="21"/>
                      <w:highlight w:val="none"/>
                      <w:lang w:eastAsia="zh-CN"/>
                    </w:rPr>
                    <w:t>，</w:t>
                  </w:r>
                  <w:r>
                    <w:rPr>
                      <w:rFonts w:hint="eastAsia"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不属于高耗能</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高排放</w:t>
                  </w:r>
                  <w:r>
                    <w:rPr>
                      <w:rFonts w:hint="default" w:ascii="Times New Roman" w:hAnsi="Times New Roman" w:eastAsia="宋体" w:cs="Times New Roman"/>
                      <w:color w:val="auto"/>
                      <w:sz w:val="21"/>
                      <w:szCs w:val="21"/>
                      <w:highlight w:val="none"/>
                    </w:rPr>
                    <w:t>行业</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项目严格管理，进一步降低能耗和碳排放</w:t>
                  </w:r>
                  <w:r>
                    <w:rPr>
                      <w:rFonts w:hint="default" w:ascii="Times New Roman" w:hAnsi="Times New Roman" w:eastAsia="宋体" w:cs="Times New Roman"/>
                      <w:color w:val="auto"/>
                      <w:sz w:val="21"/>
                      <w:szCs w:val="21"/>
                      <w:highlight w:val="none"/>
                    </w:rPr>
                    <w:t>。</w:t>
                  </w:r>
                </w:p>
              </w:tc>
              <w:tc>
                <w:tcPr>
                  <w:tcW w:w="746" w:type="dxa"/>
                  <w:tcBorders>
                    <w:tl2br w:val="nil"/>
                    <w:tr2bl w:val="nil"/>
                  </w:tcBorders>
                  <w:shd w:val="clear" w:color="auto" w:fill="auto"/>
                  <w:vAlign w:val="center"/>
                </w:tcPr>
                <w:p w14:paraId="24CFA536">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D3775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38" w:type="dxa"/>
                  <w:tcBorders>
                    <w:tl2br w:val="nil"/>
                    <w:tr2bl w:val="nil"/>
                  </w:tcBorders>
                  <w:shd w:val="clear" w:color="auto" w:fill="auto"/>
                  <w:vAlign w:val="center"/>
                </w:tcPr>
                <w:p w14:paraId="5C0617ED">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环境风险防控</w:t>
                  </w:r>
                </w:p>
              </w:tc>
              <w:tc>
                <w:tcPr>
                  <w:tcW w:w="6495" w:type="dxa"/>
                  <w:tcBorders>
                    <w:tl2br w:val="nil"/>
                    <w:tr2bl w:val="nil"/>
                  </w:tcBorders>
                  <w:shd w:val="clear" w:color="auto" w:fill="auto"/>
                </w:tcPr>
                <w:p w14:paraId="70D0BCE8">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北京市突发环境事件应急预案》《北京市空气重污染应急预案（2023年修订）》等法律法规文件要求，完善环境风险防控体系，提高区域环境风险防范能力。</w:t>
                  </w:r>
                </w:p>
                <w:p w14:paraId="12EBFA02">
                  <w:pPr>
                    <w:pStyle w:val="9"/>
                    <w:numPr>
                      <w:ilvl w:val="0"/>
                      <w:numId w:val="8"/>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污染地块土壤环境管理办法（试行）》《工矿用地土壤环境管理办法（试行）》相关要求，重点单位建设涉及有毒有害物质的生产装置、储罐和管道，或者建设污水处理池、应急池等存在土壤污染风险的设施，应当按照国家有关标准和规范的要求，设计、建设和安装有关防腐蚀、防泄漏设施和泄漏监测装置，防止有毒有害物质污染土壤和地下水。有毒有害物质名录以生态环境部公布为准。</w:t>
                  </w:r>
                </w:p>
                <w:p w14:paraId="01E2DD9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3.工业园区管理机构应当统筹组织园区内产废量较小的工业企业产生的危险废物的收集、贮存、转运。</w:t>
                  </w:r>
                </w:p>
              </w:tc>
              <w:tc>
                <w:tcPr>
                  <w:tcW w:w="4980" w:type="dxa"/>
                  <w:tcBorders>
                    <w:tl2br w:val="nil"/>
                    <w:tr2bl w:val="nil"/>
                  </w:tcBorders>
                  <w:shd w:val="clear" w:color="auto" w:fill="auto"/>
                </w:tcPr>
                <w:p w14:paraId="775BD2E7">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严格执行《中华人民共和国环境保护法》《中华人民共和国大气污染防治法》《中华人民共和国水污染防治法》《中华人民共和国土壤污染防治法》《中华人民共和国固体废物污染环境防治法》《北京市大气污染防治条例》《北京市水污染防治条例》《中华人民共和国水土保持法》《国家突发环境事件应急预案》、《企业事业单位突发环境事件应急预案备案管理办法（试行）》等法律法规文件要求。本项目针对风险物质使用储存等风险环节，提出风险防范措施。</w:t>
                  </w:r>
                </w:p>
                <w:p w14:paraId="18B6DB1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2.本项目废气、废水能达标排放，固体废物能得到安全贮存和处置，且采取了满足标准要求的防渗措施，对地下水和土壤环境影响可控。</w:t>
                  </w:r>
                </w:p>
                <w:p w14:paraId="39FFAC7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w:t>
                  </w:r>
                  <w:r>
                    <w:rPr>
                      <w:rFonts w:hint="eastAsia" w:ascii="Times New Roman" w:hAnsi="Times New Roman" w:eastAsia="宋体" w:cs="Times New Roman"/>
                      <w:color w:val="auto"/>
                      <w:sz w:val="21"/>
                      <w:szCs w:val="21"/>
                      <w:highlight w:val="none"/>
                      <w:lang w:val="en-US" w:eastAsia="zh-CN"/>
                    </w:rPr>
                    <w:t>建设规范的危险废物暂存间，合理合规收集、贮存、处置危险废物</w:t>
                  </w:r>
                  <w:r>
                    <w:rPr>
                      <w:rFonts w:hint="default" w:ascii="Times New Roman" w:hAnsi="Times New Roman" w:eastAsia="宋体" w:cs="Times New Roman"/>
                      <w:color w:val="auto"/>
                      <w:sz w:val="21"/>
                      <w:szCs w:val="21"/>
                      <w:highlight w:val="none"/>
                    </w:rPr>
                    <w:t>。</w:t>
                  </w:r>
                </w:p>
              </w:tc>
              <w:tc>
                <w:tcPr>
                  <w:tcW w:w="746" w:type="dxa"/>
                  <w:tcBorders>
                    <w:tl2br w:val="nil"/>
                    <w:tr2bl w:val="nil"/>
                  </w:tcBorders>
                  <w:shd w:val="clear" w:color="auto" w:fill="auto"/>
                  <w:vAlign w:val="center"/>
                </w:tcPr>
                <w:p w14:paraId="20872F8A">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11E07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9" w:hRule="atLeast"/>
                <w:jc w:val="center"/>
              </w:trPr>
              <w:tc>
                <w:tcPr>
                  <w:tcW w:w="838" w:type="dxa"/>
                  <w:tcBorders>
                    <w:tl2br w:val="nil"/>
                    <w:tr2bl w:val="nil"/>
                  </w:tcBorders>
                  <w:shd w:val="clear" w:color="auto" w:fill="auto"/>
                  <w:vAlign w:val="center"/>
                </w:tcPr>
                <w:p w14:paraId="539E150D">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资源利用效率</w:t>
                  </w:r>
                </w:p>
              </w:tc>
              <w:tc>
                <w:tcPr>
                  <w:tcW w:w="6495" w:type="dxa"/>
                  <w:tcBorders>
                    <w:tl2br w:val="nil"/>
                    <w:tr2bl w:val="nil"/>
                  </w:tcBorders>
                  <w:shd w:val="clear" w:color="auto" w:fill="auto"/>
                </w:tcPr>
                <w:p w14:paraId="729A6A43">
                  <w:pPr>
                    <w:pStyle w:val="9"/>
                    <w:numPr>
                      <w:ilvl w:val="0"/>
                      <w:numId w:val="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严格执行《中华人民共和国水法》《北京市节水条例》《北京市人民政府关于实行最严格水资源管理制度的意见》《北京市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节水型社会建设规划》《关于北京市加强水生态空间管控工作的意见》，加强用水管控，推动再生水多元利用。</w:t>
                  </w:r>
                </w:p>
                <w:p w14:paraId="28EB84AD">
                  <w:pPr>
                    <w:pStyle w:val="9"/>
                    <w:numPr>
                      <w:ilvl w:val="0"/>
                      <w:numId w:val="9"/>
                    </w:numP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落实《北京城市总体规划(2016年-2035年)》《北京市国土空间近期规划(2021年—2025年)》要求，坚守建设用地规模底线，提高产业用地利用效率。</w:t>
                  </w:r>
                </w:p>
                <w:p w14:paraId="6E4DAFE5">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3.执行《中华人民共和国节约能源法》以及北京市单位产品能源消耗限额系列行业标准《供热锅炉综合能源消耗限额》《北京市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时期能源发展规划》《北京市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时期应对气候变化和节能规划》。</w:t>
                  </w:r>
                </w:p>
              </w:tc>
              <w:tc>
                <w:tcPr>
                  <w:tcW w:w="4980" w:type="dxa"/>
                  <w:tcBorders>
                    <w:tl2br w:val="nil"/>
                    <w:tr2bl w:val="nil"/>
                  </w:tcBorders>
                  <w:shd w:val="clear" w:color="auto" w:fill="auto"/>
                </w:tcPr>
                <w:p w14:paraId="3561D63C">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1.本项目用水由市政给水管网提供，严格执行《中华人民共和国水法》《北京市节水条例》《北京市人民政府关于实行最严格水资源管理制度的意见》《北京市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节水型社会建设规划》《关于北京市加强水生态空间管控工作的意见》，加强用水管控。</w:t>
                  </w:r>
                </w:p>
                <w:p w14:paraId="056480F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2.本项目租用现有建筑物，不新增用地，符合《北京城市总体规划(2016年-2035年)》《北京市国土空间近期规划(2021年</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2025年)》要求。</w:t>
                  </w:r>
                </w:p>
                <w:p w14:paraId="7BB40394">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3.项目不属于高耗能行业，且项目不涉及锅炉，项目能耗和碳排放满足要求。项目严格执行《中华人民共和国节约能源法》以及《北京市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时期能源发展规划》《北京市</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时期应对气候变化和节能规划》。</w:t>
                  </w:r>
                </w:p>
              </w:tc>
              <w:tc>
                <w:tcPr>
                  <w:tcW w:w="746" w:type="dxa"/>
                  <w:tcBorders>
                    <w:tl2br w:val="nil"/>
                    <w:tr2bl w:val="nil"/>
                  </w:tcBorders>
                  <w:shd w:val="clear" w:color="auto" w:fill="auto"/>
                  <w:vAlign w:val="center"/>
                </w:tcPr>
                <w:p w14:paraId="43FA3708">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507EA482">
            <w:pPr>
              <w:rPr>
                <w:rFonts w:hint="default" w:ascii="Times New Roman" w:hAnsi="Times New Roman" w:eastAsia="宋体" w:cs="Times New Roman"/>
                <w:b/>
                <w:bCs/>
                <w:color w:val="auto"/>
                <w:kern w:val="0"/>
                <w:sz w:val="24"/>
                <w:highlight w:val="none"/>
                <w:lang w:bidi="ar"/>
              </w:rPr>
            </w:pPr>
          </w:p>
          <w:p w14:paraId="312E789F">
            <w:pPr>
              <w:pStyle w:val="9"/>
              <w:numPr>
                <w:ilvl w:val="0"/>
                <w:numId w:val="10"/>
              </w:num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五大功能区生态环境准入清单</w:t>
            </w:r>
          </w:p>
          <w:p w14:paraId="5ED63ABC">
            <w:pPr>
              <w:pStyle w:val="9"/>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本项目与城市副中心生态环境准入清单的符合性分析见下表。</w:t>
            </w:r>
          </w:p>
          <w:p w14:paraId="5B98295E">
            <w:pPr>
              <w:widowControl/>
              <w:numPr>
                <w:ilvl w:val="0"/>
                <w:numId w:val="4"/>
              </w:numPr>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城市副中心生态环境准入清单</w:t>
            </w:r>
          </w:p>
          <w:tbl>
            <w:tblPr>
              <w:tblStyle w:val="24"/>
              <w:tblW w:w="1281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5875"/>
              <w:gridCol w:w="5225"/>
              <w:gridCol w:w="697"/>
            </w:tblGrid>
            <w:tr w14:paraId="1FD48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7777EAA4">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管控类别</w:t>
                  </w:r>
                </w:p>
              </w:tc>
              <w:tc>
                <w:tcPr>
                  <w:tcW w:w="5875" w:type="dxa"/>
                  <w:tcBorders>
                    <w:tl2br w:val="nil"/>
                    <w:tr2bl w:val="nil"/>
                  </w:tcBorders>
                  <w:shd w:val="clear" w:color="auto" w:fill="auto"/>
                  <w:vAlign w:val="center"/>
                </w:tcPr>
                <w:p w14:paraId="4E717A35">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重点管控要求</w:t>
                  </w:r>
                </w:p>
              </w:tc>
              <w:tc>
                <w:tcPr>
                  <w:tcW w:w="5225" w:type="dxa"/>
                  <w:tcBorders>
                    <w:tl2br w:val="nil"/>
                    <w:tr2bl w:val="nil"/>
                  </w:tcBorders>
                  <w:shd w:val="clear" w:color="auto" w:fill="auto"/>
                  <w:vAlign w:val="center"/>
                </w:tcPr>
                <w:p w14:paraId="726A1AFE">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本项目符合性</w:t>
                  </w:r>
                </w:p>
              </w:tc>
              <w:tc>
                <w:tcPr>
                  <w:tcW w:w="697" w:type="dxa"/>
                  <w:tcBorders>
                    <w:tl2br w:val="nil"/>
                    <w:tr2bl w:val="nil"/>
                  </w:tcBorders>
                  <w:shd w:val="clear" w:color="auto" w:fill="auto"/>
                  <w:vAlign w:val="center"/>
                </w:tcPr>
                <w:p w14:paraId="6B9A7702">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是否符合</w:t>
                  </w:r>
                </w:p>
              </w:tc>
            </w:tr>
            <w:tr w14:paraId="417AC7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376F8735">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空间布局约束</w:t>
                  </w:r>
                </w:p>
              </w:tc>
              <w:tc>
                <w:tcPr>
                  <w:tcW w:w="5875" w:type="dxa"/>
                  <w:tcBorders>
                    <w:tl2br w:val="nil"/>
                    <w:tr2bl w:val="nil"/>
                  </w:tcBorders>
                  <w:shd w:val="clear" w:color="auto" w:fill="auto"/>
                </w:tcPr>
                <w:p w14:paraId="4CA2DC9C">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执行《北京市新增产业的禁止和限制目录（2022年版）》适用于北京城市副中心的管控要求。</w:t>
                  </w:r>
                </w:p>
                <w:p w14:paraId="1EF63D24">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执行《建设项目规划使用性质正面和负面清单》适用于城市副中心的管控要求。</w:t>
                  </w:r>
                </w:p>
                <w:p w14:paraId="67945A34">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执行《北京城市副中心（通州区）</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时期产业发展规划》《北京城市副中心（通州区）</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时期城市治理规划）》《北京市城市副中心（通州区）</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时期交通发展建设规划》的管控要求。</w:t>
                  </w:r>
                </w:p>
                <w:p w14:paraId="41556BB6">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4.涉及生态保护红线及相关法定保护空间的应执行优先保护类总体准入清单。</w:t>
                  </w:r>
                </w:p>
              </w:tc>
              <w:tc>
                <w:tcPr>
                  <w:tcW w:w="5225" w:type="dxa"/>
                  <w:tcBorders>
                    <w:tl2br w:val="nil"/>
                    <w:tr2bl w:val="nil"/>
                  </w:tcBorders>
                  <w:shd w:val="clear" w:color="auto" w:fill="auto"/>
                  <w:vAlign w:val="center"/>
                </w:tcPr>
                <w:p w14:paraId="0511F166">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1.对照《北京市新增产业的禁止和限制目录（2022年版）》中适用于中心城区、北京城市副中心以外的平原地区的目录(二)，本项目不属于禁止和限制项目。</w:t>
                  </w:r>
                </w:p>
                <w:p w14:paraId="1C668616">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w:t>
                  </w:r>
                  <w:r>
                    <w:rPr>
                      <w:rFonts w:hint="eastAsia" w:cs="Times New Roman"/>
                      <w:color w:val="auto"/>
                      <w:sz w:val="21"/>
                      <w:szCs w:val="21"/>
                      <w:highlight w:val="none"/>
                      <w:lang w:val="en-US" w:eastAsia="zh-CN"/>
                    </w:rPr>
                    <w:t>在</w:t>
                  </w:r>
                  <w:r>
                    <w:rPr>
                      <w:rFonts w:hint="default" w:ascii="Times New Roman" w:hAnsi="Times New Roman" w:eastAsia="宋体" w:cs="Times New Roman"/>
                      <w:color w:val="auto"/>
                      <w:sz w:val="21"/>
                      <w:szCs w:val="21"/>
                      <w:highlight w:val="none"/>
                    </w:rPr>
                    <w:t>北京市《建设项目规划使用性质正面和负面清单》负面清单中。</w:t>
                  </w:r>
                </w:p>
                <w:p w14:paraId="2432BE07">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3.项目符合《北京城市副中心（通州区）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时期产业发展规划》《北京城市副中心（通州区）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时期城市治理规划）》《北京市城市副中心（通州区）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时期交通发展建设规划》的管控要求。</w:t>
                  </w:r>
                </w:p>
                <w:p w14:paraId="49B0E9AF">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4.项目位于</w:t>
                  </w:r>
                  <w:r>
                    <w:rPr>
                      <w:rFonts w:hint="eastAsia" w:cs="Times New Roman"/>
                      <w:color w:val="auto"/>
                      <w:sz w:val="21"/>
                      <w:szCs w:val="21"/>
                      <w:highlight w:val="none"/>
                      <w:lang w:val="en-US" w:eastAsia="zh-CN"/>
                    </w:rPr>
                    <w:t>北京经济技术开发区环科中路2号院11号楼B单元</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项目不涉及生态保护红线及相关法定保护空间。</w:t>
                  </w:r>
                </w:p>
              </w:tc>
              <w:tc>
                <w:tcPr>
                  <w:tcW w:w="697" w:type="dxa"/>
                  <w:tcBorders>
                    <w:tl2br w:val="nil"/>
                    <w:tr2bl w:val="nil"/>
                  </w:tcBorders>
                  <w:shd w:val="clear" w:color="auto" w:fill="auto"/>
                  <w:vAlign w:val="center"/>
                </w:tcPr>
                <w:p w14:paraId="2301C1EE">
                  <w:pPr>
                    <w:pStyle w:val="9"/>
                    <w:jc w:val="center"/>
                    <w:rPr>
                      <w:rFonts w:hint="default" w:ascii="Times New Roman" w:hAnsi="Times New Roman" w:eastAsia="宋体" w:cs="Times New Roman"/>
                      <w:color w:val="auto"/>
                      <w:sz w:val="21"/>
                      <w:szCs w:val="21"/>
                      <w:highlight w:val="none"/>
                    </w:rPr>
                  </w:pPr>
                </w:p>
                <w:p w14:paraId="15799BC2">
                  <w:pPr>
                    <w:pStyle w:val="9"/>
                    <w:jc w:val="center"/>
                    <w:rPr>
                      <w:rFonts w:hint="default" w:ascii="Times New Roman" w:hAnsi="Times New Roman" w:eastAsia="宋体" w:cs="Times New Roman"/>
                      <w:color w:val="auto"/>
                      <w:sz w:val="21"/>
                      <w:szCs w:val="21"/>
                      <w:highlight w:val="none"/>
                    </w:rPr>
                  </w:pPr>
                </w:p>
                <w:p w14:paraId="75592236">
                  <w:pPr>
                    <w:pStyle w:val="9"/>
                    <w:jc w:val="center"/>
                    <w:rPr>
                      <w:rFonts w:hint="default" w:ascii="Times New Roman" w:hAnsi="Times New Roman" w:eastAsia="宋体" w:cs="Times New Roman"/>
                      <w:color w:val="auto"/>
                      <w:sz w:val="21"/>
                      <w:szCs w:val="21"/>
                      <w:highlight w:val="none"/>
                    </w:rPr>
                  </w:pPr>
                </w:p>
                <w:p w14:paraId="77826F6B">
                  <w:pPr>
                    <w:pStyle w:val="9"/>
                    <w:jc w:val="center"/>
                    <w:rPr>
                      <w:rFonts w:hint="default" w:ascii="Times New Roman" w:hAnsi="Times New Roman" w:eastAsia="宋体" w:cs="Times New Roman"/>
                      <w:color w:val="auto"/>
                      <w:sz w:val="21"/>
                      <w:szCs w:val="21"/>
                      <w:highlight w:val="none"/>
                    </w:rPr>
                  </w:pPr>
                </w:p>
                <w:p w14:paraId="61F95B2C">
                  <w:pPr>
                    <w:pStyle w:val="9"/>
                    <w:jc w:val="center"/>
                    <w:rPr>
                      <w:rFonts w:hint="default" w:ascii="Times New Roman" w:hAnsi="Times New Roman" w:eastAsia="宋体" w:cs="Times New Roman"/>
                      <w:color w:val="auto"/>
                      <w:sz w:val="21"/>
                      <w:szCs w:val="21"/>
                      <w:highlight w:val="none"/>
                    </w:rPr>
                  </w:pPr>
                </w:p>
                <w:p w14:paraId="362B9834">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7E4DF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1E56876E">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污染物排放管控</w:t>
                  </w:r>
                </w:p>
              </w:tc>
              <w:tc>
                <w:tcPr>
                  <w:tcW w:w="5875" w:type="dxa"/>
                  <w:tcBorders>
                    <w:tl2br w:val="nil"/>
                    <w:tr2bl w:val="nil"/>
                  </w:tcBorders>
                  <w:shd w:val="clear" w:color="auto" w:fill="auto"/>
                </w:tcPr>
                <w:p w14:paraId="789656FB">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通州区全域禁止使用高排放非道路移动机械。</w:t>
                  </w:r>
                </w:p>
                <w:p w14:paraId="3A93DB16">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副中心开展大气污染精细化治理，组织空气质量排名靠后的街道(乡镇)进行综合整治。</w:t>
                  </w:r>
                </w:p>
                <w:p w14:paraId="5548B73A">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必须遵守污染物排放的国家标准和地方标准；在实施重点污染物排放总量控制的区域内，还必须符合重点污染物排放总量控制的要求。</w:t>
                  </w:r>
                </w:p>
                <w:p w14:paraId="61AA1CE9">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严格产业准入标准，有序引导高端要素集聚。</w:t>
                  </w:r>
                </w:p>
                <w:p w14:paraId="5624059D">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工业园区配套建设废水集中处理设施。</w:t>
                  </w:r>
                </w:p>
                <w:p w14:paraId="3EF83240">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依法关闭或搬迁禁养区内的畜禽养殖场（小区）和养殖专业户。新建、改建、扩建规模化畜禽养殖场（小区）要实施雨污分流、粪便污水资源化利用。</w:t>
                  </w:r>
                </w:p>
                <w:p w14:paraId="52AC8F66">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禁止在居民住宅楼、未配套设立专用烟道的商住综合楼、商住综合楼内与居住层相邻的商业楼层内，新建、改建、扩建产生油烟、异味、废气、噪声污染的饮食服务、服装干洗、机动车维修。</w:t>
                  </w:r>
                </w:p>
                <w:p w14:paraId="41062734">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到2025年，道路(含背街小巷)优于一级清扫保洁质量要求。</w:t>
                  </w:r>
                </w:p>
                <w:p w14:paraId="241AC5FE">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推动副中心核心区划定超低排放区建设，基本实现公交、环卫、出租、邮政、渣土、机场大巴、货运、旅游及公务车辆为新能源动力，逐步禁止柴油车辆驶入。</w:t>
                  </w:r>
                </w:p>
              </w:tc>
              <w:tc>
                <w:tcPr>
                  <w:tcW w:w="5225" w:type="dxa"/>
                  <w:tcBorders>
                    <w:tl2br w:val="nil"/>
                    <w:tr2bl w:val="nil"/>
                  </w:tcBorders>
                  <w:shd w:val="clear" w:color="auto" w:fill="auto"/>
                  <w:vAlign w:val="center"/>
                </w:tcPr>
                <w:p w14:paraId="322A5B6B">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1.项目不涉及高排放非道路移动机械。</w:t>
                  </w:r>
                </w:p>
                <w:p w14:paraId="1E01EFEA">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2.项目所在区域不属于空气质量排名靠后的街道(乡镇)。</w:t>
                  </w:r>
                </w:p>
                <w:p w14:paraId="4B5DA7E4">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3.本项目废气、废水、噪声均满足国家地方污染物排放标准，固体废物合理处置，满足国家、地方相关要求。本项目总量控制指标为挥发性有机物、化学需氧量、</w:t>
                  </w:r>
                  <w:r>
                    <w:rPr>
                      <w:rFonts w:hint="eastAsia" w:cs="Times New Roman"/>
                      <w:color w:val="auto"/>
                      <w:sz w:val="21"/>
                      <w:szCs w:val="21"/>
                      <w:highlight w:val="none"/>
                      <w:lang w:val="en-US" w:eastAsia="zh-CN"/>
                    </w:rPr>
                    <w:t>氮氧化物、</w:t>
                  </w:r>
                  <w:r>
                    <w:rPr>
                      <w:rFonts w:hint="default" w:ascii="Times New Roman" w:hAnsi="Times New Roman" w:eastAsia="宋体" w:cs="Times New Roman"/>
                      <w:color w:val="auto"/>
                      <w:sz w:val="21"/>
                      <w:szCs w:val="21"/>
                      <w:highlight w:val="none"/>
                    </w:rPr>
                    <w:t>氨氮，严格执行《建设项目主要污染物排放总量指标审核及管理暂行办法（环发[2014]197号）》、《原北京市环境保护局关于建设项目主要污染物排放总量指标审核及管理的补充通知》。</w:t>
                  </w:r>
                </w:p>
                <w:p w14:paraId="62FEC565">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4.项目符合《产业结构调整指导目录》（2024年本）。项目不在《北京市新增产业的禁止和限制目录（2022年版）》禁止和限制范围内。</w:t>
                  </w:r>
                </w:p>
                <w:p w14:paraId="62E79F49">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5.项目所在工业园区已配套建设废水集中</w:t>
                  </w:r>
                  <w:r>
                    <w:rPr>
                      <w:rFonts w:hint="eastAsia" w:cs="Times New Roman"/>
                      <w:color w:val="auto"/>
                      <w:sz w:val="21"/>
                      <w:szCs w:val="21"/>
                      <w:highlight w:val="none"/>
                      <w:lang w:val="en-US" w:eastAsia="zh-CN"/>
                    </w:rPr>
                    <w:t>收集设施，建设化粪池，园区项目废水排放满足污水处理厂进水要求</w:t>
                  </w:r>
                  <w:r>
                    <w:rPr>
                      <w:rFonts w:hint="default" w:ascii="Times New Roman" w:hAnsi="Times New Roman" w:eastAsia="宋体" w:cs="Times New Roman"/>
                      <w:color w:val="auto"/>
                      <w:sz w:val="21"/>
                      <w:szCs w:val="21"/>
                      <w:highlight w:val="none"/>
                    </w:rPr>
                    <w:t>。</w:t>
                  </w:r>
                </w:p>
                <w:p w14:paraId="6AD6AD6D">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6.项目不属于畜禽养殖场（小区）和养殖专业户。</w:t>
                  </w:r>
                </w:p>
                <w:p w14:paraId="48C81CBE">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7.项目不位于居民住宅楼、未配套设立专用烟道的商住综合楼、商住综合楼内与居住层相邻的商业楼层内，且项目不属于饮食服务、服装干洗、机动车维修。</w:t>
                  </w:r>
                </w:p>
                <w:p w14:paraId="40037F76">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8.项目不涉及。</w:t>
                  </w:r>
                </w:p>
                <w:p w14:paraId="613DB4EC">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9.项目不涉及柴油车辆。</w:t>
                  </w:r>
                </w:p>
              </w:tc>
              <w:tc>
                <w:tcPr>
                  <w:tcW w:w="697" w:type="dxa"/>
                  <w:tcBorders>
                    <w:tl2br w:val="nil"/>
                    <w:tr2bl w:val="nil"/>
                  </w:tcBorders>
                  <w:shd w:val="clear" w:color="auto" w:fill="auto"/>
                  <w:vAlign w:val="center"/>
                </w:tcPr>
                <w:p w14:paraId="1752A085">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958D1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02608714">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环境风险防控</w:t>
                  </w:r>
                </w:p>
              </w:tc>
              <w:tc>
                <w:tcPr>
                  <w:tcW w:w="5875" w:type="dxa"/>
                  <w:tcBorders>
                    <w:tl2br w:val="nil"/>
                    <w:tr2bl w:val="nil"/>
                  </w:tcBorders>
                  <w:shd w:val="clear" w:color="auto" w:fill="auto"/>
                </w:tcPr>
                <w:p w14:paraId="4C2ACADA">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应充分考虑污染地块的环境风险，合理确定土地用途。</w:t>
                  </w:r>
                </w:p>
                <w:p w14:paraId="20B4FD11">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严格用地准入，防范人居环境风险。严格实施再开发、安全利用的管理。对原东方化工厂所在区域开展土壤治理修复和风险管控，保障城市绿心用地安全。</w:t>
                  </w:r>
                </w:p>
                <w:p w14:paraId="5A5D46EC">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3.有效落实空气重污染各项应急减排措施，引导提高施工工地和应急减排清单企业的绩效等级，引导使用纯电动、氢燃料电池的车辆和非道路移动机械。</w:t>
                  </w:r>
                </w:p>
              </w:tc>
              <w:tc>
                <w:tcPr>
                  <w:tcW w:w="5225" w:type="dxa"/>
                  <w:tcBorders>
                    <w:tl2br w:val="nil"/>
                    <w:tr2bl w:val="nil"/>
                  </w:tcBorders>
                  <w:shd w:val="clear" w:color="auto" w:fill="auto"/>
                  <w:vAlign w:val="center"/>
                </w:tcPr>
                <w:p w14:paraId="4776AC18">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1.项目租用现有建筑物进行建设，不涉及新增用地。项目租用建筑物用途为</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工业</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从事</w:t>
                  </w:r>
                  <w:r>
                    <w:rPr>
                      <w:rFonts w:hint="eastAsia" w:cs="Times New Roman"/>
                      <w:color w:val="auto"/>
                      <w:sz w:val="21"/>
                      <w:szCs w:val="21"/>
                      <w:highlight w:val="none"/>
                      <w:lang w:val="en-US" w:eastAsia="zh-CN"/>
                    </w:rPr>
                    <w:t>检验检测服务</w:t>
                  </w:r>
                  <w:r>
                    <w:rPr>
                      <w:rFonts w:hint="default" w:ascii="Times New Roman" w:hAnsi="Times New Roman" w:eastAsia="宋体" w:cs="Times New Roman"/>
                      <w:color w:val="auto"/>
                      <w:sz w:val="21"/>
                      <w:szCs w:val="21"/>
                      <w:highlight w:val="none"/>
                    </w:rPr>
                    <w:t>，符合建筑的规划用途。</w:t>
                  </w:r>
                </w:p>
                <w:p w14:paraId="2EB4DED3">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2.项目租用现有建筑物进行建设，不涉及新增用地。</w:t>
                  </w:r>
                </w:p>
                <w:p w14:paraId="6BD510C7">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3.项目租用现有建筑物进行建设，不涉及土建施工。施工期仅为简单装修。</w:t>
                  </w:r>
                </w:p>
              </w:tc>
              <w:tc>
                <w:tcPr>
                  <w:tcW w:w="697" w:type="dxa"/>
                  <w:tcBorders>
                    <w:tl2br w:val="nil"/>
                    <w:tr2bl w:val="nil"/>
                  </w:tcBorders>
                  <w:shd w:val="clear" w:color="auto" w:fill="auto"/>
                  <w:vAlign w:val="center"/>
                </w:tcPr>
                <w:p w14:paraId="67F1911C">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3DB8A0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2" w:type="dxa"/>
                  <w:tcBorders>
                    <w:tl2br w:val="nil"/>
                    <w:tr2bl w:val="nil"/>
                  </w:tcBorders>
                  <w:shd w:val="clear" w:color="auto" w:fill="auto"/>
                  <w:vAlign w:val="center"/>
                </w:tcPr>
                <w:p w14:paraId="1F78CED4">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资源利用效率</w:t>
                  </w:r>
                </w:p>
              </w:tc>
              <w:tc>
                <w:tcPr>
                  <w:tcW w:w="5875" w:type="dxa"/>
                  <w:tcBorders>
                    <w:tl2br w:val="nil"/>
                    <w:tr2bl w:val="nil"/>
                  </w:tcBorders>
                  <w:shd w:val="clear" w:color="auto" w:fill="auto"/>
                </w:tcPr>
                <w:p w14:paraId="78A35AED">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坚持节水优先，实行最严格水资源管理制度，促进生产和生活全方位节水。</w:t>
                  </w:r>
                </w:p>
                <w:p w14:paraId="2DE433FB">
                  <w:pPr>
                    <w:pStyle w:val="9"/>
                    <w:jc w:val="left"/>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优化区域能源结构，大力推进新能源和可再生能源利用，严控能源消费总量。</w:t>
                  </w:r>
                </w:p>
                <w:p w14:paraId="26AADDA8">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3.加快锅炉房新能源和可再生能源替代，结合旧城改造、城市更新、园区建设和特色小镇等发展契机，推进建筑和工业等领域新能源和可再生能源供热，显著降低常规发展模式下能源利用污染物排放总量。</w:t>
                  </w:r>
                </w:p>
              </w:tc>
              <w:tc>
                <w:tcPr>
                  <w:tcW w:w="5225" w:type="dxa"/>
                  <w:tcBorders>
                    <w:tl2br w:val="nil"/>
                    <w:tr2bl w:val="nil"/>
                  </w:tcBorders>
                  <w:shd w:val="clear" w:color="auto" w:fill="auto"/>
                  <w:vAlign w:val="center"/>
                </w:tcPr>
                <w:p w14:paraId="040635B9">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1.本项目用水由市政给水管网提供。项目</w:t>
                  </w:r>
                  <w:r>
                    <w:rPr>
                      <w:rFonts w:hint="eastAsia" w:cs="Times New Roman"/>
                      <w:color w:val="auto"/>
                      <w:sz w:val="21"/>
                      <w:szCs w:val="21"/>
                      <w:highlight w:val="none"/>
                      <w:lang w:val="en-US" w:eastAsia="zh-CN"/>
                    </w:rPr>
                    <w:t>制定节水制度，</w:t>
                  </w:r>
                  <w:r>
                    <w:rPr>
                      <w:rFonts w:hint="default" w:ascii="Times New Roman" w:hAnsi="Times New Roman" w:eastAsia="宋体" w:cs="Times New Roman"/>
                      <w:color w:val="auto"/>
                      <w:sz w:val="21"/>
                      <w:szCs w:val="21"/>
                      <w:highlight w:val="none"/>
                    </w:rPr>
                    <w:t>加强</w:t>
                  </w:r>
                  <w:r>
                    <w:rPr>
                      <w:rFonts w:hint="eastAsia" w:cs="Times New Roman"/>
                      <w:color w:val="auto"/>
                      <w:sz w:val="21"/>
                      <w:szCs w:val="21"/>
                      <w:highlight w:val="none"/>
                      <w:lang w:val="en-US" w:eastAsia="zh-CN"/>
                    </w:rPr>
                    <w:t>检测</w:t>
                  </w:r>
                  <w:r>
                    <w:rPr>
                      <w:rFonts w:hint="default" w:ascii="Times New Roman" w:hAnsi="Times New Roman" w:eastAsia="宋体" w:cs="Times New Roman"/>
                      <w:color w:val="auto"/>
                      <w:sz w:val="21"/>
                      <w:szCs w:val="21"/>
                      <w:highlight w:val="none"/>
                    </w:rPr>
                    <w:t>和生活全方位节水。</w:t>
                  </w:r>
                </w:p>
                <w:p w14:paraId="7D47BCD1">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2.项目所用能源主要为水资源和电能。项目不涉及其他能源消耗。</w:t>
                  </w:r>
                </w:p>
                <w:p w14:paraId="44238A1F">
                  <w:pPr>
                    <w:pStyle w:val="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3.项目不涉及锅炉使用。</w:t>
                  </w:r>
                </w:p>
              </w:tc>
              <w:tc>
                <w:tcPr>
                  <w:tcW w:w="697" w:type="dxa"/>
                  <w:tcBorders>
                    <w:tl2br w:val="nil"/>
                    <w:tr2bl w:val="nil"/>
                  </w:tcBorders>
                  <w:shd w:val="clear" w:color="auto" w:fill="auto"/>
                  <w:vAlign w:val="center"/>
                </w:tcPr>
                <w:p w14:paraId="2276AC31">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6F04741A">
            <w:pPr>
              <w:rPr>
                <w:rFonts w:hint="default" w:ascii="Times New Roman" w:hAnsi="Times New Roman" w:eastAsia="宋体" w:cs="Times New Roman"/>
                <w:b/>
                <w:bCs/>
                <w:color w:val="auto"/>
                <w:sz w:val="24"/>
                <w:highlight w:val="none"/>
              </w:rPr>
            </w:pPr>
          </w:p>
          <w:p w14:paraId="18E70F1F">
            <w:pPr>
              <w:pStyle w:val="9"/>
              <w:numPr>
                <w:ilvl w:val="0"/>
                <w:numId w:val="10"/>
              </w:num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环境管控单元生态环境准入清单</w:t>
            </w:r>
          </w:p>
          <w:p w14:paraId="540ACAD8">
            <w:pPr>
              <w:spacing w:line="360" w:lineRule="auto"/>
              <w:ind w:firstLine="480"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本项目与重点管控单元准入清单的符合性分析见下表</w:t>
            </w:r>
          </w:p>
          <w:p w14:paraId="733BCD88">
            <w:pPr>
              <w:widowControl/>
              <w:numPr>
                <w:ilvl w:val="0"/>
                <w:numId w:val="4"/>
              </w:numPr>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重点产业园区重点管控单元生态环境准入清单</w:t>
            </w:r>
          </w:p>
          <w:tbl>
            <w:tblPr>
              <w:tblStyle w:val="24"/>
              <w:tblW w:w="1297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7516"/>
              <w:gridCol w:w="4008"/>
              <w:gridCol w:w="677"/>
            </w:tblGrid>
            <w:tr w14:paraId="6B2503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5848E03A">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管控类别</w:t>
                  </w:r>
                </w:p>
              </w:tc>
              <w:tc>
                <w:tcPr>
                  <w:tcW w:w="7516" w:type="dxa"/>
                  <w:tcBorders>
                    <w:tl2br w:val="nil"/>
                    <w:tr2bl w:val="nil"/>
                  </w:tcBorders>
                  <w:shd w:val="clear" w:color="auto" w:fill="auto"/>
                  <w:vAlign w:val="center"/>
                </w:tcPr>
                <w:p w14:paraId="7ECEFACA">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重点管控要求</w:t>
                  </w:r>
                </w:p>
              </w:tc>
              <w:tc>
                <w:tcPr>
                  <w:tcW w:w="4008" w:type="dxa"/>
                  <w:tcBorders>
                    <w:tl2br w:val="nil"/>
                    <w:tr2bl w:val="nil"/>
                  </w:tcBorders>
                  <w:shd w:val="clear" w:color="auto" w:fill="auto"/>
                  <w:vAlign w:val="center"/>
                </w:tcPr>
                <w:p w14:paraId="657822E6">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本项目符合性</w:t>
                  </w:r>
                </w:p>
              </w:tc>
              <w:tc>
                <w:tcPr>
                  <w:tcW w:w="677" w:type="dxa"/>
                  <w:tcBorders>
                    <w:tl2br w:val="nil"/>
                    <w:tr2bl w:val="nil"/>
                  </w:tcBorders>
                  <w:shd w:val="clear" w:color="auto" w:fill="auto"/>
                  <w:vAlign w:val="center"/>
                </w:tcPr>
                <w:p w14:paraId="4CDFB3C9">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是否</w:t>
                  </w:r>
                </w:p>
                <w:p w14:paraId="3D0104E1">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w:t>
                  </w:r>
                </w:p>
              </w:tc>
            </w:tr>
            <w:tr w14:paraId="1B5972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06149349">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空间布局约束</w:t>
                  </w:r>
                </w:p>
              </w:tc>
              <w:tc>
                <w:tcPr>
                  <w:tcW w:w="7516" w:type="dxa"/>
                  <w:tcBorders>
                    <w:tl2br w:val="nil"/>
                    <w:tr2bl w:val="nil"/>
                  </w:tcBorders>
                  <w:shd w:val="clear" w:color="auto" w:fill="auto"/>
                  <w:vAlign w:val="center"/>
                </w:tcPr>
                <w:p w14:paraId="6870B99E">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1.执行重点管控类（产业园区）生态环境总体准入清单和城市副中心及通州其他区域生态环境准入清单的空间布局约束准入要求。</w:t>
                  </w:r>
                </w:p>
                <w:p w14:paraId="773C60E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主导产业为5G、集成电路、新型显示、环保节能产业，推动智能制造发展，大力发展5G、集成电路、新型显示、环保节能产业，打造国际领先的新一代信息技术产业园区；对现有与主导产业定位不一致的食品生产、服装制造企业应限制发展；拆除或者关闭水源地一级保护区范围内与供水设施和保护水源无关的建设项目；或根据水源地保护要求关闭水源井，重新选址。</w:t>
                  </w:r>
                </w:p>
              </w:tc>
              <w:tc>
                <w:tcPr>
                  <w:tcW w:w="4008" w:type="dxa"/>
                  <w:tcBorders>
                    <w:tl2br w:val="nil"/>
                    <w:tr2bl w:val="nil"/>
                  </w:tcBorders>
                  <w:shd w:val="clear" w:color="auto" w:fill="auto"/>
                  <w:vAlign w:val="center"/>
                </w:tcPr>
                <w:p w14:paraId="74193044">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1.本项目满足重点管控类（产业园区）生态环境总体准入清单和城市副中心及通州其他区域生态环境准入清单的空间布局约束准入要求。</w:t>
                  </w:r>
                </w:p>
                <w:p w14:paraId="6B73E9E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2.本项目不涉及。</w:t>
                  </w:r>
                </w:p>
              </w:tc>
              <w:tc>
                <w:tcPr>
                  <w:tcW w:w="677" w:type="dxa"/>
                  <w:tcBorders>
                    <w:tl2br w:val="nil"/>
                    <w:tr2bl w:val="nil"/>
                  </w:tcBorders>
                  <w:shd w:val="clear" w:color="auto" w:fill="auto"/>
                  <w:vAlign w:val="center"/>
                </w:tcPr>
                <w:p w14:paraId="7914504C">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014386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51806719">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污染物排放管控</w:t>
                  </w:r>
                </w:p>
              </w:tc>
              <w:tc>
                <w:tcPr>
                  <w:tcW w:w="7516" w:type="dxa"/>
                  <w:tcBorders>
                    <w:tl2br w:val="nil"/>
                    <w:tr2bl w:val="nil"/>
                  </w:tcBorders>
                  <w:shd w:val="clear" w:color="auto" w:fill="auto"/>
                  <w:vAlign w:val="center"/>
                </w:tcPr>
                <w:p w14:paraId="245C0B6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1.执行重点管控类（产业园区）生态环境总体准入清单和城市副中心及通州其他区域生态环境准入清单的污染物排放管控准入要求。</w:t>
                  </w:r>
                </w:p>
                <w:p w14:paraId="41D425D8">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2.对基地内重点排污企业实施强制清洁生产审核。</w:t>
                  </w:r>
                </w:p>
              </w:tc>
              <w:tc>
                <w:tcPr>
                  <w:tcW w:w="4008" w:type="dxa"/>
                  <w:tcBorders>
                    <w:tl2br w:val="nil"/>
                    <w:tr2bl w:val="nil"/>
                  </w:tcBorders>
                  <w:shd w:val="clear" w:color="auto" w:fill="auto"/>
                  <w:vAlign w:val="center"/>
                </w:tcPr>
                <w:p w14:paraId="4E7D5A5D">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1．本项目符合重点管控类（产业园区）生态环境总体准入清单和城市副中心及通州其他区域生态环境准入清单的污染物排放管控准入要求。</w:t>
                  </w:r>
                </w:p>
                <w:p w14:paraId="451557DD">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2．本项目不涉及。</w:t>
                  </w:r>
                </w:p>
              </w:tc>
              <w:tc>
                <w:tcPr>
                  <w:tcW w:w="677" w:type="dxa"/>
                  <w:tcBorders>
                    <w:tl2br w:val="nil"/>
                    <w:tr2bl w:val="nil"/>
                  </w:tcBorders>
                  <w:shd w:val="clear" w:color="auto" w:fill="auto"/>
                  <w:vAlign w:val="center"/>
                </w:tcPr>
                <w:p w14:paraId="0B3166DB">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0DBC7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169DC6C4">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14:paraId="3DDF0B8C">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风险</w:t>
                  </w:r>
                </w:p>
                <w:p w14:paraId="30CABDA2">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防控</w:t>
                  </w:r>
                </w:p>
              </w:tc>
              <w:tc>
                <w:tcPr>
                  <w:tcW w:w="7516" w:type="dxa"/>
                  <w:tcBorders>
                    <w:tl2br w:val="nil"/>
                    <w:tr2bl w:val="nil"/>
                  </w:tcBorders>
                  <w:shd w:val="clear" w:color="auto" w:fill="auto"/>
                  <w:vAlign w:val="center"/>
                </w:tcPr>
                <w:p w14:paraId="4A996EB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1.执行重点管控类（产业园区）生态环境总体准入清单和城市副中心及通州其他区域生态环境准入清单的环境风险防范准入要求。</w:t>
                  </w:r>
                </w:p>
              </w:tc>
              <w:tc>
                <w:tcPr>
                  <w:tcW w:w="4008" w:type="dxa"/>
                  <w:tcBorders>
                    <w:tl2br w:val="nil"/>
                    <w:tr2bl w:val="nil"/>
                  </w:tcBorders>
                  <w:shd w:val="clear" w:color="auto" w:fill="auto"/>
                  <w:vAlign w:val="center"/>
                </w:tcPr>
                <w:p w14:paraId="34276526">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1．本项目符合重点管控类（产业园区）生态环境总体准入清单和城市副中心及通州其他区域生态环境准入清单的环境风险防范准入要求。</w:t>
                  </w:r>
                </w:p>
              </w:tc>
              <w:tc>
                <w:tcPr>
                  <w:tcW w:w="677" w:type="dxa"/>
                  <w:tcBorders>
                    <w:tl2br w:val="nil"/>
                    <w:tr2bl w:val="nil"/>
                  </w:tcBorders>
                  <w:shd w:val="clear" w:color="auto" w:fill="auto"/>
                  <w:vAlign w:val="center"/>
                </w:tcPr>
                <w:p w14:paraId="666020EB">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72AFDF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78" w:type="dxa"/>
                  <w:tcBorders>
                    <w:tl2br w:val="nil"/>
                    <w:tr2bl w:val="nil"/>
                  </w:tcBorders>
                  <w:shd w:val="clear" w:color="auto" w:fill="auto"/>
                  <w:vAlign w:val="center"/>
                </w:tcPr>
                <w:p w14:paraId="5A7FEFE1">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资源</w:t>
                  </w:r>
                </w:p>
                <w:p w14:paraId="792267CC">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利用</w:t>
                  </w:r>
                </w:p>
                <w:p w14:paraId="37F4EDE1">
                  <w:pPr>
                    <w:pStyle w:val="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效率</w:t>
                  </w:r>
                </w:p>
              </w:tc>
              <w:tc>
                <w:tcPr>
                  <w:tcW w:w="7516" w:type="dxa"/>
                  <w:tcBorders>
                    <w:tl2br w:val="nil"/>
                    <w:tr2bl w:val="nil"/>
                  </w:tcBorders>
                  <w:shd w:val="clear" w:color="auto" w:fill="auto"/>
                  <w:vAlign w:val="center"/>
                </w:tcPr>
                <w:p w14:paraId="6E8656EA">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1.执行重点管控类（产业园区）生态环境总体准入清单和平原新城生态环境准入清单的资源利用效率准入要求。</w:t>
                  </w:r>
                </w:p>
                <w:p w14:paraId="4D3787F7">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2.禁止新建自备水井；禁止新建燃煤设施，严格限制新建消耗天然气、煤气的供热锅炉和用热项目。</w:t>
                  </w:r>
                </w:p>
              </w:tc>
              <w:tc>
                <w:tcPr>
                  <w:tcW w:w="4008" w:type="dxa"/>
                  <w:tcBorders>
                    <w:tl2br w:val="nil"/>
                    <w:tr2bl w:val="nil"/>
                  </w:tcBorders>
                  <w:shd w:val="clear" w:color="auto" w:fill="auto"/>
                  <w:vAlign w:val="center"/>
                </w:tcPr>
                <w:p w14:paraId="779D9101">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1.本项目满足重点管控类（产业园区）生态环境总体准入清单和城市副中心生态环境准入清单的资源利用效率准入要求。</w:t>
                  </w:r>
                </w:p>
                <w:p w14:paraId="1CAB0482">
                  <w:pPr>
                    <w:pStyle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2.项目用水由市政自来水管网提供；冬季供暖</w:t>
                  </w:r>
                  <w:r>
                    <w:rPr>
                      <w:rFonts w:hint="eastAsia" w:cs="Times New Roman"/>
                      <w:color w:val="auto"/>
                      <w:sz w:val="21"/>
                      <w:szCs w:val="21"/>
                      <w:highlight w:val="none"/>
                      <w:lang w:val="en-US" w:eastAsia="zh-CN"/>
                    </w:rPr>
                    <w:t>采用市政集中供热</w:t>
                  </w:r>
                  <w:r>
                    <w:rPr>
                      <w:rFonts w:hint="default" w:ascii="Times New Roman" w:hAnsi="Times New Roman" w:eastAsia="宋体" w:cs="Times New Roman"/>
                      <w:color w:val="auto"/>
                      <w:sz w:val="21"/>
                      <w:szCs w:val="21"/>
                      <w:highlight w:val="none"/>
                    </w:rPr>
                    <w:t>、夏季制冷由空调供给，不涉及</w:t>
                  </w:r>
                  <w:r>
                    <w:rPr>
                      <w:rFonts w:hint="eastAsia" w:cs="Times New Roman"/>
                      <w:color w:val="auto"/>
                      <w:sz w:val="21"/>
                      <w:szCs w:val="21"/>
                      <w:highlight w:val="none"/>
                      <w:lang w:val="en-US" w:eastAsia="zh-CN"/>
                    </w:rPr>
                    <w:t>该</w:t>
                  </w:r>
                  <w:r>
                    <w:rPr>
                      <w:rFonts w:hint="default" w:ascii="Times New Roman" w:hAnsi="Times New Roman" w:eastAsia="宋体" w:cs="Times New Roman"/>
                      <w:color w:val="auto"/>
                      <w:sz w:val="21"/>
                      <w:szCs w:val="21"/>
                      <w:highlight w:val="none"/>
                    </w:rPr>
                    <w:t>内容。</w:t>
                  </w:r>
                </w:p>
              </w:tc>
              <w:tc>
                <w:tcPr>
                  <w:tcW w:w="677" w:type="dxa"/>
                  <w:tcBorders>
                    <w:tl2br w:val="nil"/>
                    <w:tr2bl w:val="nil"/>
                  </w:tcBorders>
                  <w:shd w:val="clear" w:color="auto" w:fill="auto"/>
                  <w:vAlign w:val="center"/>
                </w:tcPr>
                <w:p w14:paraId="61D2E534">
                  <w:pPr>
                    <w:pStyle w:val="9"/>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bl>
          <w:p w14:paraId="547F2456">
            <w:pPr>
              <w:rPr>
                <w:rFonts w:hint="default" w:ascii="Times New Roman" w:hAnsi="Times New Roman" w:eastAsia="宋体" w:cs="Times New Roman"/>
                <w:b/>
                <w:bCs/>
                <w:color w:val="auto"/>
                <w:sz w:val="24"/>
                <w:highlight w:val="none"/>
              </w:rPr>
            </w:pPr>
          </w:p>
          <w:p w14:paraId="60EA09DC">
            <w:pPr>
              <w:pStyle w:val="9"/>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综上所述，本项目符合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三线一单</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的准入</w:t>
            </w:r>
            <w:r>
              <w:rPr>
                <w:rFonts w:hint="default" w:ascii="Times New Roman" w:hAnsi="Times New Roman" w:eastAsia="宋体" w:cs="Times New Roman"/>
                <w:color w:val="auto"/>
                <w:sz w:val="24"/>
                <w:highlight w:val="none"/>
                <w:lang w:val="en-US" w:eastAsia="zh-CN"/>
              </w:rPr>
              <w:t>要求</w:t>
            </w:r>
            <w:r>
              <w:rPr>
                <w:rFonts w:hint="default" w:ascii="Times New Roman" w:hAnsi="Times New Roman" w:eastAsia="宋体" w:cs="Times New Roman"/>
                <w:color w:val="auto"/>
                <w:sz w:val="24"/>
                <w:highlight w:val="none"/>
              </w:rPr>
              <w:t>。</w:t>
            </w:r>
          </w:p>
        </w:tc>
      </w:tr>
    </w:tbl>
    <w:p w14:paraId="5F074AD7">
      <w:pPr>
        <w:pStyle w:val="9"/>
        <w:rPr>
          <w:rFonts w:hint="default" w:ascii="Times New Roman" w:hAnsi="Times New Roman" w:eastAsia="宋体" w:cs="Times New Roman"/>
          <w:color w:val="auto"/>
          <w:highlight w:val="none"/>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35CEF0F3">
      <w:pPr>
        <w:pStyle w:val="20"/>
        <w:adjustRightInd w:val="0"/>
        <w:snapToGrid w:val="0"/>
        <w:spacing w:before="0" w:beforeAutospacing="0" w:after="0" w:afterAutospacing="0" w:line="14" w:lineRule="auto"/>
        <w:jc w:val="center"/>
        <w:rPr>
          <w:rFonts w:hint="default" w:ascii="Times New Roman" w:hAnsi="Times New Roman" w:eastAsia="宋体" w:cs="Times New Roman"/>
          <w:snapToGrid w:val="0"/>
          <w:color w:val="auto"/>
          <w:sz w:val="36"/>
          <w:szCs w:val="36"/>
          <w:highlight w:val="none"/>
        </w:rPr>
      </w:pPr>
    </w:p>
    <w:p w14:paraId="5EFE61C2">
      <w:pPr>
        <w:pStyle w:val="20"/>
        <w:jc w:val="center"/>
        <w:outlineLvl w:val="0"/>
        <w:rPr>
          <w:rFonts w:hint="default" w:ascii="Times New Roman" w:hAnsi="Times New Roman" w:eastAsia="宋体" w:cs="Times New Roman"/>
          <w:snapToGrid w:val="0"/>
          <w:color w:val="auto"/>
          <w:sz w:val="36"/>
          <w:szCs w:val="36"/>
          <w:highlight w:val="none"/>
        </w:rPr>
      </w:pPr>
      <w:r>
        <w:rPr>
          <w:rFonts w:hint="default" w:ascii="Times New Roman" w:hAnsi="Times New Roman" w:eastAsia="宋体" w:cs="Times New Roman"/>
          <w:snapToGrid w:val="0"/>
          <w:color w:val="auto"/>
          <w:sz w:val="36"/>
          <w:szCs w:val="36"/>
          <w:highlight w:val="none"/>
        </w:rPr>
        <w:t>二、建设项目工程分析</w:t>
      </w:r>
    </w:p>
    <w:tbl>
      <w:tblPr>
        <w:tblStyle w:val="23"/>
        <w:tblW w:w="90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8"/>
        <w:gridCol w:w="8189"/>
      </w:tblGrid>
      <w:tr w14:paraId="1DBCD0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5" w:hRule="atLeast"/>
          <w:jc w:val="center"/>
        </w:trPr>
        <w:tc>
          <w:tcPr>
            <w:tcW w:w="818" w:type="dxa"/>
            <w:vAlign w:val="center"/>
          </w:tcPr>
          <w:p w14:paraId="5FF93441">
            <w:pPr>
              <w:pStyle w:val="20"/>
              <w:adjustRightInd w:val="0"/>
              <w:snapToGrid w:val="0"/>
              <w:spacing w:before="0" w:beforeAutospacing="0" w:after="0" w:afterAutospacing="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建设内容</w:t>
            </w:r>
          </w:p>
        </w:tc>
        <w:tc>
          <w:tcPr>
            <w:tcW w:w="8189" w:type="dxa"/>
          </w:tcPr>
          <w:p w14:paraId="76568737">
            <w:pPr>
              <w:numPr>
                <w:ilvl w:val="0"/>
                <w:numId w:val="1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项目由来</w:t>
            </w:r>
          </w:p>
          <w:p w14:paraId="4849D97D">
            <w:pPr>
              <w:widowControl/>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北京美添辰环境检测有限公司成立于2011年7月，注册地址：北京市北京经济技术开发区(通州)环科中路2号院11号楼2单元1至4层101，主要从事检验检测服务等业务。</w:t>
            </w:r>
          </w:p>
          <w:p w14:paraId="004CEB99">
            <w:pPr>
              <w:widowControl/>
              <w:spacing w:line="360" w:lineRule="auto"/>
              <w:ind w:firstLine="480" w:firstLineChars="200"/>
              <w:jc w:val="left"/>
              <w:rPr>
                <w:rFonts w:hint="default" w:cs="Times New Roman"/>
                <w:color w:val="auto"/>
                <w:sz w:val="24"/>
                <w:highlight w:val="none"/>
                <w:lang w:val="en-US" w:eastAsia="zh-CN"/>
              </w:rPr>
            </w:pPr>
            <w:r>
              <w:rPr>
                <w:rFonts w:hint="eastAsia" w:cs="Times New Roman"/>
                <w:color w:val="auto"/>
                <w:sz w:val="24"/>
                <w:highlight w:val="none"/>
                <w:lang w:val="en-US" w:eastAsia="zh-CN"/>
              </w:rPr>
              <w:t>公司委托编制的《北京美添辰环境检测有限公司检测实验室迁址项目环境影响报告表》，于2020年1月16日获得北京市通州区生态环境局的批复，批复文号：通环审【2020】0014号。建设地址为：北京市北京经济技术开发区(通州)环科中路2号院22号楼六层601室，该项目于2023年1月17日完成自主验收。</w:t>
            </w:r>
          </w:p>
          <w:p w14:paraId="76C6F6B2">
            <w:pPr>
              <w:widowControl/>
              <w:spacing w:line="360" w:lineRule="auto"/>
              <w:ind w:firstLine="480" w:firstLineChars="200"/>
              <w:jc w:val="left"/>
              <w:rPr>
                <w:rFonts w:hint="eastAsia" w:cs="Times New Roman"/>
                <w:color w:val="auto"/>
                <w:sz w:val="24"/>
                <w:highlight w:val="none"/>
                <w:lang w:val="en-US" w:eastAsia="zh-CN"/>
              </w:rPr>
            </w:pPr>
            <w:r>
              <w:rPr>
                <w:rFonts w:hint="eastAsia" w:cs="Times New Roman"/>
                <w:color w:val="auto"/>
                <w:sz w:val="24"/>
                <w:highlight w:val="none"/>
                <w:lang w:val="en-US" w:eastAsia="zh-CN"/>
              </w:rPr>
              <w:t>公司现有员工30人，全年工作260天，每天一班制8小时（白班），分别检测水质类样品</w:t>
            </w:r>
            <w:r>
              <w:rPr>
                <w:rFonts w:hint="default" w:cs="Times New Roman"/>
                <w:color w:val="auto"/>
                <w:sz w:val="24"/>
                <w:highlight w:val="none"/>
                <w:lang w:val="en-US" w:eastAsia="zh-CN"/>
              </w:rPr>
              <w:t>1200</w:t>
            </w:r>
            <w:r>
              <w:rPr>
                <w:rFonts w:hint="eastAsia" w:cs="Times New Roman"/>
                <w:color w:val="auto"/>
                <w:sz w:val="24"/>
                <w:highlight w:val="none"/>
                <w:lang w:val="en-US" w:eastAsia="zh-CN"/>
              </w:rPr>
              <w:t>份</w:t>
            </w:r>
            <w:r>
              <w:rPr>
                <w:rFonts w:hint="default" w:cs="Times New Roman"/>
                <w:color w:val="auto"/>
                <w:sz w:val="24"/>
                <w:highlight w:val="none"/>
                <w:lang w:val="en-US" w:eastAsia="zh-CN"/>
              </w:rPr>
              <w:t>/</w:t>
            </w:r>
            <w:r>
              <w:rPr>
                <w:rFonts w:hint="eastAsia" w:cs="Times New Roman"/>
                <w:color w:val="auto"/>
                <w:sz w:val="24"/>
                <w:highlight w:val="none"/>
                <w:lang w:val="en-US" w:eastAsia="zh-CN"/>
              </w:rPr>
              <w:t>年、气体类样品</w:t>
            </w:r>
            <w:r>
              <w:rPr>
                <w:rFonts w:hint="default" w:cs="Times New Roman"/>
                <w:color w:val="auto"/>
                <w:sz w:val="24"/>
                <w:highlight w:val="none"/>
                <w:lang w:val="en-US" w:eastAsia="zh-CN"/>
              </w:rPr>
              <w:t>480</w:t>
            </w:r>
            <w:r>
              <w:rPr>
                <w:rFonts w:hint="eastAsia" w:cs="Times New Roman"/>
                <w:color w:val="auto"/>
                <w:sz w:val="24"/>
                <w:highlight w:val="none"/>
                <w:lang w:val="en-US" w:eastAsia="zh-CN"/>
              </w:rPr>
              <w:t>份</w:t>
            </w:r>
            <w:r>
              <w:rPr>
                <w:rFonts w:hint="default" w:cs="Times New Roman"/>
                <w:color w:val="auto"/>
                <w:sz w:val="24"/>
                <w:highlight w:val="none"/>
                <w:lang w:val="en-US" w:eastAsia="zh-CN"/>
              </w:rPr>
              <w:t>/</w:t>
            </w:r>
            <w:r>
              <w:rPr>
                <w:rFonts w:hint="eastAsia" w:cs="Times New Roman"/>
                <w:color w:val="auto"/>
                <w:sz w:val="24"/>
                <w:highlight w:val="none"/>
                <w:lang w:val="en-US" w:eastAsia="zh-CN"/>
              </w:rPr>
              <w:t>年、固体类样品</w:t>
            </w:r>
            <w:r>
              <w:rPr>
                <w:rFonts w:hint="default" w:cs="Times New Roman"/>
                <w:color w:val="auto"/>
                <w:sz w:val="24"/>
                <w:highlight w:val="none"/>
                <w:lang w:val="en-US" w:eastAsia="zh-CN"/>
              </w:rPr>
              <w:t>120</w:t>
            </w:r>
            <w:r>
              <w:rPr>
                <w:rFonts w:hint="eastAsia" w:cs="Times New Roman"/>
                <w:color w:val="auto"/>
                <w:sz w:val="24"/>
                <w:highlight w:val="none"/>
                <w:lang w:val="en-US" w:eastAsia="zh-CN"/>
              </w:rPr>
              <w:t>份</w:t>
            </w:r>
            <w:r>
              <w:rPr>
                <w:rFonts w:hint="default" w:cs="Times New Roman"/>
                <w:color w:val="auto"/>
                <w:sz w:val="24"/>
                <w:highlight w:val="none"/>
                <w:lang w:val="en-US" w:eastAsia="zh-CN"/>
              </w:rPr>
              <w:t>/</w:t>
            </w:r>
            <w:r>
              <w:rPr>
                <w:rFonts w:hint="eastAsia" w:cs="Times New Roman"/>
                <w:color w:val="auto"/>
                <w:sz w:val="24"/>
                <w:highlight w:val="none"/>
                <w:lang w:val="en-US" w:eastAsia="zh-CN"/>
              </w:rPr>
              <w:t>年、微生物样品</w:t>
            </w:r>
            <w:r>
              <w:rPr>
                <w:rFonts w:hint="default" w:cs="Times New Roman"/>
                <w:color w:val="auto"/>
                <w:sz w:val="24"/>
                <w:highlight w:val="none"/>
                <w:lang w:val="en-US" w:eastAsia="zh-CN"/>
              </w:rPr>
              <w:t>20</w:t>
            </w:r>
            <w:r>
              <w:rPr>
                <w:rFonts w:hint="eastAsia" w:cs="Times New Roman"/>
                <w:color w:val="auto"/>
                <w:sz w:val="24"/>
                <w:highlight w:val="none"/>
                <w:lang w:val="en-US" w:eastAsia="zh-CN"/>
              </w:rPr>
              <w:t>份</w:t>
            </w:r>
            <w:r>
              <w:rPr>
                <w:rFonts w:hint="default" w:cs="Times New Roman"/>
                <w:color w:val="auto"/>
                <w:sz w:val="24"/>
                <w:highlight w:val="none"/>
                <w:lang w:val="en-US" w:eastAsia="zh-CN"/>
              </w:rPr>
              <w:t>/</w:t>
            </w:r>
            <w:r>
              <w:rPr>
                <w:rFonts w:hint="eastAsia" w:cs="Times New Roman"/>
                <w:color w:val="auto"/>
                <w:sz w:val="24"/>
                <w:highlight w:val="none"/>
                <w:lang w:val="en-US" w:eastAsia="zh-CN"/>
              </w:rPr>
              <w:t>年。</w:t>
            </w:r>
          </w:p>
          <w:p w14:paraId="1E0B00C0">
            <w:pPr>
              <w:widowControl/>
              <w:spacing w:line="360" w:lineRule="auto"/>
              <w:ind w:firstLine="480" w:firstLineChars="200"/>
              <w:jc w:val="left"/>
              <w:rPr>
                <w:rFonts w:hint="eastAsia" w:cs="Times New Roman"/>
                <w:color w:val="auto"/>
                <w:sz w:val="24"/>
                <w:highlight w:val="none"/>
                <w:lang w:val="en-US" w:eastAsia="zh-CN"/>
              </w:rPr>
            </w:pPr>
            <w:r>
              <w:rPr>
                <w:rFonts w:hint="eastAsia" w:cs="Times New Roman"/>
                <w:color w:val="auto"/>
                <w:sz w:val="24"/>
                <w:highlight w:val="none"/>
                <w:lang w:val="en-US" w:eastAsia="zh-CN"/>
              </w:rPr>
              <w:t>2025年10月，公</w:t>
            </w:r>
            <w:r>
              <w:rPr>
                <w:rFonts w:hint="eastAsia" w:ascii="Times New Roman" w:hAnsi="Times New Roman" w:eastAsia="宋体" w:cs="Times New Roman"/>
                <w:color w:val="auto"/>
                <w:sz w:val="24"/>
                <w:highlight w:val="none"/>
                <w:lang w:val="en-US" w:eastAsia="zh-CN"/>
              </w:rPr>
              <w:t>司新租赁</w:t>
            </w:r>
            <w:r>
              <w:rPr>
                <w:rFonts w:hint="eastAsia" w:cs="Times New Roman"/>
                <w:color w:val="auto"/>
                <w:sz w:val="24"/>
                <w:highlight w:val="none"/>
                <w:lang w:val="en-US" w:eastAsia="zh-CN"/>
              </w:rPr>
              <w:t>场地，利用现有设备并新购买部分设备，拟将实验室迁至北京经济技术开发区环科中路2号院11号楼B单元。</w:t>
            </w:r>
            <w:r>
              <w:rPr>
                <w:rFonts w:hint="eastAsia"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迁建</w:t>
            </w:r>
            <w:r>
              <w:rPr>
                <w:rFonts w:hint="eastAsia" w:ascii="Times New Roman" w:hAnsi="Times New Roman" w:eastAsia="宋体" w:cs="Times New Roman"/>
                <w:color w:val="auto"/>
                <w:sz w:val="24"/>
                <w:highlight w:val="none"/>
                <w:lang w:val="en-US" w:eastAsia="zh-CN"/>
              </w:rPr>
              <w:t>完成</w:t>
            </w:r>
            <w:r>
              <w:rPr>
                <w:rFonts w:hint="eastAsia" w:cs="Times New Roman"/>
                <w:color w:val="auto"/>
                <w:sz w:val="24"/>
                <w:highlight w:val="none"/>
                <w:lang w:val="en-US" w:eastAsia="zh-CN"/>
              </w:rPr>
              <w:t>后员工36人，全年工作260天，每天一班制8小时（白班），分别检测水质类样品</w:t>
            </w:r>
            <w:r>
              <w:rPr>
                <w:rFonts w:hint="default" w:cs="Times New Roman"/>
                <w:color w:val="auto"/>
                <w:sz w:val="24"/>
                <w:highlight w:val="none"/>
                <w:lang w:val="en-US" w:eastAsia="zh-CN"/>
              </w:rPr>
              <w:t>1</w:t>
            </w:r>
            <w:r>
              <w:rPr>
                <w:rFonts w:hint="eastAsia" w:cs="Times New Roman"/>
                <w:color w:val="auto"/>
                <w:sz w:val="24"/>
                <w:highlight w:val="none"/>
                <w:lang w:val="en-US" w:eastAsia="zh-CN"/>
              </w:rPr>
              <w:t>6</w:t>
            </w:r>
            <w:r>
              <w:rPr>
                <w:rFonts w:hint="default" w:cs="Times New Roman"/>
                <w:color w:val="auto"/>
                <w:sz w:val="24"/>
                <w:highlight w:val="none"/>
                <w:lang w:val="en-US" w:eastAsia="zh-CN"/>
              </w:rPr>
              <w:t>00</w:t>
            </w:r>
            <w:r>
              <w:rPr>
                <w:rFonts w:hint="eastAsia" w:cs="Times New Roman"/>
                <w:color w:val="auto"/>
                <w:sz w:val="24"/>
                <w:highlight w:val="none"/>
                <w:lang w:val="en-US" w:eastAsia="zh-CN"/>
              </w:rPr>
              <w:t>份</w:t>
            </w:r>
            <w:r>
              <w:rPr>
                <w:rFonts w:hint="default" w:cs="Times New Roman"/>
                <w:color w:val="auto"/>
                <w:sz w:val="24"/>
                <w:highlight w:val="none"/>
                <w:lang w:val="en-US" w:eastAsia="zh-CN"/>
              </w:rPr>
              <w:t>/</w:t>
            </w:r>
            <w:r>
              <w:rPr>
                <w:rFonts w:hint="eastAsia" w:cs="Times New Roman"/>
                <w:color w:val="auto"/>
                <w:sz w:val="24"/>
                <w:highlight w:val="none"/>
                <w:lang w:val="en-US" w:eastAsia="zh-CN"/>
              </w:rPr>
              <w:t>年、气体类样品60</w:t>
            </w:r>
            <w:r>
              <w:rPr>
                <w:rFonts w:hint="default" w:cs="Times New Roman"/>
                <w:color w:val="auto"/>
                <w:sz w:val="24"/>
                <w:highlight w:val="none"/>
                <w:lang w:val="en-US" w:eastAsia="zh-CN"/>
              </w:rPr>
              <w:t>0</w:t>
            </w:r>
            <w:r>
              <w:rPr>
                <w:rFonts w:hint="eastAsia" w:cs="Times New Roman"/>
                <w:color w:val="auto"/>
                <w:sz w:val="24"/>
                <w:highlight w:val="none"/>
                <w:lang w:val="en-US" w:eastAsia="zh-CN"/>
              </w:rPr>
              <w:t>份</w:t>
            </w:r>
            <w:r>
              <w:rPr>
                <w:rFonts w:hint="default" w:cs="Times New Roman"/>
                <w:color w:val="auto"/>
                <w:sz w:val="24"/>
                <w:highlight w:val="none"/>
                <w:lang w:val="en-US" w:eastAsia="zh-CN"/>
              </w:rPr>
              <w:t>/</w:t>
            </w:r>
            <w:r>
              <w:rPr>
                <w:rFonts w:hint="eastAsia" w:cs="Times New Roman"/>
                <w:color w:val="auto"/>
                <w:sz w:val="24"/>
                <w:highlight w:val="none"/>
                <w:lang w:val="en-US" w:eastAsia="zh-CN"/>
              </w:rPr>
              <w:t>年、固体类土壤样品20</w:t>
            </w:r>
            <w:r>
              <w:rPr>
                <w:rFonts w:hint="default" w:cs="Times New Roman"/>
                <w:color w:val="auto"/>
                <w:sz w:val="24"/>
                <w:highlight w:val="none"/>
                <w:lang w:val="en-US" w:eastAsia="zh-CN"/>
              </w:rPr>
              <w:t>0</w:t>
            </w:r>
            <w:r>
              <w:rPr>
                <w:rFonts w:hint="eastAsia" w:cs="Times New Roman"/>
                <w:color w:val="auto"/>
                <w:sz w:val="24"/>
                <w:highlight w:val="none"/>
                <w:lang w:val="en-US" w:eastAsia="zh-CN"/>
              </w:rPr>
              <w:t>份</w:t>
            </w:r>
            <w:r>
              <w:rPr>
                <w:rFonts w:hint="default" w:cs="Times New Roman"/>
                <w:color w:val="auto"/>
                <w:sz w:val="24"/>
                <w:highlight w:val="none"/>
                <w:lang w:val="en-US" w:eastAsia="zh-CN"/>
              </w:rPr>
              <w:t>/</w:t>
            </w:r>
            <w:r>
              <w:rPr>
                <w:rFonts w:hint="eastAsia" w:cs="Times New Roman"/>
                <w:color w:val="auto"/>
                <w:sz w:val="24"/>
                <w:highlight w:val="none"/>
                <w:lang w:val="en-US" w:eastAsia="zh-CN"/>
              </w:rPr>
              <w:t>年、微生物样品10</w:t>
            </w:r>
            <w:r>
              <w:rPr>
                <w:rFonts w:hint="default" w:cs="Times New Roman"/>
                <w:color w:val="auto"/>
                <w:sz w:val="24"/>
                <w:highlight w:val="none"/>
                <w:lang w:val="en-US" w:eastAsia="zh-CN"/>
              </w:rPr>
              <w:t>0</w:t>
            </w:r>
            <w:r>
              <w:rPr>
                <w:rFonts w:hint="eastAsia" w:cs="Times New Roman"/>
                <w:color w:val="auto"/>
                <w:sz w:val="24"/>
                <w:highlight w:val="none"/>
                <w:lang w:val="en-US" w:eastAsia="zh-CN"/>
              </w:rPr>
              <w:t>份</w:t>
            </w:r>
            <w:r>
              <w:rPr>
                <w:rFonts w:hint="default" w:cs="Times New Roman"/>
                <w:color w:val="auto"/>
                <w:sz w:val="24"/>
                <w:highlight w:val="none"/>
                <w:lang w:val="en-US" w:eastAsia="zh-CN"/>
              </w:rPr>
              <w:t>/</w:t>
            </w:r>
            <w:r>
              <w:rPr>
                <w:rFonts w:hint="eastAsia" w:cs="Times New Roman"/>
                <w:color w:val="auto"/>
                <w:sz w:val="24"/>
                <w:highlight w:val="none"/>
                <w:lang w:val="en-US" w:eastAsia="zh-CN"/>
              </w:rPr>
              <w:t>年。</w:t>
            </w:r>
          </w:p>
          <w:p w14:paraId="4639A391">
            <w:pPr>
              <w:widowControl/>
              <w:spacing w:line="360" w:lineRule="auto"/>
              <w:ind w:firstLine="480" w:firstLineChars="200"/>
              <w:jc w:val="left"/>
              <w:rPr>
                <w:rFonts w:hint="eastAsia"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项目</w:t>
            </w:r>
            <w:r>
              <w:rPr>
                <w:rFonts w:hint="eastAsia" w:ascii="Times New Roman" w:hAnsi="Times New Roman" w:eastAsia="宋体" w:cs="Times New Roman"/>
                <w:bCs/>
                <w:color w:val="auto"/>
                <w:sz w:val="24"/>
                <w:highlight w:val="none"/>
                <w:lang w:val="en-US" w:eastAsia="zh-CN"/>
              </w:rPr>
              <w:t>已经北京经济技术开发区管理委员会进行了投资项目备案，备案证明编号为：2025 00025 7323 07307。</w:t>
            </w:r>
          </w:p>
          <w:p w14:paraId="10A50CEF">
            <w:pPr>
              <w:widowControl/>
              <w:spacing w:line="360" w:lineRule="auto"/>
              <w:ind w:firstLine="480" w:firstLineChars="200"/>
              <w:jc w:val="left"/>
              <w:rPr>
                <w:rFonts w:hint="eastAsia" w:cs="Times New Roman"/>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本项</w:t>
            </w:r>
            <w:r>
              <w:rPr>
                <w:rFonts w:hint="eastAsia" w:cs="Times New Roman"/>
                <w:color w:val="auto"/>
                <w:sz w:val="24"/>
                <w:highlight w:val="none"/>
                <w:lang w:val="en-US" w:eastAsia="zh-CN"/>
              </w:rPr>
              <w:t>目完成后，现有项目整体停止运行。</w:t>
            </w:r>
          </w:p>
          <w:p w14:paraId="37400B16">
            <w:pPr>
              <w:numPr>
                <w:ilvl w:val="0"/>
                <w:numId w:val="1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项目概况</w:t>
            </w:r>
          </w:p>
          <w:p w14:paraId="175CC02F">
            <w:pPr>
              <w:widowControl/>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1、项目名称</w:t>
            </w:r>
            <w:r>
              <w:rPr>
                <w:rFonts w:hint="default" w:ascii="Times New Roman" w:hAnsi="Times New Roman" w:eastAsia="宋体" w:cs="Times New Roman"/>
                <w:bCs/>
                <w:color w:val="auto"/>
                <w:sz w:val="24"/>
                <w:highlight w:val="none"/>
                <w:lang w:eastAsia="zh-CN"/>
              </w:rPr>
              <w:t>：</w:t>
            </w:r>
            <w:r>
              <w:rPr>
                <w:rFonts w:hint="eastAsia" w:hAnsi="宋体"/>
                <w:bCs/>
                <w:color w:val="auto"/>
                <w:kern w:val="0"/>
                <w:sz w:val="24"/>
                <w:highlight w:val="none"/>
                <w:lang w:val="en-US" w:eastAsia="zh-CN"/>
              </w:rPr>
              <w:t>美添辰</w:t>
            </w:r>
            <w:r>
              <w:rPr>
                <w:rFonts w:hint="eastAsia" w:hAnsi="宋体"/>
                <w:bCs/>
                <w:color w:val="auto"/>
                <w:kern w:val="0"/>
                <w:sz w:val="24"/>
                <w:highlight w:val="none"/>
                <w:lang w:eastAsia="zh-CN"/>
              </w:rPr>
              <w:t>检测实验室</w:t>
            </w:r>
            <w:r>
              <w:rPr>
                <w:rFonts w:hint="eastAsia" w:hAnsi="宋体"/>
                <w:bCs/>
                <w:color w:val="auto"/>
                <w:kern w:val="0"/>
                <w:sz w:val="24"/>
                <w:highlight w:val="none"/>
                <w:lang w:val="en-US" w:eastAsia="zh-CN"/>
              </w:rPr>
              <w:t>迁建</w:t>
            </w:r>
            <w:r>
              <w:rPr>
                <w:rFonts w:hint="eastAsia" w:hAnsi="宋体"/>
                <w:bCs/>
                <w:color w:val="auto"/>
                <w:kern w:val="0"/>
                <w:sz w:val="24"/>
                <w:highlight w:val="none"/>
                <w:lang w:eastAsia="zh-CN"/>
              </w:rPr>
              <w:t>项目</w:t>
            </w:r>
          </w:p>
          <w:p w14:paraId="26AC3150">
            <w:pPr>
              <w:widowControl/>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2、建设单位</w:t>
            </w:r>
            <w:r>
              <w:rPr>
                <w:rFonts w:hint="default" w:ascii="Times New Roman" w:hAnsi="Times New Roman" w:eastAsia="宋体" w:cs="Times New Roman"/>
                <w:bCs/>
                <w:color w:val="auto"/>
                <w:sz w:val="24"/>
                <w:highlight w:val="none"/>
                <w:lang w:eastAsia="zh-CN"/>
              </w:rPr>
              <w:t>：</w:t>
            </w:r>
            <w:r>
              <w:rPr>
                <w:rFonts w:hint="eastAsia" w:hAnsi="宋体"/>
                <w:bCs/>
                <w:color w:val="auto"/>
                <w:kern w:val="0"/>
                <w:sz w:val="24"/>
                <w:highlight w:val="none"/>
                <w:lang w:val="en-US" w:eastAsia="zh-CN"/>
              </w:rPr>
              <w:t>北京美添辰环境检测有限公司</w:t>
            </w:r>
          </w:p>
          <w:p w14:paraId="36F643E9">
            <w:pPr>
              <w:widowControl/>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3、建设地点</w:t>
            </w:r>
            <w:r>
              <w:rPr>
                <w:rFonts w:hint="default" w:ascii="Times New Roman" w:hAnsi="Times New Roman" w:eastAsia="宋体" w:cs="Times New Roman"/>
                <w:bCs/>
                <w:color w:val="auto"/>
                <w:sz w:val="24"/>
                <w:highlight w:val="none"/>
                <w:lang w:eastAsia="zh-CN"/>
              </w:rPr>
              <w:t>：</w:t>
            </w:r>
            <w:r>
              <w:rPr>
                <w:rFonts w:hint="eastAsia" w:cs="Times New Roman"/>
                <w:color w:val="auto"/>
                <w:sz w:val="24"/>
                <w:highlight w:val="none"/>
                <w:lang w:val="en-US" w:eastAsia="zh-CN"/>
              </w:rPr>
              <w:t>北京经济技术开发区环科中路2号院11号楼B单元</w:t>
            </w:r>
            <w:r>
              <w:rPr>
                <w:rFonts w:hint="default" w:ascii="Times New Roman" w:hAnsi="Times New Roman" w:eastAsia="宋体" w:cs="Times New Roman"/>
                <w:bCs/>
                <w:color w:val="auto"/>
                <w:sz w:val="24"/>
                <w:highlight w:val="none"/>
              </w:rPr>
              <w:t>。</w:t>
            </w:r>
          </w:p>
          <w:p w14:paraId="743DF986">
            <w:pPr>
              <w:widowControl/>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4、建筑面积：</w:t>
            </w:r>
            <w:r>
              <w:rPr>
                <w:rFonts w:hint="eastAsia" w:cs="Times New Roman"/>
                <w:color w:val="auto"/>
                <w:sz w:val="24"/>
                <w:highlight w:val="none"/>
                <w:lang w:val="en-US" w:eastAsia="zh-CN"/>
              </w:rPr>
              <w:t>887.72m</w:t>
            </w:r>
            <w:r>
              <w:rPr>
                <w:rFonts w:hint="eastAsia" w:cs="Times New Roman"/>
                <w:color w:val="auto"/>
                <w:sz w:val="24"/>
                <w:highlight w:val="none"/>
                <w:vertAlign w:val="superscript"/>
                <w:lang w:val="en-US" w:eastAsia="zh-CN"/>
              </w:rPr>
              <w:t>2</w:t>
            </w:r>
          </w:p>
          <w:p w14:paraId="6CBC54A5">
            <w:pPr>
              <w:numPr>
                <w:ilvl w:val="0"/>
                <w:numId w:val="1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编制依据</w:t>
            </w:r>
          </w:p>
          <w:p w14:paraId="747B48F6">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据《〈建设项目环境影响评价分类管理名录〉北京市实施细化规定（2022年本）》，</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四十五、研究和实验发展</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98专业实验室、研发（实验）基地</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，其中：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P3、P4生物安全实验室、转基因实验室</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应编制环境影响报告书，</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其他（不产生实验废气、废水、危险废物的除外）</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应编制环境影响报告表。本项目为</w:t>
            </w:r>
            <w:r>
              <w:rPr>
                <w:rFonts w:hint="eastAsia" w:cs="Times New Roman"/>
                <w:color w:val="auto"/>
                <w:sz w:val="24"/>
                <w:highlight w:val="none"/>
                <w:lang w:val="en-US" w:eastAsia="zh-CN"/>
              </w:rPr>
              <w:t>实验室</w:t>
            </w:r>
            <w:r>
              <w:rPr>
                <w:rFonts w:hint="default" w:ascii="Times New Roman" w:hAnsi="Times New Roman" w:eastAsia="宋体" w:cs="Times New Roman"/>
                <w:color w:val="auto"/>
                <w:sz w:val="24"/>
                <w:highlight w:val="none"/>
                <w:lang w:val="en-US" w:eastAsia="zh-CN"/>
              </w:rPr>
              <w:t>项目，不涉及中试及以上规模的研发实验，不涉及P3、P4生物安全实验室、转基因实验室，但实验过程会产生废气</w:t>
            </w:r>
            <w:r>
              <w:rPr>
                <w:rFonts w:hint="eastAsia" w:cs="Times New Roman"/>
                <w:color w:val="auto"/>
                <w:sz w:val="24"/>
                <w:highlight w:val="none"/>
                <w:lang w:val="en-US" w:eastAsia="zh-CN"/>
              </w:rPr>
              <w:t>、废水</w:t>
            </w:r>
            <w:r>
              <w:rPr>
                <w:rFonts w:hint="default" w:ascii="Times New Roman" w:hAnsi="Times New Roman" w:eastAsia="宋体" w:cs="Times New Roman"/>
                <w:color w:val="auto"/>
                <w:sz w:val="24"/>
                <w:highlight w:val="none"/>
                <w:lang w:val="en-US" w:eastAsia="zh-CN"/>
              </w:rPr>
              <w:t>及危险废物，因此属于</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其他（不产生实验废气、废水、危险废物的除外）</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，应编制环境影响报告表。</w:t>
            </w:r>
          </w:p>
          <w:p w14:paraId="3597A069">
            <w:pPr>
              <w:numPr>
                <w:ilvl w:val="0"/>
                <w:numId w:val="11"/>
              </w:numPr>
              <w:tabs>
                <w:tab w:val="left" w:pos="0"/>
              </w:tabs>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建设内容</w:t>
            </w:r>
          </w:p>
          <w:p w14:paraId="04F8DA1B">
            <w:pPr>
              <w:adjustRightInd w:val="0"/>
              <w:snapToGrid w:val="0"/>
              <w:spacing w:line="360" w:lineRule="auto"/>
              <w:ind w:firstLine="360" w:firstLineChars="15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本项目建设内容详见下表。</w:t>
            </w:r>
          </w:p>
          <w:p w14:paraId="59D3FEC5">
            <w:pPr>
              <w:numPr>
                <w:ilvl w:val="0"/>
                <w:numId w:val="12"/>
              </w:num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项目建设内容一览表</w:t>
            </w:r>
          </w:p>
          <w:tbl>
            <w:tblPr>
              <w:tblStyle w:val="23"/>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51" w:type="dxa"/>
                <w:bottom w:w="0" w:type="dxa"/>
                <w:right w:w="51" w:type="dxa"/>
              </w:tblCellMar>
            </w:tblPr>
            <w:tblGrid>
              <w:gridCol w:w="746"/>
              <w:gridCol w:w="1508"/>
              <w:gridCol w:w="4712"/>
              <w:gridCol w:w="848"/>
            </w:tblGrid>
            <w:tr w14:paraId="6A412D9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trHeight w:val="397" w:hRule="atLeast"/>
                <w:tblHeader/>
                <w:jc w:val="center"/>
              </w:trPr>
              <w:tc>
                <w:tcPr>
                  <w:tcW w:w="746" w:type="dxa"/>
                  <w:tcBorders>
                    <w:tl2br w:val="nil"/>
                    <w:tr2bl w:val="nil"/>
                  </w:tcBorders>
                  <w:shd w:val="clear" w:color="auto" w:fill="FFFFFF"/>
                  <w:noWrap w:val="0"/>
                  <w:vAlign w:val="center"/>
                </w:tcPr>
                <w:p w14:paraId="7C0B992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b/>
                      <w:bCs w:val="0"/>
                      <w:color w:val="auto"/>
                      <w:highlight w:val="none"/>
                    </w:rPr>
                  </w:pPr>
                  <w:r>
                    <w:rPr>
                      <w:b/>
                      <w:bCs w:val="0"/>
                      <w:color w:val="auto"/>
                      <w:highlight w:val="none"/>
                    </w:rPr>
                    <w:t>工程</w:t>
                  </w:r>
                </w:p>
                <w:p w14:paraId="426031A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val="0"/>
                      <w:color w:val="auto"/>
                      <w:highlight w:val="none"/>
                      <w:lang w:eastAsia="zh-CN"/>
                    </w:rPr>
                  </w:pPr>
                  <w:r>
                    <w:rPr>
                      <w:rFonts w:hint="eastAsia"/>
                      <w:b/>
                      <w:bCs w:val="0"/>
                      <w:color w:val="auto"/>
                      <w:highlight w:val="none"/>
                      <w:lang w:eastAsia="zh-CN"/>
                    </w:rPr>
                    <w:t>类别</w:t>
                  </w:r>
                </w:p>
              </w:tc>
              <w:tc>
                <w:tcPr>
                  <w:tcW w:w="1508" w:type="dxa"/>
                  <w:tcBorders>
                    <w:tl2br w:val="nil"/>
                    <w:tr2bl w:val="nil"/>
                  </w:tcBorders>
                  <w:shd w:val="clear" w:color="auto" w:fill="FFFFFF"/>
                  <w:noWrap w:val="0"/>
                  <w:vAlign w:val="center"/>
                </w:tcPr>
                <w:p w14:paraId="4DEC844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b/>
                      <w:bCs w:val="0"/>
                      <w:color w:val="auto"/>
                      <w:highlight w:val="none"/>
                    </w:rPr>
                  </w:pPr>
                  <w:r>
                    <w:rPr>
                      <w:b/>
                      <w:bCs w:val="0"/>
                      <w:color w:val="auto"/>
                      <w:highlight w:val="none"/>
                    </w:rPr>
                    <w:t>工程名称</w:t>
                  </w:r>
                </w:p>
              </w:tc>
              <w:tc>
                <w:tcPr>
                  <w:tcW w:w="4712" w:type="dxa"/>
                  <w:tcBorders>
                    <w:tl2br w:val="nil"/>
                    <w:tr2bl w:val="nil"/>
                  </w:tcBorders>
                  <w:shd w:val="clear" w:color="auto" w:fill="FFFFFF"/>
                  <w:noWrap w:val="0"/>
                  <w:vAlign w:val="center"/>
                </w:tcPr>
                <w:p w14:paraId="0C07BED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b/>
                      <w:bCs w:val="0"/>
                      <w:color w:val="auto"/>
                      <w:highlight w:val="none"/>
                    </w:rPr>
                  </w:pPr>
                  <w:r>
                    <w:rPr>
                      <w:b/>
                      <w:bCs w:val="0"/>
                      <w:color w:val="auto"/>
                      <w:highlight w:val="none"/>
                    </w:rPr>
                    <w:t>工程内容</w:t>
                  </w:r>
                  <w:r>
                    <w:rPr>
                      <w:rFonts w:hint="eastAsia"/>
                      <w:b/>
                      <w:bCs w:val="0"/>
                      <w:color w:val="auto"/>
                      <w:highlight w:val="none"/>
                      <w:lang w:eastAsia="zh-CN"/>
                    </w:rPr>
                    <w:t>及</w:t>
                  </w:r>
                  <w:r>
                    <w:rPr>
                      <w:b/>
                      <w:bCs w:val="0"/>
                      <w:color w:val="auto"/>
                      <w:highlight w:val="none"/>
                    </w:rPr>
                    <w:t>规模</w:t>
                  </w:r>
                </w:p>
              </w:tc>
              <w:tc>
                <w:tcPr>
                  <w:tcW w:w="848" w:type="dxa"/>
                  <w:tcBorders>
                    <w:tl2br w:val="nil"/>
                    <w:tr2bl w:val="nil"/>
                  </w:tcBorders>
                  <w:shd w:val="clear" w:color="auto" w:fill="FFFFFF"/>
                  <w:noWrap w:val="0"/>
                  <w:vAlign w:val="center"/>
                </w:tcPr>
                <w:p w14:paraId="48DFCD8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val="0"/>
                      <w:color w:val="auto"/>
                      <w:highlight w:val="none"/>
                      <w:lang w:val="en-US" w:eastAsia="zh-CN"/>
                    </w:rPr>
                  </w:pPr>
                  <w:r>
                    <w:rPr>
                      <w:rFonts w:hint="eastAsia"/>
                      <w:b/>
                      <w:bCs w:val="0"/>
                      <w:color w:val="auto"/>
                      <w:highlight w:val="none"/>
                      <w:lang w:val="en-US" w:eastAsia="zh-CN"/>
                    </w:rPr>
                    <w:t>依托</w:t>
                  </w:r>
                </w:p>
                <w:p w14:paraId="13FC523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b/>
                      <w:bCs w:val="0"/>
                      <w:color w:val="auto"/>
                      <w:highlight w:val="none"/>
                      <w:lang w:eastAsia="zh-CN"/>
                    </w:rPr>
                  </w:pPr>
                  <w:r>
                    <w:rPr>
                      <w:rFonts w:hint="eastAsia"/>
                      <w:b/>
                      <w:bCs w:val="0"/>
                      <w:color w:val="auto"/>
                      <w:highlight w:val="none"/>
                      <w:lang w:val="en-US" w:eastAsia="zh-CN"/>
                    </w:rPr>
                    <w:t>关系</w:t>
                  </w:r>
                </w:p>
              </w:tc>
            </w:tr>
            <w:tr w14:paraId="0DA9515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restart"/>
                  <w:tcBorders>
                    <w:tl2br w:val="nil"/>
                    <w:tr2bl w:val="nil"/>
                  </w:tcBorders>
                  <w:shd w:val="clear" w:color="auto" w:fill="FFFFFF"/>
                  <w:noWrap w:val="0"/>
                  <w:vAlign w:val="center"/>
                </w:tcPr>
                <w:p w14:paraId="1AC6F36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color w:val="auto"/>
                      <w:highlight w:val="none"/>
                      <w:lang w:val="en-US" w:eastAsia="zh-CN"/>
                    </w:rPr>
                  </w:pPr>
                  <w:r>
                    <w:rPr>
                      <w:rFonts w:hint="eastAsia"/>
                      <w:color w:val="auto"/>
                      <w:highlight w:val="none"/>
                      <w:lang w:val="en-US" w:eastAsia="zh-CN"/>
                    </w:rPr>
                    <w:t>主体</w:t>
                  </w:r>
                </w:p>
                <w:p w14:paraId="1FB66F3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eastAsia="宋体"/>
                      <w:color w:val="auto"/>
                      <w:highlight w:val="none"/>
                      <w:lang w:val="en-US" w:eastAsia="zh-CN"/>
                    </w:rPr>
                  </w:pPr>
                  <w:r>
                    <w:rPr>
                      <w:rFonts w:hint="eastAsia"/>
                      <w:color w:val="auto"/>
                      <w:highlight w:val="none"/>
                      <w:lang w:val="en-US" w:eastAsia="zh-CN"/>
                    </w:rPr>
                    <w:t>工程</w:t>
                  </w:r>
                </w:p>
              </w:tc>
              <w:tc>
                <w:tcPr>
                  <w:tcW w:w="1508" w:type="dxa"/>
                  <w:tcBorders>
                    <w:tl2br w:val="nil"/>
                    <w:tr2bl w:val="nil"/>
                  </w:tcBorders>
                  <w:shd w:val="clear" w:color="auto" w:fill="FFFFFF"/>
                  <w:noWrap w:val="0"/>
                  <w:vAlign w:val="center"/>
                </w:tcPr>
                <w:p w14:paraId="0C2725F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一层</w:t>
                  </w:r>
                </w:p>
              </w:tc>
              <w:tc>
                <w:tcPr>
                  <w:tcW w:w="4712" w:type="dxa"/>
                  <w:tcBorders>
                    <w:tl2br w:val="nil"/>
                    <w:tr2bl w:val="nil"/>
                  </w:tcBorders>
                  <w:shd w:val="clear" w:color="auto" w:fill="FFFFFF"/>
                  <w:noWrap w:val="0"/>
                  <w:vAlign w:val="center"/>
                </w:tcPr>
                <w:p w14:paraId="3ED6185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color w:val="auto"/>
                      <w:highlight w:val="none"/>
                      <w:lang w:val="en-US" w:eastAsia="zh-CN"/>
                    </w:rPr>
                  </w:pPr>
                  <w:r>
                    <w:rPr>
                      <w:rFonts w:hint="eastAsia"/>
                      <w:color w:val="auto"/>
                      <w:highlight w:val="none"/>
                      <w:lang w:val="en-US" w:eastAsia="zh-CN"/>
                    </w:rPr>
                    <w:t>建设仪器室（存放采样仪器30m</w:t>
                  </w:r>
                  <w:r>
                    <w:rPr>
                      <w:rFonts w:hint="eastAsia"/>
                      <w:color w:val="auto"/>
                      <w:highlight w:val="none"/>
                      <w:vertAlign w:val="superscript"/>
                      <w:lang w:val="en-US" w:eastAsia="zh-CN"/>
                    </w:rPr>
                    <w:t>2</w:t>
                  </w:r>
                  <w:r>
                    <w:rPr>
                      <w:rFonts w:hint="eastAsia"/>
                      <w:color w:val="auto"/>
                      <w:highlight w:val="none"/>
                      <w:lang w:val="en-US" w:eastAsia="zh-CN"/>
                    </w:rPr>
                    <w:t>）、样品室（13m</w:t>
                  </w:r>
                  <w:r>
                    <w:rPr>
                      <w:rFonts w:hint="eastAsia"/>
                      <w:color w:val="auto"/>
                      <w:highlight w:val="none"/>
                      <w:vertAlign w:val="superscript"/>
                      <w:lang w:val="en-US" w:eastAsia="zh-CN"/>
                    </w:rPr>
                    <w:t>2</w:t>
                  </w:r>
                  <w:r>
                    <w:rPr>
                      <w:rFonts w:hint="eastAsia"/>
                      <w:color w:val="auto"/>
                      <w:highlight w:val="none"/>
                      <w:lang w:val="en-US" w:eastAsia="zh-CN"/>
                    </w:rPr>
                    <w:t>）</w:t>
                  </w:r>
                </w:p>
              </w:tc>
              <w:tc>
                <w:tcPr>
                  <w:tcW w:w="848" w:type="dxa"/>
                  <w:tcBorders>
                    <w:tl2br w:val="nil"/>
                    <w:tr2bl w:val="nil"/>
                  </w:tcBorders>
                  <w:shd w:val="clear" w:color="auto" w:fill="FFFFFF"/>
                  <w:noWrap w:val="0"/>
                  <w:vAlign w:val="center"/>
                </w:tcPr>
                <w:p w14:paraId="55C46F2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5D62258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2CE45BB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color w:val="auto"/>
                      <w:highlight w:val="none"/>
                      <w:lang w:val="en-US" w:eastAsia="zh-CN"/>
                    </w:rPr>
                  </w:pPr>
                </w:p>
              </w:tc>
              <w:tc>
                <w:tcPr>
                  <w:tcW w:w="1508" w:type="dxa"/>
                  <w:tcBorders>
                    <w:tl2br w:val="nil"/>
                    <w:tr2bl w:val="nil"/>
                  </w:tcBorders>
                  <w:shd w:val="clear" w:color="auto" w:fill="FFFFFF"/>
                  <w:noWrap w:val="0"/>
                  <w:vAlign w:val="center"/>
                </w:tcPr>
                <w:p w14:paraId="737CDA8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二层</w:t>
                  </w:r>
                </w:p>
              </w:tc>
              <w:tc>
                <w:tcPr>
                  <w:tcW w:w="4712" w:type="dxa"/>
                  <w:tcBorders>
                    <w:tl2br w:val="nil"/>
                    <w:tr2bl w:val="nil"/>
                  </w:tcBorders>
                  <w:shd w:val="clear" w:color="auto" w:fill="FFFFFF"/>
                  <w:noWrap w:val="0"/>
                  <w:vAlign w:val="center"/>
                </w:tcPr>
                <w:p w14:paraId="37E142F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现场采样仪器室（11.3m</w:t>
                  </w:r>
                  <w:r>
                    <w:rPr>
                      <w:rFonts w:hint="eastAsia"/>
                      <w:color w:val="auto"/>
                      <w:highlight w:val="none"/>
                      <w:vertAlign w:val="superscript"/>
                      <w:lang w:val="en-US" w:eastAsia="zh-CN"/>
                    </w:rPr>
                    <w:t>2</w:t>
                  </w:r>
                  <w:r>
                    <w:rPr>
                      <w:rFonts w:hint="eastAsia"/>
                      <w:color w:val="auto"/>
                      <w:highlight w:val="none"/>
                      <w:lang w:val="en-US" w:eastAsia="zh-CN"/>
                    </w:rPr>
                    <w:t>）、理化分析室（25m</w:t>
                  </w:r>
                  <w:r>
                    <w:rPr>
                      <w:rFonts w:hint="eastAsia"/>
                      <w:color w:val="auto"/>
                      <w:highlight w:val="none"/>
                      <w:vertAlign w:val="superscript"/>
                      <w:lang w:val="en-US" w:eastAsia="zh-CN"/>
                    </w:rPr>
                    <w:t>2</w:t>
                  </w:r>
                  <w:r>
                    <w:rPr>
                      <w:rFonts w:hint="eastAsia"/>
                      <w:color w:val="auto"/>
                      <w:highlight w:val="none"/>
                      <w:lang w:val="en-US" w:eastAsia="zh-CN"/>
                    </w:rPr>
                    <w:t>）、有机分析室（20m</w:t>
                  </w:r>
                  <w:r>
                    <w:rPr>
                      <w:rFonts w:hint="eastAsia"/>
                      <w:color w:val="auto"/>
                      <w:highlight w:val="none"/>
                      <w:vertAlign w:val="superscript"/>
                      <w:lang w:val="en-US" w:eastAsia="zh-CN"/>
                    </w:rPr>
                    <w:t>2</w:t>
                  </w:r>
                  <w:r>
                    <w:rPr>
                      <w:rFonts w:hint="eastAsia"/>
                      <w:color w:val="auto"/>
                      <w:highlight w:val="none"/>
                      <w:lang w:val="en-US" w:eastAsia="zh-CN"/>
                    </w:rPr>
                    <w:t>）、离子色谱室（5.3m</w:t>
                  </w:r>
                  <w:r>
                    <w:rPr>
                      <w:rFonts w:hint="eastAsia"/>
                      <w:color w:val="auto"/>
                      <w:highlight w:val="none"/>
                      <w:vertAlign w:val="superscript"/>
                      <w:lang w:val="en-US" w:eastAsia="zh-CN"/>
                    </w:rPr>
                    <w:t>2</w:t>
                  </w:r>
                  <w:r>
                    <w:rPr>
                      <w:rFonts w:hint="eastAsia"/>
                      <w:color w:val="auto"/>
                      <w:highlight w:val="none"/>
                      <w:lang w:val="en-US" w:eastAsia="zh-CN"/>
                    </w:rPr>
                    <w:t>）</w:t>
                  </w:r>
                </w:p>
              </w:tc>
              <w:tc>
                <w:tcPr>
                  <w:tcW w:w="848" w:type="dxa"/>
                  <w:tcBorders>
                    <w:tl2br w:val="nil"/>
                    <w:tr2bl w:val="nil"/>
                  </w:tcBorders>
                  <w:shd w:val="clear" w:color="auto" w:fill="FFFFFF"/>
                  <w:noWrap w:val="0"/>
                  <w:vAlign w:val="center"/>
                </w:tcPr>
                <w:p w14:paraId="75C9B44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eastAsia="宋体"/>
                      <w:color w:val="auto"/>
                      <w:highlight w:val="none"/>
                      <w:lang w:val="en-US" w:eastAsia="zh-CN"/>
                    </w:rPr>
                    <w:t>新建</w:t>
                  </w:r>
                </w:p>
              </w:tc>
            </w:tr>
            <w:tr w14:paraId="085B03A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27973CF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color w:val="auto"/>
                      <w:highlight w:val="none"/>
                      <w:lang w:val="en-US" w:eastAsia="zh-CN"/>
                    </w:rPr>
                  </w:pPr>
                </w:p>
              </w:tc>
              <w:tc>
                <w:tcPr>
                  <w:tcW w:w="1508" w:type="dxa"/>
                  <w:tcBorders>
                    <w:tl2br w:val="nil"/>
                    <w:tr2bl w:val="nil"/>
                  </w:tcBorders>
                  <w:shd w:val="clear" w:color="auto" w:fill="FFFFFF"/>
                  <w:noWrap w:val="0"/>
                  <w:vAlign w:val="center"/>
                </w:tcPr>
                <w:p w14:paraId="2CE930C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三层</w:t>
                  </w:r>
                </w:p>
              </w:tc>
              <w:tc>
                <w:tcPr>
                  <w:tcW w:w="4712" w:type="dxa"/>
                  <w:tcBorders>
                    <w:tl2br w:val="nil"/>
                    <w:tr2bl w:val="nil"/>
                  </w:tcBorders>
                  <w:shd w:val="clear" w:color="auto" w:fill="FFFFFF"/>
                  <w:noWrap w:val="0"/>
                  <w:vAlign w:val="center"/>
                </w:tcPr>
                <w:p w14:paraId="5576D60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color w:val="auto"/>
                      <w:highlight w:val="none"/>
                      <w:lang w:val="en-US" w:eastAsia="zh-CN"/>
                    </w:rPr>
                  </w:pPr>
                  <w:r>
                    <w:rPr>
                      <w:rFonts w:hint="eastAsia"/>
                      <w:color w:val="auto"/>
                      <w:highlight w:val="none"/>
                      <w:lang w:val="en-US" w:eastAsia="zh-CN"/>
                    </w:rPr>
                    <w:t>土壤晾晒间（6m</w:t>
                  </w:r>
                  <w:r>
                    <w:rPr>
                      <w:rFonts w:hint="eastAsia"/>
                      <w:color w:val="auto"/>
                      <w:highlight w:val="none"/>
                      <w:vertAlign w:val="superscript"/>
                      <w:lang w:val="en-US" w:eastAsia="zh-CN"/>
                    </w:rPr>
                    <w:t>2</w:t>
                  </w:r>
                  <w:r>
                    <w:rPr>
                      <w:rFonts w:hint="eastAsia"/>
                      <w:color w:val="auto"/>
                      <w:highlight w:val="none"/>
                      <w:lang w:val="en-US" w:eastAsia="zh-CN"/>
                    </w:rPr>
                    <w:t>）、微生物区（24m</w:t>
                  </w:r>
                  <w:r>
                    <w:rPr>
                      <w:rFonts w:hint="eastAsia"/>
                      <w:color w:val="auto"/>
                      <w:highlight w:val="none"/>
                      <w:vertAlign w:val="superscript"/>
                      <w:lang w:val="en-US" w:eastAsia="zh-CN"/>
                    </w:rPr>
                    <w:t>2</w:t>
                  </w:r>
                  <w:r>
                    <w:rPr>
                      <w:rFonts w:hint="eastAsia"/>
                      <w:color w:val="auto"/>
                      <w:highlight w:val="none"/>
                      <w:lang w:val="en-US" w:eastAsia="zh-CN"/>
                    </w:rPr>
                    <w:t>）、嗅变室（13m</w:t>
                  </w:r>
                  <w:r>
                    <w:rPr>
                      <w:rFonts w:hint="eastAsia"/>
                      <w:color w:val="auto"/>
                      <w:highlight w:val="none"/>
                      <w:vertAlign w:val="superscript"/>
                      <w:lang w:val="en-US" w:eastAsia="zh-CN"/>
                    </w:rPr>
                    <w:t>2</w:t>
                  </w:r>
                  <w:r>
                    <w:rPr>
                      <w:rFonts w:hint="eastAsia"/>
                      <w:color w:val="auto"/>
                      <w:highlight w:val="none"/>
                      <w:lang w:val="en-US" w:eastAsia="zh-CN"/>
                    </w:rPr>
                    <w:t>）、配气室（7m</w:t>
                  </w:r>
                  <w:r>
                    <w:rPr>
                      <w:rFonts w:hint="eastAsia"/>
                      <w:color w:val="auto"/>
                      <w:highlight w:val="none"/>
                      <w:vertAlign w:val="superscript"/>
                      <w:lang w:val="en-US" w:eastAsia="zh-CN"/>
                    </w:rPr>
                    <w:t>2</w:t>
                  </w:r>
                  <w:r>
                    <w:rPr>
                      <w:rFonts w:hint="eastAsia"/>
                      <w:color w:val="auto"/>
                      <w:highlight w:val="none"/>
                      <w:lang w:val="en-US" w:eastAsia="zh-CN"/>
                    </w:rPr>
                    <w:t>）</w:t>
                  </w:r>
                </w:p>
              </w:tc>
              <w:tc>
                <w:tcPr>
                  <w:tcW w:w="848" w:type="dxa"/>
                  <w:tcBorders>
                    <w:tl2br w:val="nil"/>
                    <w:tr2bl w:val="nil"/>
                  </w:tcBorders>
                  <w:shd w:val="clear" w:color="auto" w:fill="FFFFFF"/>
                  <w:noWrap w:val="0"/>
                  <w:vAlign w:val="center"/>
                </w:tcPr>
                <w:p w14:paraId="5437CD9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eastAsia="宋体"/>
                      <w:color w:val="auto"/>
                      <w:highlight w:val="none"/>
                      <w:lang w:val="en-US" w:eastAsia="zh-CN"/>
                    </w:rPr>
                    <w:t>新建</w:t>
                  </w:r>
                </w:p>
              </w:tc>
            </w:tr>
            <w:tr w14:paraId="364E13F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1823B7C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p>
              </w:tc>
              <w:tc>
                <w:tcPr>
                  <w:tcW w:w="1508" w:type="dxa"/>
                  <w:tcBorders>
                    <w:tl2br w:val="nil"/>
                    <w:tr2bl w:val="nil"/>
                  </w:tcBorders>
                  <w:shd w:val="clear" w:color="auto" w:fill="FFFFFF"/>
                  <w:noWrap w:val="0"/>
                  <w:vAlign w:val="center"/>
                </w:tcPr>
                <w:p w14:paraId="78B69C6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四层</w:t>
                  </w:r>
                </w:p>
              </w:tc>
              <w:tc>
                <w:tcPr>
                  <w:tcW w:w="4712" w:type="dxa"/>
                  <w:tcBorders>
                    <w:tl2br w:val="nil"/>
                    <w:tr2bl w:val="nil"/>
                  </w:tcBorders>
                  <w:shd w:val="clear" w:color="auto" w:fill="FFFFFF"/>
                  <w:noWrap w:val="0"/>
                  <w:vAlign w:val="center"/>
                </w:tcPr>
                <w:p w14:paraId="3FD2435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气相色谱室（20m</w:t>
                  </w:r>
                  <w:r>
                    <w:rPr>
                      <w:rFonts w:hint="eastAsia"/>
                      <w:color w:val="auto"/>
                      <w:highlight w:val="none"/>
                      <w:vertAlign w:val="superscript"/>
                      <w:lang w:val="en-US" w:eastAsia="zh-CN"/>
                    </w:rPr>
                    <w:t>2</w:t>
                  </w:r>
                  <w:r>
                    <w:rPr>
                      <w:rFonts w:hint="eastAsia"/>
                      <w:color w:val="auto"/>
                      <w:highlight w:val="none"/>
                      <w:lang w:val="en-US" w:eastAsia="zh-CN"/>
                    </w:rPr>
                    <w:t>）、仪器分析室（25m</w:t>
                  </w:r>
                  <w:r>
                    <w:rPr>
                      <w:rFonts w:hint="eastAsia"/>
                      <w:color w:val="auto"/>
                      <w:highlight w:val="none"/>
                      <w:vertAlign w:val="superscript"/>
                      <w:lang w:val="en-US" w:eastAsia="zh-CN"/>
                    </w:rPr>
                    <w:t>2</w:t>
                  </w:r>
                  <w:r>
                    <w:rPr>
                      <w:rFonts w:hint="eastAsia"/>
                      <w:color w:val="auto"/>
                      <w:highlight w:val="none"/>
                      <w:lang w:val="en-US" w:eastAsia="zh-CN"/>
                    </w:rPr>
                    <w:t>）、钢瓶间（7m</w:t>
                  </w:r>
                  <w:r>
                    <w:rPr>
                      <w:rFonts w:hint="eastAsia"/>
                      <w:color w:val="auto"/>
                      <w:highlight w:val="none"/>
                      <w:vertAlign w:val="superscript"/>
                      <w:lang w:val="en-US" w:eastAsia="zh-CN"/>
                    </w:rPr>
                    <w:t>2</w:t>
                  </w:r>
                  <w:r>
                    <w:rPr>
                      <w:rFonts w:hint="eastAsia"/>
                      <w:color w:val="auto"/>
                      <w:highlight w:val="none"/>
                      <w:lang w:val="en-US" w:eastAsia="zh-CN"/>
                    </w:rPr>
                    <w:t>）、前处理室（11m</w:t>
                  </w:r>
                  <w:r>
                    <w:rPr>
                      <w:rFonts w:hint="eastAsia"/>
                      <w:color w:val="auto"/>
                      <w:highlight w:val="none"/>
                      <w:vertAlign w:val="superscript"/>
                      <w:lang w:val="en-US" w:eastAsia="zh-CN"/>
                    </w:rPr>
                    <w:t>2</w:t>
                  </w:r>
                  <w:r>
                    <w:rPr>
                      <w:rFonts w:hint="eastAsia"/>
                      <w:color w:val="auto"/>
                      <w:highlight w:val="none"/>
                      <w:lang w:val="en-US" w:eastAsia="zh-CN"/>
                    </w:rPr>
                    <w:t>）、高温室（9m</w:t>
                  </w:r>
                  <w:r>
                    <w:rPr>
                      <w:rFonts w:hint="eastAsia"/>
                      <w:color w:val="auto"/>
                      <w:highlight w:val="none"/>
                      <w:vertAlign w:val="superscript"/>
                      <w:lang w:val="en-US" w:eastAsia="zh-CN"/>
                    </w:rPr>
                    <w:t>2</w:t>
                  </w:r>
                  <w:r>
                    <w:rPr>
                      <w:rFonts w:hint="eastAsia"/>
                      <w:color w:val="auto"/>
                      <w:highlight w:val="none"/>
                      <w:lang w:val="en-US" w:eastAsia="zh-CN"/>
                    </w:rPr>
                    <w:t>）、清洁性分析室（10m</w:t>
                  </w:r>
                  <w:r>
                    <w:rPr>
                      <w:rFonts w:hint="eastAsia"/>
                      <w:color w:val="auto"/>
                      <w:highlight w:val="none"/>
                      <w:vertAlign w:val="superscript"/>
                      <w:lang w:val="en-US" w:eastAsia="zh-CN"/>
                    </w:rPr>
                    <w:t>2</w:t>
                  </w:r>
                  <w:r>
                    <w:rPr>
                      <w:rFonts w:hint="eastAsia"/>
                      <w:color w:val="auto"/>
                      <w:highlight w:val="none"/>
                      <w:lang w:val="en-US" w:eastAsia="zh-CN"/>
                    </w:rPr>
                    <w:t>）、检测放射性设备室（5m</w:t>
                  </w:r>
                  <w:r>
                    <w:rPr>
                      <w:rFonts w:hint="eastAsia"/>
                      <w:color w:val="auto"/>
                      <w:highlight w:val="none"/>
                      <w:vertAlign w:val="superscript"/>
                      <w:lang w:val="en-US" w:eastAsia="zh-CN"/>
                    </w:rPr>
                    <w:t>2</w:t>
                  </w:r>
                  <w:r>
                    <w:rPr>
                      <w:rFonts w:hint="eastAsia"/>
                      <w:color w:val="auto"/>
                      <w:highlight w:val="none"/>
                      <w:lang w:val="en-US" w:eastAsia="zh-CN"/>
                    </w:rPr>
                    <w:t>）</w:t>
                  </w:r>
                </w:p>
              </w:tc>
              <w:tc>
                <w:tcPr>
                  <w:tcW w:w="848" w:type="dxa"/>
                  <w:tcBorders>
                    <w:tl2br w:val="nil"/>
                    <w:tr2bl w:val="nil"/>
                  </w:tcBorders>
                  <w:shd w:val="clear" w:color="auto" w:fill="FFFFFF"/>
                  <w:noWrap w:val="0"/>
                  <w:vAlign w:val="center"/>
                </w:tcPr>
                <w:p w14:paraId="17E667C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新建</w:t>
                  </w:r>
                </w:p>
              </w:tc>
            </w:tr>
            <w:tr w14:paraId="3CD80C1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4FF15D2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p>
              </w:tc>
              <w:tc>
                <w:tcPr>
                  <w:tcW w:w="1508" w:type="dxa"/>
                  <w:tcBorders>
                    <w:tl2br w:val="nil"/>
                    <w:tr2bl w:val="nil"/>
                  </w:tcBorders>
                  <w:shd w:val="clear" w:color="auto" w:fill="FFFFFF"/>
                  <w:noWrap w:val="0"/>
                  <w:vAlign w:val="center"/>
                </w:tcPr>
                <w:p w14:paraId="31FC2A4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color w:val="auto"/>
                      <w:highlight w:val="none"/>
                      <w:lang w:val="en-US" w:eastAsia="zh-CN"/>
                    </w:rPr>
                  </w:pPr>
                  <w:r>
                    <w:rPr>
                      <w:rFonts w:hint="eastAsia"/>
                      <w:color w:val="auto"/>
                      <w:highlight w:val="none"/>
                      <w:lang w:val="en-US" w:eastAsia="zh-CN"/>
                    </w:rPr>
                    <w:t>五层</w:t>
                  </w:r>
                </w:p>
              </w:tc>
              <w:tc>
                <w:tcPr>
                  <w:tcW w:w="4712" w:type="dxa"/>
                  <w:tcBorders>
                    <w:tl2br w:val="nil"/>
                    <w:tr2bl w:val="nil"/>
                  </w:tcBorders>
                  <w:shd w:val="clear" w:color="auto" w:fill="FFFFFF"/>
                  <w:noWrap w:val="0"/>
                  <w:vAlign w:val="center"/>
                </w:tcPr>
                <w:p w14:paraId="05302A4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仪分室一（53m</w:t>
                  </w:r>
                  <w:r>
                    <w:rPr>
                      <w:rFonts w:hint="eastAsia"/>
                      <w:color w:val="auto"/>
                      <w:highlight w:val="none"/>
                      <w:vertAlign w:val="superscript"/>
                      <w:lang w:val="en-US" w:eastAsia="zh-CN"/>
                    </w:rPr>
                    <w:t>2</w:t>
                  </w:r>
                  <w:r>
                    <w:rPr>
                      <w:rFonts w:hint="eastAsia"/>
                      <w:color w:val="auto"/>
                      <w:highlight w:val="none"/>
                      <w:lang w:val="en-US" w:eastAsia="zh-CN"/>
                    </w:rPr>
                    <w:t>）、仪分室一（42m</w:t>
                  </w:r>
                  <w:r>
                    <w:rPr>
                      <w:rFonts w:hint="eastAsia"/>
                      <w:color w:val="auto"/>
                      <w:highlight w:val="none"/>
                      <w:vertAlign w:val="superscript"/>
                      <w:lang w:val="en-US" w:eastAsia="zh-CN"/>
                    </w:rPr>
                    <w:t>2</w:t>
                  </w:r>
                  <w:r>
                    <w:rPr>
                      <w:rFonts w:hint="eastAsia"/>
                      <w:color w:val="auto"/>
                      <w:highlight w:val="none"/>
                      <w:lang w:val="en-US" w:eastAsia="zh-CN"/>
                    </w:rPr>
                    <w:t>）、前处理室（11.m</w:t>
                  </w:r>
                  <w:r>
                    <w:rPr>
                      <w:rFonts w:hint="eastAsia"/>
                      <w:color w:val="auto"/>
                      <w:highlight w:val="none"/>
                      <w:vertAlign w:val="superscript"/>
                      <w:lang w:val="en-US" w:eastAsia="zh-CN"/>
                    </w:rPr>
                    <w:t>2</w:t>
                  </w:r>
                  <w:r>
                    <w:rPr>
                      <w:rFonts w:hint="eastAsia"/>
                      <w:color w:val="auto"/>
                      <w:highlight w:val="none"/>
                      <w:lang w:val="en-US" w:eastAsia="zh-CN"/>
                    </w:rPr>
                    <w:t>）、分光室（8m</w:t>
                  </w:r>
                  <w:r>
                    <w:rPr>
                      <w:rFonts w:hint="eastAsia"/>
                      <w:color w:val="auto"/>
                      <w:highlight w:val="none"/>
                      <w:vertAlign w:val="superscript"/>
                      <w:lang w:val="en-US" w:eastAsia="zh-CN"/>
                    </w:rPr>
                    <w:t>2</w:t>
                  </w:r>
                  <w:r>
                    <w:rPr>
                      <w:rFonts w:hint="eastAsia"/>
                      <w:color w:val="auto"/>
                      <w:highlight w:val="none"/>
                      <w:lang w:val="en-US" w:eastAsia="zh-CN"/>
                    </w:rPr>
                    <w:t>）、称量间（10m</w:t>
                  </w:r>
                  <w:r>
                    <w:rPr>
                      <w:rFonts w:hint="eastAsia"/>
                      <w:color w:val="auto"/>
                      <w:highlight w:val="none"/>
                      <w:vertAlign w:val="superscript"/>
                      <w:lang w:val="en-US" w:eastAsia="zh-CN"/>
                    </w:rPr>
                    <w:t>2</w:t>
                  </w:r>
                  <w:r>
                    <w:rPr>
                      <w:rFonts w:hint="eastAsia"/>
                      <w:color w:val="auto"/>
                      <w:highlight w:val="none"/>
                      <w:lang w:val="en-US" w:eastAsia="zh-CN"/>
                    </w:rPr>
                    <w:t>）、天平室（7m</w:t>
                  </w:r>
                  <w:r>
                    <w:rPr>
                      <w:rFonts w:hint="eastAsia"/>
                      <w:color w:val="auto"/>
                      <w:highlight w:val="none"/>
                      <w:vertAlign w:val="superscript"/>
                      <w:lang w:val="en-US" w:eastAsia="zh-CN"/>
                    </w:rPr>
                    <w:t>2</w:t>
                  </w:r>
                  <w:r>
                    <w:rPr>
                      <w:rFonts w:hint="eastAsia"/>
                      <w:color w:val="auto"/>
                      <w:highlight w:val="none"/>
                      <w:lang w:val="en-US" w:eastAsia="zh-CN"/>
                    </w:rPr>
                    <w:t>）、试剂室（7m</w:t>
                  </w:r>
                  <w:r>
                    <w:rPr>
                      <w:rFonts w:hint="eastAsia"/>
                      <w:color w:val="auto"/>
                      <w:highlight w:val="none"/>
                      <w:vertAlign w:val="superscript"/>
                      <w:lang w:val="en-US" w:eastAsia="zh-CN"/>
                    </w:rPr>
                    <w:t>2</w:t>
                  </w:r>
                  <w:r>
                    <w:rPr>
                      <w:rFonts w:hint="eastAsia"/>
                      <w:color w:val="auto"/>
                      <w:highlight w:val="none"/>
                      <w:lang w:val="en-US" w:eastAsia="zh-CN"/>
                    </w:rPr>
                    <w:t>）、易制毒易制爆室（5m</w:t>
                  </w:r>
                  <w:r>
                    <w:rPr>
                      <w:rFonts w:hint="eastAsia"/>
                      <w:color w:val="auto"/>
                      <w:highlight w:val="none"/>
                      <w:vertAlign w:val="superscript"/>
                      <w:lang w:val="en-US" w:eastAsia="zh-CN"/>
                    </w:rPr>
                    <w:t>2</w:t>
                  </w:r>
                  <w:r>
                    <w:rPr>
                      <w:rFonts w:hint="eastAsia"/>
                      <w:color w:val="auto"/>
                      <w:highlight w:val="none"/>
                      <w:lang w:val="en-US" w:eastAsia="zh-CN"/>
                    </w:rPr>
                    <w:t>）</w:t>
                  </w:r>
                </w:p>
              </w:tc>
              <w:tc>
                <w:tcPr>
                  <w:tcW w:w="848" w:type="dxa"/>
                  <w:tcBorders>
                    <w:tl2br w:val="nil"/>
                    <w:tr2bl w:val="nil"/>
                  </w:tcBorders>
                  <w:shd w:val="clear" w:color="auto" w:fill="FFFFFF"/>
                  <w:noWrap w:val="0"/>
                  <w:vAlign w:val="center"/>
                </w:tcPr>
                <w:p w14:paraId="7792BCE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5943778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restart"/>
                  <w:tcBorders>
                    <w:tl2br w:val="nil"/>
                    <w:tr2bl w:val="nil"/>
                  </w:tcBorders>
                  <w:shd w:val="clear" w:color="auto" w:fill="FFFFFF"/>
                  <w:noWrap w:val="0"/>
                  <w:vAlign w:val="center"/>
                </w:tcPr>
                <w:p w14:paraId="46CD570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公用</w:t>
                  </w:r>
                </w:p>
                <w:p w14:paraId="3E46F4F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工程</w:t>
                  </w:r>
                </w:p>
              </w:tc>
              <w:tc>
                <w:tcPr>
                  <w:tcW w:w="1508" w:type="dxa"/>
                  <w:tcBorders>
                    <w:tl2br w:val="nil"/>
                    <w:tr2bl w:val="nil"/>
                  </w:tcBorders>
                  <w:shd w:val="clear" w:color="auto" w:fill="FFFFFF"/>
                  <w:noWrap w:val="0"/>
                  <w:vAlign w:val="center"/>
                </w:tcPr>
                <w:p w14:paraId="49DCCB0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给水系统</w:t>
                  </w:r>
                </w:p>
              </w:tc>
              <w:tc>
                <w:tcPr>
                  <w:tcW w:w="4712" w:type="dxa"/>
                  <w:tcBorders>
                    <w:tl2br w:val="nil"/>
                    <w:tr2bl w:val="nil"/>
                  </w:tcBorders>
                  <w:shd w:val="clear" w:color="auto" w:fill="FFFFFF"/>
                  <w:noWrap w:val="0"/>
                  <w:vAlign w:val="center"/>
                </w:tcPr>
                <w:p w14:paraId="24B323E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依托市政给水系统</w:t>
                  </w:r>
                </w:p>
              </w:tc>
              <w:tc>
                <w:tcPr>
                  <w:tcW w:w="848" w:type="dxa"/>
                  <w:tcBorders>
                    <w:tl2br w:val="nil"/>
                    <w:tr2bl w:val="nil"/>
                  </w:tcBorders>
                  <w:shd w:val="clear" w:color="auto" w:fill="FFFFFF"/>
                  <w:noWrap w:val="0"/>
                  <w:vAlign w:val="center"/>
                </w:tcPr>
                <w:p w14:paraId="1A91C6C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依托</w:t>
                  </w:r>
                </w:p>
              </w:tc>
            </w:tr>
            <w:tr w14:paraId="33D88DD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38A61C8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08" w:type="dxa"/>
                  <w:tcBorders>
                    <w:tl2br w:val="nil"/>
                    <w:tr2bl w:val="nil"/>
                  </w:tcBorders>
                  <w:shd w:val="clear" w:color="auto" w:fill="FFFFFF"/>
                  <w:noWrap w:val="0"/>
                  <w:vAlign w:val="center"/>
                </w:tcPr>
                <w:p w14:paraId="7E67A71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排水系统</w:t>
                  </w:r>
                </w:p>
              </w:tc>
              <w:tc>
                <w:tcPr>
                  <w:tcW w:w="4712" w:type="dxa"/>
                  <w:tcBorders>
                    <w:tl2br w:val="nil"/>
                    <w:tr2bl w:val="nil"/>
                  </w:tcBorders>
                  <w:shd w:val="clear" w:color="auto" w:fill="FFFFFF"/>
                  <w:noWrap w:val="0"/>
                  <w:vAlign w:val="center"/>
                </w:tcPr>
                <w:p w14:paraId="4F3A284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color w:val="auto"/>
                      <w:highlight w:val="none"/>
                    </w:rPr>
                  </w:pPr>
                  <w:r>
                    <w:rPr>
                      <w:rFonts w:hint="eastAsia"/>
                      <w:color w:val="auto"/>
                      <w:highlight w:val="none"/>
                      <w:lang w:val="en-US" w:eastAsia="zh-CN"/>
                    </w:rPr>
                    <w:t>容器前遍清洗废水收集作危废处置，容器第三遍及以后清洗废水、生活污水、高压蒸汽灭菌废水、地面清洗废水一起排入园区化粪池，经市政管网进金桥基地第一污水处理厂进一步处理</w:t>
                  </w:r>
                </w:p>
              </w:tc>
              <w:tc>
                <w:tcPr>
                  <w:tcW w:w="848" w:type="dxa"/>
                  <w:tcBorders>
                    <w:tl2br w:val="nil"/>
                    <w:tr2bl w:val="nil"/>
                  </w:tcBorders>
                  <w:shd w:val="clear" w:color="auto" w:fill="FFFFFF"/>
                  <w:noWrap w:val="0"/>
                  <w:vAlign w:val="center"/>
                </w:tcPr>
                <w:p w14:paraId="3A05F2B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依托</w:t>
                  </w:r>
                </w:p>
              </w:tc>
            </w:tr>
            <w:tr w14:paraId="1CBE24C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606D228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08" w:type="dxa"/>
                  <w:tcBorders>
                    <w:tl2br w:val="nil"/>
                    <w:tr2bl w:val="nil"/>
                  </w:tcBorders>
                  <w:shd w:val="clear" w:color="auto" w:fill="FFFFFF"/>
                  <w:noWrap w:val="0"/>
                  <w:vAlign w:val="center"/>
                </w:tcPr>
                <w:p w14:paraId="7F71FBB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供电系统</w:t>
                  </w:r>
                </w:p>
              </w:tc>
              <w:tc>
                <w:tcPr>
                  <w:tcW w:w="4712" w:type="dxa"/>
                  <w:tcBorders>
                    <w:tl2br w:val="nil"/>
                    <w:tr2bl w:val="nil"/>
                  </w:tcBorders>
                  <w:shd w:val="clear" w:color="auto" w:fill="FFFFFF"/>
                  <w:noWrap w:val="0"/>
                  <w:vAlign w:val="center"/>
                </w:tcPr>
                <w:p w14:paraId="376C125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color w:val="auto"/>
                      <w:highlight w:val="none"/>
                    </w:rPr>
                  </w:pPr>
                  <w:r>
                    <w:rPr>
                      <w:rFonts w:hint="eastAsia"/>
                      <w:color w:val="auto"/>
                      <w:highlight w:val="none"/>
                      <w:lang w:val="en-US" w:eastAsia="zh-CN"/>
                    </w:rPr>
                    <w:t>依托市政</w:t>
                  </w:r>
                  <w:r>
                    <w:rPr>
                      <w:rFonts w:hint="eastAsia"/>
                      <w:color w:val="auto"/>
                      <w:highlight w:val="none"/>
                    </w:rPr>
                    <w:t>电力系统</w:t>
                  </w:r>
                </w:p>
              </w:tc>
              <w:tc>
                <w:tcPr>
                  <w:tcW w:w="848" w:type="dxa"/>
                  <w:tcBorders>
                    <w:tl2br w:val="nil"/>
                    <w:tr2bl w:val="nil"/>
                  </w:tcBorders>
                  <w:shd w:val="clear" w:color="auto" w:fill="FFFFFF"/>
                  <w:noWrap w:val="0"/>
                  <w:vAlign w:val="center"/>
                </w:tcPr>
                <w:p w14:paraId="1216430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依托</w:t>
                  </w:r>
                </w:p>
              </w:tc>
            </w:tr>
            <w:tr w14:paraId="5C74989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576FA05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08" w:type="dxa"/>
                  <w:tcBorders>
                    <w:tl2br w:val="nil"/>
                    <w:tr2bl w:val="nil"/>
                  </w:tcBorders>
                  <w:shd w:val="clear" w:color="auto" w:fill="FFFFFF"/>
                  <w:noWrap w:val="0"/>
                  <w:vAlign w:val="center"/>
                </w:tcPr>
                <w:p w14:paraId="4D20A76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采暖供冷</w:t>
                  </w:r>
                </w:p>
              </w:tc>
              <w:tc>
                <w:tcPr>
                  <w:tcW w:w="4712" w:type="dxa"/>
                  <w:tcBorders>
                    <w:tl2br w:val="nil"/>
                    <w:tr2bl w:val="nil"/>
                  </w:tcBorders>
                  <w:shd w:val="clear" w:color="auto" w:fill="FFFFFF"/>
                  <w:noWrap w:val="0"/>
                  <w:vAlign w:val="center"/>
                </w:tcPr>
                <w:p w14:paraId="3684FA5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eastAsia="zh-CN"/>
                    </w:rPr>
                    <w:t>供暖</w:t>
                  </w:r>
                  <w:r>
                    <w:rPr>
                      <w:rFonts w:hint="eastAsia"/>
                      <w:color w:val="auto"/>
                      <w:highlight w:val="none"/>
                      <w:lang w:val="en-US" w:eastAsia="zh-CN"/>
                    </w:rPr>
                    <w:t>采用</w:t>
                  </w:r>
                  <w:r>
                    <w:rPr>
                      <w:rFonts w:hint="eastAsia" w:cs="Times New Roman"/>
                      <w:color w:val="auto"/>
                      <w:kern w:val="0"/>
                      <w:szCs w:val="21"/>
                      <w:highlight w:val="none"/>
                      <w:lang w:val="en-US" w:eastAsia="zh-CN" w:bidi="ar"/>
                    </w:rPr>
                    <w:t>市政集中供热</w:t>
                  </w:r>
                  <w:r>
                    <w:rPr>
                      <w:rFonts w:hint="eastAsia"/>
                      <w:color w:val="auto"/>
                      <w:highlight w:val="none"/>
                      <w:lang w:eastAsia="zh-CN"/>
                    </w:rPr>
                    <w:t>、制冷</w:t>
                  </w:r>
                  <w:r>
                    <w:rPr>
                      <w:rFonts w:hint="eastAsia"/>
                      <w:color w:val="auto"/>
                      <w:highlight w:val="none"/>
                      <w:lang w:val="en-US" w:eastAsia="zh-CN"/>
                    </w:rPr>
                    <w:t>使用空调</w:t>
                  </w:r>
                </w:p>
              </w:tc>
              <w:tc>
                <w:tcPr>
                  <w:tcW w:w="848" w:type="dxa"/>
                  <w:tcBorders>
                    <w:tl2br w:val="nil"/>
                    <w:tr2bl w:val="nil"/>
                  </w:tcBorders>
                  <w:shd w:val="clear" w:color="auto" w:fill="FFFFFF"/>
                  <w:noWrap w:val="0"/>
                  <w:vAlign w:val="center"/>
                </w:tcPr>
                <w:p w14:paraId="07D8F4B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新建</w:t>
                  </w:r>
                </w:p>
              </w:tc>
            </w:tr>
            <w:tr w14:paraId="631E013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restart"/>
                  <w:tcBorders>
                    <w:tl2br w:val="nil"/>
                    <w:tr2bl w:val="nil"/>
                  </w:tcBorders>
                  <w:shd w:val="clear" w:color="auto" w:fill="FFFFFF"/>
                  <w:noWrap w:val="0"/>
                  <w:vAlign w:val="center"/>
                </w:tcPr>
                <w:p w14:paraId="37A5571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环保</w:t>
                  </w:r>
                </w:p>
                <w:p w14:paraId="5C32712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工程</w:t>
                  </w:r>
                </w:p>
              </w:tc>
              <w:tc>
                <w:tcPr>
                  <w:tcW w:w="1508" w:type="dxa"/>
                  <w:tcBorders>
                    <w:tl2br w:val="nil"/>
                    <w:tr2bl w:val="nil"/>
                  </w:tcBorders>
                  <w:shd w:val="clear" w:color="auto" w:fill="FFFFFF"/>
                  <w:noWrap w:val="0"/>
                  <w:vAlign w:val="center"/>
                </w:tcPr>
                <w:p w14:paraId="5038DE3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废气治理</w:t>
                  </w:r>
                </w:p>
              </w:tc>
              <w:tc>
                <w:tcPr>
                  <w:tcW w:w="4712" w:type="dxa"/>
                  <w:tcBorders>
                    <w:tl2br w:val="nil"/>
                    <w:tr2bl w:val="nil"/>
                  </w:tcBorders>
                  <w:shd w:val="clear" w:color="auto" w:fill="FFFFFF"/>
                  <w:noWrap w:val="0"/>
                  <w:vAlign w:val="center"/>
                </w:tcPr>
                <w:p w14:paraId="3C5ECD4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color w:val="auto"/>
                      <w:highlight w:val="none"/>
                      <w:lang w:val="en-US" w:eastAsia="zh-CN"/>
                    </w:rPr>
                  </w:pPr>
                  <w:r>
                    <w:rPr>
                      <w:rFonts w:hint="eastAsia" w:cs="Times New Roman"/>
                      <w:color w:val="auto"/>
                      <w:kern w:val="0"/>
                      <w:sz w:val="21"/>
                      <w:szCs w:val="21"/>
                      <w:lang w:val="en-US" w:eastAsia="zh-CN" w:bidi="ar"/>
                    </w:rPr>
                    <w:t>本项目废气经通风橱、万向罩</w:t>
                  </w:r>
                  <w:r>
                    <w:rPr>
                      <w:rFonts w:hint="default" w:ascii="Times New Roman" w:hAnsi="Times New Roman" w:eastAsia="宋体" w:cs="Times New Roman"/>
                      <w:color w:val="auto"/>
                      <w:kern w:val="0"/>
                      <w:sz w:val="21"/>
                      <w:szCs w:val="21"/>
                      <w:lang w:val="en-US" w:eastAsia="zh-CN" w:bidi="ar"/>
                    </w:rPr>
                    <w:t>收集后进</w:t>
                  </w:r>
                  <w:r>
                    <w:rPr>
                      <w:rFonts w:hint="eastAsia" w:cs="Times New Roman"/>
                      <w:color w:val="auto"/>
                      <w:kern w:val="0"/>
                      <w:sz w:val="21"/>
                      <w:szCs w:val="21"/>
                      <w:lang w:val="en-US" w:eastAsia="zh-CN" w:bidi="ar"/>
                    </w:rPr>
                    <w:t>干式过滤器（酸式吸附剂+碱式吸附剂+活性炭）处理</w:t>
                  </w:r>
                  <w:r>
                    <w:rPr>
                      <w:rFonts w:hint="default" w:ascii="Times New Roman" w:hAnsi="Times New Roman" w:eastAsia="宋体" w:cs="Times New Roman"/>
                      <w:color w:val="auto"/>
                      <w:kern w:val="0"/>
                      <w:sz w:val="21"/>
                      <w:szCs w:val="21"/>
                      <w:lang w:val="en-US" w:eastAsia="zh-CN" w:bidi="ar"/>
                    </w:rPr>
                    <w:t>后经</w:t>
                  </w:r>
                  <w:r>
                    <w:rPr>
                      <w:rFonts w:hint="eastAsia" w:cs="Times New Roman"/>
                      <w:color w:val="auto"/>
                      <w:kern w:val="0"/>
                      <w:sz w:val="21"/>
                      <w:szCs w:val="21"/>
                      <w:lang w:val="en-US" w:eastAsia="zh-CN" w:bidi="ar"/>
                    </w:rPr>
                    <w:t>1根28m高</w:t>
                  </w:r>
                  <w:r>
                    <w:rPr>
                      <w:rFonts w:hint="default" w:ascii="Times New Roman" w:hAnsi="Times New Roman" w:eastAsia="宋体" w:cs="Times New Roman"/>
                      <w:color w:val="auto"/>
                      <w:kern w:val="0"/>
                      <w:sz w:val="21"/>
                      <w:szCs w:val="21"/>
                      <w:lang w:val="en-US" w:eastAsia="zh-CN" w:bidi="ar"/>
                    </w:rPr>
                    <w:t>的</w:t>
                  </w:r>
                  <w:r>
                    <w:rPr>
                      <w:rFonts w:hint="eastAsia" w:cs="Times New Roman"/>
                      <w:color w:val="auto"/>
                      <w:kern w:val="0"/>
                      <w:sz w:val="21"/>
                      <w:szCs w:val="21"/>
                      <w:lang w:val="en-US" w:eastAsia="zh-CN" w:bidi="ar"/>
                    </w:rPr>
                    <w:t>排气筒</w:t>
                  </w:r>
                  <w:r>
                    <w:rPr>
                      <w:rFonts w:hint="default" w:ascii="Times New Roman" w:hAnsi="Times New Roman" w:eastAsia="宋体" w:cs="Times New Roman"/>
                      <w:color w:val="auto"/>
                      <w:kern w:val="0"/>
                      <w:sz w:val="21"/>
                      <w:szCs w:val="21"/>
                      <w:lang w:val="en-US" w:eastAsia="zh-CN" w:bidi="ar"/>
                    </w:rPr>
                    <w:t>DA001排放</w:t>
                  </w:r>
                </w:p>
              </w:tc>
              <w:tc>
                <w:tcPr>
                  <w:tcW w:w="848" w:type="dxa"/>
                  <w:tcBorders>
                    <w:tl2br w:val="nil"/>
                    <w:tr2bl w:val="nil"/>
                  </w:tcBorders>
                  <w:shd w:val="clear" w:color="auto" w:fill="FFFFFF"/>
                  <w:noWrap w:val="0"/>
                  <w:vAlign w:val="center"/>
                </w:tcPr>
                <w:p w14:paraId="07AC82C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新建</w:t>
                  </w:r>
                </w:p>
              </w:tc>
            </w:tr>
            <w:tr w14:paraId="3324307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14FA7EB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08" w:type="dxa"/>
                  <w:tcBorders>
                    <w:tl2br w:val="nil"/>
                    <w:tr2bl w:val="nil"/>
                  </w:tcBorders>
                  <w:shd w:val="clear" w:color="auto" w:fill="FFFFFF"/>
                  <w:noWrap w:val="0"/>
                  <w:vAlign w:val="center"/>
                </w:tcPr>
                <w:p w14:paraId="64C3C08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废水治理</w:t>
                  </w:r>
                </w:p>
              </w:tc>
              <w:tc>
                <w:tcPr>
                  <w:tcW w:w="4712" w:type="dxa"/>
                  <w:tcBorders>
                    <w:tl2br w:val="nil"/>
                    <w:tr2bl w:val="nil"/>
                  </w:tcBorders>
                  <w:shd w:val="clear" w:color="auto" w:fill="FFFFFF"/>
                  <w:noWrap w:val="0"/>
                  <w:vAlign w:val="center"/>
                </w:tcPr>
                <w:p w14:paraId="3694DE6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eastAsia="宋体"/>
                      <w:color w:val="auto"/>
                      <w:highlight w:val="none"/>
                      <w:lang w:val="en-US" w:eastAsia="zh-CN"/>
                    </w:rPr>
                  </w:pPr>
                  <w:r>
                    <w:rPr>
                      <w:rFonts w:hint="eastAsia" w:eastAsia="宋体"/>
                      <w:color w:val="auto"/>
                      <w:highlight w:val="none"/>
                      <w:lang w:val="en-US" w:eastAsia="zh-CN"/>
                    </w:rPr>
                    <w:t>容器前两遍清洗废水收集作危废处置，容器第三遍及以后清洗废水、高压蒸汽灭菌废水、地面清洗废水与生活污水一起排入园区化粪池，经市政管网进</w:t>
                  </w:r>
                  <w:r>
                    <w:rPr>
                      <w:rFonts w:hint="eastAsia"/>
                      <w:color w:val="auto"/>
                      <w:highlight w:val="none"/>
                      <w:lang w:val="en-US" w:eastAsia="zh-CN"/>
                    </w:rPr>
                    <w:t>金桥基地第一污水处理厂</w:t>
                  </w:r>
                  <w:r>
                    <w:rPr>
                      <w:rFonts w:hint="eastAsia" w:eastAsia="宋体"/>
                      <w:color w:val="auto"/>
                      <w:highlight w:val="none"/>
                      <w:lang w:val="en-US" w:eastAsia="zh-CN"/>
                    </w:rPr>
                    <w:t>进一步处理</w:t>
                  </w:r>
                </w:p>
              </w:tc>
              <w:tc>
                <w:tcPr>
                  <w:tcW w:w="848" w:type="dxa"/>
                  <w:tcBorders>
                    <w:tl2br w:val="nil"/>
                    <w:tr2bl w:val="nil"/>
                  </w:tcBorders>
                  <w:shd w:val="clear" w:color="auto" w:fill="FFFFFF"/>
                  <w:noWrap w:val="0"/>
                  <w:vAlign w:val="center"/>
                </w:tcPr>
                <w:p w14:paraId="0FDE005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6FDBC15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5F70DE2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p>
              </w:tc>
              <w:tc>
                <w:tcPr>
                  <w:tcW w:w="1508" w:type="dxa"/>
                  <w:tcBorders>
                    <w:tl2br w:val="nil"/>
                    <w:tr2bl w:val="nil"/>
                  </w:tcBorders>
                  <w:shd w:val="clear" w:color="auto" w:fill="FFFFFF"/>
                  <w:noWrap w:val="0"/>
                  <w:vAlign w:val="center"/>
                </w:tcPr>
                <w:p w14:paraId="7FF48E7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固废处置</w:t>
                  </w:r>
                </w:p>
              </w:tc>
              <w:tc>
                <w:tcPr>
                  <w:tcW w:w="4712" w:type="dxa"/>
                  <w:tcBorders>
                    <w:tl2br w:val="nil"/>
                    <w:tr2bl w:val="nil"/>
                  </w:tcBorders>
                  <w:shd w:val="clear" w:color="auto" w:fill="FFFFFF"/>
                  <w:noWrap w:val="0"/>
                  <w:vAlign w:val="center"/>
                </w:tcPr>
                <w:p w14:paraId="51BDC38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default" w:eastAsia="宋体"/>
                      <w:color w:val="auto"/>
                      <w:highlight w:val="none"/>
                      <w:lang w:val="en-US" w:eastAsia="zh-CN"/>
                    </w:rPr>
                  </w:pPr>
                  <w:r>
                    <w:rPr>
                      <w:rFonts w:hint="eastAsia" w:eastAsia="宋体"/>
                      <w:color w:val="auto"/>
                      <w:highlight w:val="none"/>
                      <w:lang w:val="en-US" w:eastAsia="zh-CN"/>
                    </w:rPr>
                    <w:t>建设一般工业固体废物暂存间，暂存属于一般工业固体废物的废包装物，废包装物定期委托物资回收单位回收；建设危险废物暂存间，分类收集贮存危险废物，定期委托</w:t>
                  </w:r>
                  <w:r>
                    <w:rPr>
                      <w:rFonts w:hint="eastAsia" w:ascii="Times New Roman" w:hAnsi="Times New Roman" w:cs="Times New Roman"/>
                      <w:color w:val="auto"/>
                      <w:kern w:val="0"/>
                      <w:szCs w:val="21"/>
                      <w:highlight w:val="none"/>
                      <w:lang w:val="en-US" w:eastAsia="zh-CN" w:bidi="ar"/>
                    </w:rPr>
                    <w:t>北京鑫兴众成环境科技有限责任公司</w:t>
                  </w:r>
                  <w:r>
                    <w:rPr>
                      <w:rFonts w:hint="eastAsia" w:eastAsia="宋体"/>
                      <w:color w:val="auto"/>
                      <w:highlight w:val="none"/>
                      <w:lang w:val="en-US" w:eastAsia="zh-CN"/>
                    </w:rPr>
                    <w:t>处置；设置生活垃圾分类收集桶，委托当地环卫部门每日清运</w:t>
                  </w:r>
                </w:p>
              </w:tc>
              <w:tc>
                <w:tcPr>
                  <w:tcW w:w="848" w:type="dxa"/>
                  <w:tcBorders>
                    <w:tl2br w:val="nil"/>
                    <w:tr2bl w:val="nil"/>
                  </w:tcBorders>
                  <w:shd w:val="clear" w:color="auto" w:fill="FFFFFF"/>
                  <w:noWrap w:val="0"/>
                  <w:vAlign w:val="center"/>
                </w:tcPr>
                <w:p w14:paraId="38843D5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10015BB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continue"/>
                  <w:tcBorders>
                    <w:tl2br w:val="nil"/>
                    <w:tr2bl w:val="nil"/>
                  </w:tcBorders>
                  <w:shd w:val="clear" w:color="auto" w:fill="FFFFFF"/>
                  <w:noWrap w:val="0"/>
                  <w:vAlign w:val="center"/>
                </w:tcPr>
                <w:p w14:paraId="65EA5681">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color w:val="auto"/>
                      <w:highlight w:val="none"/>
                    </w:rPr>
                  </w:pPr>
                </w:p>
              </w:tc>
              <w:tc>
                <w:tcPr>
                  <w:tcW w:w="1508" w:type="dxa"/>
                  <w:tcBorders>
                    <w:tl2br w:val="nil"/>
                    <w:tr2bl w:val="nil"/>
                  </w:tcBorders>
                  <w:shd w:val="clear" w:color="auto" w:fill="FFFFFF"/>
                  <w:noWrap w:val="0"/>
                  <w:vAlign w:val="center"/>
                </w:tcPr>
                <w:p w14:paraId="3A9ABC9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r>
                    <w:rPr>
                      <w:rFonts w:hint="eastAsia"/>
                      <w:color w:val="auto"/>
                      <w:highlight w:val="none"/>
                    </w:rPr>
                    <w:t>环境风险防范措施</w:t>
                  </w:r>
                </w:p>
              </w:tc>
              <w:tc>
                <w:tcPr>
                  <w:tcW w:w="4712" w:type="dxa"/>
                  <w:tcBorders>
                    <w:tl2br w:val="nil"/>
                    <w:tr2bl w:val="nil"/>
                  </w:tcBorders>
                  <w:shd w:val="clear" w:color="auto" w:fill="FFFFFF"/>
                  <w:noWrap w:val="0"/>
                  <w:vAlign w:val="center"/>
                </w:tcPr>
                <w:p w14:paraId="692A218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both"/>
                    <w:textAlignment w:val="auto"/>
                    <w:rPr>
                      <w:rFonts w:hint="eastAsia"/>
                      <w:color w:val="auto"/>
                      <w:highlight w:val="none"/>
                      <w:lang w:eastAsia="zh-CN"/>
                    </w:rPr>
                  </w:pPr>
                  <w:r>
                    <w:rPr>
                      <w:rFonts w:hint="eastAsia"/>
                      <w:color w:val="auto"/>
                      <w:highlight w:val="none"/>
                      <w:lang w:val="en-US" w:eastAsia="zh-CN"/>
                    </w:rPr>
                    <w:t>建设</w:t>
                  </w:r>
                  <w:r>
                    <w:rPr>
                      <w:rFonts w:hint="eastAsia"/>
                      <w:color w:val="auto"/>
                      <w:highlight w:val="none"/>
                    </w:rPr>
                    <w:t>阴凉、通风、干燥</w:t>
                  </w:r>
                  <w:r>
                    <w:rPr>
                      <w:rFonts w:hint="eastAsia"/>
                      <w:color w:val="auto"/>
                      <w:highlight w:val="none"/>
                      <w:lang w:val="en-US" w:eastAsia="zh-CN"/>
                    </w:rPr>
                    <w:t>的化学品贮存设施</w:t>
                  </w:r>
                  <w:r>
                    <w:rPr>
                      <w:rFonts w:hint="eastAsia"/>
                      <w:color w:val="auto"/>
                      <w:highlight w:val="none"/>
                    </w:rPr>
                    <w:t>，且远离火种、热源；</w:t>
                  </w:r>
                  <w:r>
                    <w:rPr>
                      <w:rFonts w:hint="eastAsia"/>
                      <w:color w:val="auto"/>
                      <w:highlight w:val="none"/>
                      <w:lang w:val="en-US" w:eastAsia="zh-CN"/>
                    </w:rPr>
                    <w:t>建设规范的危险废物暂存间，做好防渗、防溢流措施；设置满足要求的风险物资</w:t>
                  </w:r>
                </w:p>
              </w:tc>
              <w:tc>
                <w:tcPr>
                  <w:tcW w:w="848" w:type="dxa"/>
                  <w:tcBorders>
                    <w:tl2br w:val="nil"/>
                    <w:tr2bl w:val="nil"/>
                  </w:tcBorders>
                  <w:shd w:val="clear" w:color="auto" w:fill="FFFFFF"/>
                  <w:noWrap w:val="0"/>
                  <w:vAlign w:val="center"/>
                </w:tcPr>
                <w:p w14:paraId="3BF40A4A">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新建</w:t>
                  </w:r>
                </w:p>
              </w:tc>
            </w:tr>
            <w:tr w14:paraId="4AE8ED0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vMerge w:val="restart"/>
                  <w:tcBorders>
                    <w:tl2br w:val="nil"/>
                    <w:tr2bl w:val="nil"/>
                  </w:tcBorders>
                  <w:shd w:val="clear" w:color="auto" w:fill="FFFFFF"/>
                  <w:noWrap w:val="0"/>
                  <w:vAlign w:val="center"/>
                </w:tcPr>
                <w:p w14:paraId="60F17FD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color w:val="auto"/>
                      <w:highlight w:val="none"/>
                    </w:rPr>
                  </w:pPr>
                  <w:r>
                    <w:rPr>
                      <w:rFonts w:hint="eastAsia"/>
                      <w:color w:val="auto"/>
                      <w:highlight w:val="none"/>
                    </w:rPr>
                    <w:t>储运</w:t>
                  </w:r>
                </w:p>
                <w:p w14:paraId="5A4473A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r>
                    <w:rPr>
                      <w:rFonts w:hint="eastAsia"/>
                      <w:color w:val="auto"/>
                      <w:highlight w:val="none"/>
                    </w:rPr>
                    <w:t>工程</w:t>
                  </w:r>
                </w:p>
              </w:tc>
              <w:tc>
                <w:tcPr>
                  <w:tcW w:w="1508" w:type="dxa"/>
                  <w:tcBorders>
                    <w:tl2br w:val="nil"/>
                    <w:tr2bl w:val="nil"/>
                  </w:tcBorders>
                  <w:shd w:val="clear" w:color="auto" w:fill="FFFFFF"/>
                  <w:noWrap w:val="0"/>
                  <w:vAlign w:val="center"/>
                </w:tcPr>
                <w:p w14:paraId="70B4E15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危险废物</w:t>
                  </w:r>
                </w:p>
                <w:p w14:paraId="498529EE">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暂存间</w:t>
                  </w:r>
                </w:p>
              </w:tc>
              <w:tc>
                <w:tcPr>
                  <w:tcW w:w="4712" w:type="dxa"/>
                  <w:tcBorders>
                    <w:tl2br w:val="nil"/>
                    <w:tr2bl w:val="nil"/>
                  </w:tcBorders>
                  <w:shd w:val="clear" w:color="auto" w:fill="FFFFFF"/>
                  <w:noWrap w:val="0"/>
                  <w:vAlign w:val="center"/>
                </w:tcPr>
                <w:p w14:paraId="7913894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面积3m</w:t>
                  </w:r>
                  <w:r>
                    <w:rPr>
                      <w:rFonts w:hint="eastAsia"/>
                      <w:color w:val="auto"/>
                      <w:highlight w:val="none"/>
                      <w:vertAlign w:val="superscript"/>
                      <w:lang w:val="en-US" w:eastAsia="zh-CN"/>
                    </w:rPr>
                    <w:t>2</w:t>
                  </w:r>
                  <w:r>
                    <w:rPr>
                      <w:rFonts w:hint="eastAsia"/>
                      <w:color w:val="auto"/>
                      <w:highlight w:val="none"/>
                      <w:lang w:val="en-US" w:eastAsia="zh-CN"/>
                    </w:rPr>
                    <w:t>，位于三层东侧</w:t>
                  </w:r>
                </w:p>
              </w:tc>
              <w:tc>
                <w:tcPr>
                  <w:tcW w:w="848" w:type="dxa"/>
                  <w:tcBorders>
                    <w:tl2br w:val="nil"/>
                    <w:tr2bl w:val="nil"/>
                  </w:tcBorders>
                  <w:shd w:val="clear" w:color="auto" w:fill="FFFFFF"/>
                  <w:noWrap w:val="0"/>
                  <w:vAlign w:val="center"/>
                </w:tcPr>
                <w:p w14:paraId="5097EB6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新建</w:t>
                  </w:r>
                </w:p>
              </w:tc>
            </w:tr>
            <w:tr w14:paraId="52A1900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90" w:hRule="atLeast"/>
                <w:jc w:val="center"/>
              </w:trPr>
              <w:tc>
                <w:tcPr>
                  <w:tcW w:w="746" w:type="dxa"/>
                  <w:vMerge w:val="continue"/>
                  <w:tcBorders>
                    <w:tl2br w:val="nil"/>
                    <w:tr2bl w:val="nil"/>
                  </w:tcBorders>
                  <w:shd w:val="clear" w:color="auto" w:fill="FFFFFF"/>
                  <w:noWrap w:val="0"/>
                  <w:vAlign w:val="center"/>
                </w:tcPr>
                <w:p w14:paraId="0FFC0F2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p>
              </w:tc>
              <w:tc>
                <w:tcPr>
                  <w:tcW w:w="1508" w:type="dxa"/>
                  <w:tcBorders>
                    <w:tl2br w:val="nil"/>
                    <w:tr2bl w:val="nil"/>
                  </w:tcBorders>
                  <w:shd w:val="clear" w:color="auto" w:fill="FFFFFF"/>
                  <w:noWrap w:val="0"/>
                  <w:vAlign w:val="center"/>
                </w:tcPr>
                <w:p w14:paraId="62933EB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一般工业固体废物暂存间</w:t>
                  </w:r>
                </w:p>
              </w:tc>
              <w:tc>
                <w:tcPr>
                  <w:tcW w:w="4712" w:type="dxa"/>
                  <w:tcBorders>
                    <w:tl2br w:val="nil"/>
                    <w:tr2bl w:val="nil"/>
                  </w:tcBorders>
                  <w:shd w:val="clear" w:color="auto" w:fill="FFFFFF"/>
                  <w:noWrap w:val="0"/>
                  <w:vAlign w:val="center"/>
                </w:tcPr>
                <w:p w14:paraId="78B9B6C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面积3m</w:t>
                  </w:r>
                  <w:r>
                    <w:rPr>
                      <w:rFonts w:hint="eastAsia"/>
                      <w:color w:val="auto"/>
                      <w:highlight w:val="none"/>
                      <w:vertAlign w:val="superscript"/>
                      <w:lang w:val="en-US" w:eastAsia="zh-CN"/>
                    </w:rPr>
                    <w:t>2</w:t>
                  </w:r>
                  <w:r>
                    <w:rPr>
                      <w:rFonts w:hint="eastAsia"/>
                      <w:color w:val="auto"/>
                      <w:highlight w:val="none"/>
                      <w:lang w:val="en-US" w:eastAsia="zh-CN"/>
                    </w:rPr>
                    <w:t>，位于三层东侧</w:t>
                  </w:r>
                </w:p>
              </w:tc>
              <w:tc>
                <w:tcPr>
                  <w:tcW w:w="848" w:type="dxa"/>
                  <w:tcBorders>
                    <w:tl2br w:val="nil"/>
                    <w:tr2bl w:val="nil"/>
                  </w:tcBorders>
                  <w:shd w:val="clear" w:color="auto" w:fill="FFFFFF"/>
                  <w:noWrap w:val="0"/>
                  <w:vAlign w:val="center"/>
                </w:tcPr>
                <w:p w14:paraId="7E0E6AB5">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ascii="Times New Roman" w:hAnsi="Times New Roman" w:eastAsia="宋体" w:cstheme="minorBidi"/>
                      <w:color w:val="auto"/>
                      <w:kern w:val="2"/>
                      <w:sz w:val="21"/>
                      <w:szCs w:val="24"/>
                      <w:highlight w:val="none"/>
                      <w:lang w:val="en-US" w:eastAsia="zh-CN" w:bidi="ar-SA"/>
                    </w:rPr>
                  </w:pPr>
                  <w:r>
                    <w:rPr>
                      <w:rFonts w:hint="eastAsia"/>
                      <w:color w:val="auto"/>
                      <w:highlight w:val="none"/>
                      <w:lang w:val="en-US" w:eastAsia="zh-CN"/>
                    </w:rPr>
                    <w:t>新建</w:t>
                  </w:r>
                </w:p>
              </w:tc>
            </w:tr>
            <w:tr w14:paraId="575CADF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51" w:type="dxa"/>
                  <w:bottom w:w="0" w:type="dxa"/>
                  <w:right w:w="51" w:type="dxa"/>
                </w:tblCellMar>
              </w:tblPrEx>
              <w:trPr>
                <w:cantSplit/>
                <w:trHeight w:val="397" w:hRule="atLeast"/>
                <w:jc w:val="center"/>
              </w:trPr>
              <w:tc>
                <w:tcPr>
                  <w:tcW w:w="746" w:type="dxa"/>
                  <w:tcBorders>
                    <w:tl2br w:val="nil"/>
                    <w:tr2bl w:val="nil"/>
                  </w:tcBorders>
                  <w:shd w:val="clear" w:color="auto" w:fill="FFFFFF"/>
                  <w:noWrap w:val="0"/>
                  <w:vAlign w:val="center"/>
                </w:tcPr>
                <w:p w14:paraId="64A177A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rPr>
                  </w:pPr>
                  <w:r>
                    <w:rPr>
                      <w:rFonts w:hint="eastAsia"/>
                      <w:color w:val="auto"/>
                      <w:highlight w:val="none"/>
                    </w:rPr>
                    <w:t>配套</w:t>
                  </w:r>
                </w:p>
                <w:p w14:paraId="6C33E584">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color w:val="auto"/>
                      <w:highlight w:val="none"/>
                    </w:rPr>
                  </w:pPr>
                  <w:r>
                    <w:rPr>
                      <w:rFonts w:hint="eastAsia"/>
                      <w:color w:val="auto"/>
                      <w:highlight w:val="none"/>
                    </w:rPr>
                    <w:t>工程</w:t>
                  </w:r>
                </w:p>
              </w:tc>
              <w:tc>
                <w:tcPr>
                  <w:tcW w:w="1508" w:type="dxa"/>
                  <w:tcBorders>
                    <w:tl2br w:val="nil"/>
                    <w:tr2bl w:val="nil"/>
                  </w:tcBorders>
                  <w:shd w:val="clear" w:color="auto" w:fill="FFFFFF"/>
                  <w:noWrap w:val="0"/>
                  <w:vAlign w:val="center"/>
                </w:tcPr>
                <w:p w14:paraId="2EBEE57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eastAsia="zh-CN"/>
                    </w:rPr>
                    <w:t>办公</w:t>
                  </w:r>
                  <w:r>
                    <w:rPr>
                      <w:rFonts w:hint="eastAsia"/>
                      <w:color w:val="auto"/>
                      <w:highlight w:val="none"/>
                      <w:lang w:val="en-US" w:eastAsia="zh-CN"/>
                    </w:rPr>
                    <w:t>区</w:t>
                  </w:r>
                </w:p>
              </w:tc>
              <w:tc>
                <w:tcPr>
                  <w:tcW w:w="4712" w:type="dxa"/>
                  <w:tcBorders>
                    <w:tl2br w:val="nil"/>
                    <w:tr2bl w:val="nil"/>
                  </w:tcBorders>
                  <w:shd w:val="clear" w:color="auto" w:fill="FFFFFF"/>
                  <w:noWrap w:val="0"/>
                  <w:vAlign w:val="center"/>
                </w:tcPr>
                <w:p w14:paraId="3D206CE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rPr>
                      <w:rFonts w:hint="eastAsia"/>
                      <w:color w:val="auto"/>
                      <w:highlight w:val="none"/>
                      <w:lang w:val="en-US" w:eastAsia="zh-CN"/>
                    </w:rPr>
                  </w:pPr>
                  <w:r>
                    <w:rPr>
                      <w:rFonts w:hint="eastAsia"/>
                      <w:color w:val="auto"/>
                      <w:highlight w:val="none"/>
                      <w:lang w:val="en-US" w:eastAsia="zh-CN"/>
                    </w:rPr>
                    <w:t>一层建设：外勤主管办公室（9m</w:t>
                  </w:r>
                  <w:r>
                    <w:rPr>
                      <w:rFonts w:hint="eastAsia"/>
                      <w:color w:val="auto"/>
                      <w:highlight w:val="none"/>
                      <w:vertAlign w:val="superscript"/>
                      <w:lang w:val="en-US" w:eastAsia="zh-CN"/>
                    </w:rPr>
                    <w:t>2</w:t>
                  </w:r>
                  <w:r>
                    <w:rPr>
                      <w:rFonts w:hint="eastAsia"/>
                      <w:color w:val="auto"/>
                      <w:highlight w:val="none"/>
                      <w:lang w:val="en-US" w:eastAsia="zh-CN"/>
                    </w:rPr>
                    <w:t>）、外勤办公室（39m</w:t>
                  </w:r>
                  <w:r>
                    <w:rPr>
                      <w:rFonts w:hint="eastAsia"/>
                      <w:color w:val="auto"/>
                      <w:highlight w:val="none"/>
                      <w:vertAlign w:val="superscript"/>
                      <w:lang w:val="en-US" w:eastAsia="zh-CN"/>
                    </w:rPr>
                    <w:t>2</w:t>
                  </w:r>
                  <w:r>
                    <w:rPr>
                      <w:rFonts w:hint="eastAsia"/>
                      <w:color w:val="auto"/>
                      <w:highlight w:val="none"/>
                      <w:lang w:val="en-US" w:eastAsia="zh-CN"/>
                    </w:rPr>
                    <w:t>）</w:t>
                  </w:r>
                </w:p>
                <w:p w14:paraId="5F1A5BB5">
                  <w:pPr>
                    <w:rPr>
                      <w:rFonts w:hint="eastAsia"/>
                      <w:color w:val="auto"/>
                      <w:highlight w:val="none"/>
                      <w:lang w:val="en-US" w:eastAsia="zh-CN"/>
                    </w:rPr>
                  </w:pPr>
                  <w:r>
                    <w:rPr>
                      <w:rFonts w:hint="eastAsia"/>
                      <w:color w:val="auto"/>
                      <w:highlight w:val="none"/>
                      <w:lang w:val="en-US" w:eastAsia="zh-CN"/>
                    </w:rPr>
                    <w:t>二层建设：会议室（25m</w:t>
                  </w:r>
                  <w:r>
                    <w:rPr>
                      <w:rFonts w:hint="eastAsia"/>
                      <w:color w:val="auto"/>
                      <w:highlight w:val="none"/>
                      <w:vertAlign w:val="superscript"/>
                      <w:lang w:val="en-US" w:eastAsia="zh-CN"/>
                    </w:rPr>
                    <w:t>2</w:t>
                  </w:r>
                  <w:r>
                    <w:rPr>
                      <w:rFonts w:hint="eastAsia"/>
                      <w:color w:val="auto"/>
                      <w:highlight w:val="none"/>
                      <w:lang w:val="en-US" w:eastAsia="zh-CN"/>
                    </w:rPr>
                    <w:t>）、财务办公室（14m</w:t>
                  </w:r>
                  <w:r>
                    <w:rPr>
                      <w:rFonts w:hint="eastAsia"/>
                      <w:color w:val="auto"/>
                      <w:highlight w:val="none"/>
                      <w:vertAlign w:val="superscript"/>
                      <w:lang w:val="en-US" w:eastAsia="zh-CN"/>
                    </w:rPr>
                    <w:t>2</w:t>
                  </w:r>
                  <w:r>
                    <w:rPr>
                      <w:rFonts w:hint="eastAsia"/>
                      <w:color w:val="auto"/>
                      <w:highlight w:val="none"/>
                      <w:lang w:val="en-US" w:eastAsia="zh-CN"/>
                    </w:rPr>
                    <w:t>）、总经理办公室（19m</w:t>
                  </w:r>
                  <w:r>
                    <w:rPr>
                      <w:rFonts w:hint="eastAsia"/>
                      <w:color w:val="auto"/>
                      <w:highlight w:val="none"/>
                      <w:vertAlign w:val="superscript"/>
                      <w:lang w:val="en-US" w:eastAsia="zh-CN"/>
                    </w:rPr>
                    <w:t>2</w:t>
                  </w:r>
                  <w:r>
                    <w:rPr>
                      <w:rFonts w:hint="eastAsia"/>
                      <w:color w:val="auto"/>
                      <w:highlight w:val="none"/>
                      <w:lang w:val="en-US" w:eastAsia="zh-CN"/>
                    </w:rPr>
                    <w:t>）、茶水区（21m</w:t>
                  </w:r>
                  <w:r>
                    <w:rPr>
                      <w:rFonts w:hint="eastAsia"/>
                      <w:color w:val="auto"/>
                      <w:highlight w:val="none"/>
                      <w:vertAlign w:val="superscript"/>
                      <w:lang w:val="en-US" w:eastAsia="zh-CN"/>
                    </w:rPr>
                    <w:t>2</w:t>
                  </w:r>
                  <w:r>
                    <w:rPr>
                      <w:rFonts w:hint="eastAsia"/>
                      <w:color w:val="auto"/>
                      <w:highlight w:val="none"/>
                      <w:lang w:val="en-US" w:eastAsia="zh-CN"/>
                    </w:rPr>
                    <w:t>）、档案室（16m</w:t>
                  </w:r>
                  <w:r>
                    <w:rPr>
                      <w:rFonts w:hint="eastAsia"/>
                      <w:color w:val="auto"/>
                      <w:highlight w:val="none"/>
                      <w:vertAlign w:val="superscript"/>
                      <w:lang w:val="en-US" w:eastAsia="zh-CN"/>
                    </w:rPr>
                    <w:t>2</w:t>
                  </w:r>
                  <w:r>
                    <w:rPr>
                      <w:rFonts w:hint="eastAsia"/>
                      <w:color w:val="auto"/>
                      <w:highlight w:val="none"/>
                      <w:lang w:val="en-US" w:eastAsia="zh-CN"/>
                    </w:rPr>
                    <w:t>）</w:t>
                  </w:r>
                </w:p>
                <w:p w14:paraId="148437FB">
                  <w:pPr>
                    <w:rPr>
                      <w:rFonts w:hint="eastAsia"/>
                      <w:color w:val="auto"/>
                      <w:highlight w:val="none"/>
                      <w:lang w:val="en-US" w:eastAsia="zh-CN"/>
                    </w:rPr>
                  </w:pPr>
                  <w:r>
                    <w:rPr>
                      <w:rFonts w:hint="eastAsia"/>
                      <w:color w:val="auto"/>
                      <w:highlight w:val="none"/>
                      <w:lang w:val="en-US" w:eastAsia="zh-CN"/>
                    </w:rPr>
                    <w:t>三层建设：开放办公室（20m</w:t>
                  </w:r>
                  <w:r>
                    <w:rPr>
                      <w:rFonts w:hint="eastAsia"/>
                      <w:color w:val="auto"/>
                      <w:highlight w:val="none"/>
                      <w:vertAlign w:val="superscript"/>
                      <w:lang w:val="en-US" w:eastAsia="zh-CN"/>
                    </w:rPr>
                    <w:t>2</w:t>
                  </w:r>
                  <w:r>
                    <w:rPr>
                      <w:rFonts w:hint="eastAsia"/>
                      <w:color w:val="auto"/>
                      <w:highlight w:val="none"/>
                      <w:lang w:val="en-US" w:eastAsia="zh-CN"/>
                    </w:rPr>
                    <w:t>）、办公室一（21m</w:t>
                  </w:r>
                  <w:r>
                    <w:rPr>
                      <w:rFonts w:hint="eastAsia"/>
                      <w:color w:val="auto"/>
                      <w:highlight w:val="none"/>
                      <w:vertAlign w:val="superscript"/>
                      <w:lang w:val="en-US" w:eastAsia="zh-CN"/>
                    </w:rPr>
                    <w:t>2</w:t>
                  </w:r>
                  <w:r>
                    <w:rPr>
                      <w:rFonts w:hint="eastAsia"/>
                      <w:color w:val="auto"/>
                      <w:highlight w:val="none"/>
                      <w:lang w:val="en-US" w:eastAsia="zh-CN"/>
                    </w:rPr>
                    <w:t>）、办公室二（15m</w:t>
                  </w:r>
                  <w:r>
                    <w:rPr>
                      <w:rFonts w:hint="eastAsia"/>
                      <w:color w:val="auto"/>
                      <w:highlight w:val="none"/>
                      <w:vertAlign w:val="superscript"/>
                      <w:lang w:val="en-US" w:eastAsia="zh-CN"/>
                    </w:rPr>
                    <w:t>2</w:t>
                  </w:r>
                  <w:r>
                    <w:rPr>
                      <w:rFonts w:hint="eastAsia"/>
                      <w:color w:val="auto"/>
                      <w:highlight w:val="none"/>
                      <w:lang w:val="en-US" w:eastAsia="zh-CN"/>
                    </w:rPr>
                    <w:t>）</w:t>
                  </w:r>
                </w:p>
              </w:tc>
              <w:tc>
                <w:tcPr>
                  <w:tcW w:w="848" w:type="dxa"/>
                  <w:tcBorders>
                    <w:tl2br w:val="nil"/>
                    <w:tr2bl w:val="nil"/>
                  </w:tcBorders>
                  <w:shd w:val="clear" w:color="auto" w:fill="FFFFFF"/>
                  <w:noWrap w:val="0"/>
                  <w:vAlign w:val="center"/>
                </w:tcPr>
                <w:p w14:paraId="08E7460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eastAsia"/>
                      <w:color w:val="auto"/>
                      <w:highlight w:val="none"/>
                      <w:lang w:val="en-US" w:eastAsia="zh-CN"/>
                    </w:rPr>
                  </w:pPr>
                  <w:r>
                    <w:rPr>
                      <w:rFonts w:hint="eastAsia"/>
                      <w:color w:val="auto"/>
                      <w:highlight w:val="none"/>
                      <w:lang w:val="en-US" w:eastAsia="zh-CN"/>
                    </w:rPr>
                    <w:t>新建</w:t>
                  </w:r>
                </w:p>
              </w:tc>
            </w:tr>
          </w:tbl>
          <w:p w14:paraId="2A50925C">
            <w:pPr>
              <w:adjustRightInd w:val="0"/>
              <w:snapToGrid w:val="0"/>
              <w:rPr>
                <w:rFonts w:hint="default" w:ascii="Times New Roman" w:hAnsi="Times New Roman" w:eastAsia="宋体" w:cs="Times New Roman"/>
                <w:bCs/>
                <w:color w:val="auto"/>
                <w:sz w:val="24"/>
                <w:highlight w:val="none"/>
              </w:rPr>
            </w:pPr>
          </w:p>
          <w:p w14:paraId="18BF4E1A">
            <w:pPr>
              <w:numPr>
                <w:ilvl w:val="0"/>
                <w:numId w:val="1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项目规模</w:t>
            </w:r>
          </w:p>
          <w:p w14:paraId="7E24070B">
            <w:pPr>
              <w:adjustRightInd w:val="0"/>
              <w:snapToGrid w:val="0"/>
              <w:spacing w:line="360" w:lineRule="auto"/>
              <w:ind w:firstLine="360" w:firstLineChars="15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项目建成后从事环境检测，项目建设前后检测样品及规模见下表</w:t>
            </w:r>
            <w:r>
              <w:rPr>
                <w:rFonts w:hint="default" w:ascii="Times New Roman" w:hAnsi="Times New Roman" w:eastAsia="宋体" w:cs="Times New Roman"/>
                <w:color w:val="auto"/>
                <w:sz w:val="24"/>
                <w:highlight w:val="none"/>
                <w:lang w:val="en-US" w:eastAsia="zh-CN"/>
              </w:rPr>
              <w:t>。</w:t>
            </w:r>
          </w:p>
          <w:p w14:paraId="0AAA2E78">
            <w:pPr>
              <w:numPr>
                <w:ilvl w:val="0"/>
                <w:numId w:val="12"/>
              </w:numPr>
              <w:spacing w:line="360" w:lineRule="auto"/>
              <w:jc w:val="center"/>
              <w:rPr>
                <w:rFonts w:hint="default" w:cs="Times New Roman"/>
                <w:b/>
                <w:color w:val="auto"/>
                <w:kern w:val="0"/>
                <w:sz w:val="24"/>
                <w:highlight w:val="none"/>
                <w:lang w:val="en-US" w:eastAsia="zh-CN"/>
              </w:rPr>
            </w:pPr>
            <w:r>
              <w:rPr>
                <w:rFonts w:hint="eastAsia" w:cs="Times New Roman"/>
                <w:b/>
                <w:color w:val="auto"/>
                <w:kern w:val="0"/>
                <w:sz w:val="24"/>
                <w:highlight w:val="none"/>
                <w:lang w:val="en-US" w:eastAsia="zh-CN"/>
              </w:rPr>
              <w:t>项目建设</w:t>
            </w:r>
            <w:r>
              <w:rPr>
                <w:rFonts w:hint="default" w:cs="Times New Roman"/>
                <w:b/>
                <w:color w:val="auto"/>
                <w:kern w:val="0"/>
                <w:sz w:val="24"/>
                <w:highlight w:val="none"/>
                <w:lang w:val="en-US" w:eastAsia="zh-CN"/>
              </w:rPr>
              <w:t>前后</w:t>
            </w:r>
            <w:r>
              <w:rPr>
                <w:rFonts w:hint="eastAsia" w:cs="Times New Roman"/>
                <w:b/>
                <w:color w:val="auto"/>
                <w:kern w:val="0"/>
                <w:sz w:val="24"/>
                <w:highlight w:val="none"/>
                <w:lang w:val="en-US" w:eastAsia="zh-CN"/>
              </w:rPr>
              <w:t>检测样品及</w:t>
            </w:r>
            <w:r>
              <w:rPr>
                <w:rFonts w:hint="default" w:cs="Times New Roman"/>
                <w:b/>
                <w:color w:val="auto"/>
                <w:kern w:val="0"/>
                <w:sz w:val="24"/>
                <w:highlight w:val="none"/>
                <w:lang w:val="en-US" w:eastAsia="zh-CN"/>
              </w:rPr>
              <w:t>规模一览表</w:t>
            </w:r>
          </w:p>
          <w:tbl>
            <w:tblPr>
              <w:tblStyle w:val="24"/>
              <w:tblW w:w="7973"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9"/>
              <w:gridCol w:w="1528"/>
              <w:gridCol w:w="1528"/>
              <w:gridCol w:w="1528"/>
              <w:gridCol w:w="1530"/>
            </w:tblGrid>
            <w:tr w14:paraId="0B9C76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859" w:type="dxa"/>
                  <w:tcBorders>
                    <w:tl2br w:val="nil"/>
                    <w:tr2bl w:val="nil"/>
                  </w:tcBorders>
                  <w:vAlign w:val="center"/>
                </w:tcPr>
                <w:p w14:paraId="5FC0AA11">
                  <w:pPr>
                    <w:numPr>
                      <w:ilvl w:val="0"/>
                      <w:numId w:val="0"/>
                    </w:numPr>
                    <w:spacing w:line="240" w:lineRule="auto"/>
                    <w:jc w:val="center"/>
                    <w:rPr>
                      <w:rFonts w:hint="default" w:cs="Times New Roman"/>
                      <w:b/>
                      <w:color w:val="auto"/>
                      <w:kern w:val="0"/>
                      <w:sz w:val="21"/>
                      <w:szCs w:val="21"/>
                      <w:highlight w:val="none"/>
                      <w:vertAlign w:val="baseline"/>
                      <w:lang w:val="en-US" w:eastAsia="zh-CN"/>
                    </w:rPr>
                  </w:pPr>
                  <w:r>
                    <w:rPr>
                      <w:rFonts w:hint="eastAsia" w:cs="Times New Roman"/>
                      <w:b/>
                      <w:color w:val="auto"/>
                      <w:kern w:val="0"/>
                      <w:sz w:val="21"/>
                      <w:szCs w:val="21"/>
                      <w:highlight w:val="none"/>
                      <w:vertAlign w:val="baseline"/>
                      <w:lang w:val="en-US" w:eastAsia="zh-CN"/>
                    </w:rPr>
                    <w:t>项目</w:t>
                  </w:r>
                </w:p>
              </w:tc>
              <w:tc>
                <w:tcPr>
                  <w:tcW w:w="1528" w:type="dxa"/>
                  <w:tcBorders>
                    <w:tl2br w:val="nil"/>
                    <w:tr2bl w:val="nil"/>
                  </w:tcBorders>
                  <w:vAlign w:val="center"/>
                </w:tcPr>
                <w:p w14:paraId="6770A5AC">
                  <w:pPr>
                    <w:numPr>
                      <w:ilvl w:val="0"/>
                      <w:numId w:val="0"/>
                    </w:numPr>
                    <w:spacing w:line="240" w:lineRule="auto"/>
                    <w:jc w:val="center"/>
                    <w:rPr>
                      <w:rFonts w:hint="default" w:cs="Times New Roman"/>
                      <w:b/>
                      <w:color w:val="auto"/>
                      <w:kern w:val="0"/>
                      <w:sz w:val="21"/>
                      <w:szCs w:val="21"/>
                      <w:highlight w:val="none"/>
                      <w:vertAlign w:val="baseline"/>
                      <w:lang w:val="en-US" w:eastAsia="zh-CN"/>
                    </w:rPr>
                  </w:pPr>
                  <w:r>
                    <w:rPr>
                      <w:rFonts w:hint="eastAsia" w:cs="Times New Roman"/>
                      <w:b/>
                      <w:color w:val="auto"/>
                      <w:kern w:val="0"/>
                      <w:sz w:val="21"/>
                      <w:szCs w:val="21"/>
                      <w:highlight w:val="none"/>
                      <w:vertAlign w:val="baseline"/>
                      <w:lang w:val="en-US" w:eastAsia="zh-CN"/>
                    </w:rPr>
                    <w:t>单位</w:t>
                  </w:r>
                </w:p>
              </w:tc>
              <w:tc>
                <w:tcPr>
                  <w:tcW w:w="1528" w:type="dxa"/>
                  <w:tcBorders>
                    <w:tl2br w:val="nil"/>
                    <w:tr2bl w:val="nil"/>
                  </w:tcBorders>
                  <w:vAlign w:val="center"/>
                </w:tcPr>
                <w:p w14:paraId="5B86F972">
                  <w:pPr>
                    <w:numPr>
                      <w:ilvl w:val="0"/>
                      <w:numId w:val="0"/>
                    </w:numPr>
                    <w:spacing w:line="240" w:lineRule="auto"/>
                    <w:jc w:val="center"/>
                    <w:rPr>
                      <w:rFonts w:hint="default" w:cs="Times New Roman"/>
                      <w:b/>
                      <w:color w:val="auto"/>
                      <w:kern w:val="0"/>
                      <w:sz w:val="21"/>
                      <w:szCs w:val="21"/>
                      <w:highlight w:val="none"/>
                      <w:vertAlign w:val="baseline"/>
                      <w:lang w:val="en-US" w:eastAsia="zh-CN"/>
                    </w:rPr>
                  </w:pPr>
                  <w:r>
                    <w:rPr>
                      <w:rFonts w:hint="default" w:cs="Times New Roman"/>
                      <w:b/>
                      <w:color w:val="auto"/>
                      <w:kern w:val="0"/>
                      <w:sz w:val="21"/>
                      <w:szCs w:val="21"/>
                      <w:highlight w:val="none"/>
                      <w:lang w:val="en-US" w:eastAsia="zh-CN"/>
                    </w:rPr>
                    <w:t>迁建前</w:t>
                  </w:r>
                </w:p>
              </w:tc>
              <w:tc>
                <w:tcPr>
                  <w:tcW w:w="1528" w:type="dxa"/>
                  <w:tcBorders>
                    <w:tl2br w:val="nil"/>
                    <w:tr2bl w:val="nil"/>
                  </w:tcBorders>
                  <w:vAlign w:val="center"/>
                </w:tcPr>
                <w:p w14:paraId="7F7E6F0B">
                  <w:pPr>
                    <w:numPr>
                      <w:ilvl w:val="0"/>
                      <w:numId w:val="0"/>
                    </w:numPr>
                    <w:spacing w:line="240" w:lineRule="auto"/>
                    <w:jc w:val="center"/>
                    <w:rPr>
                      <w:rFonts w:hint="default" w:cs="Times New Roman"/>
                      <w:b/>
                      <w:color w:val="auto"/>
                      <w:kern w:val="0"/>
                      <w:sz w:val="21"/>
                      <w:szCs w:val="21"/>
                      <w:highlight w:val="none"/>
                      <w:vertAlign w:val="baseline"/>
                      <w:lang w:val="en-US" w:eastAsia="zh-CN"/>
                    </w:rPr>
                  </w:pPr>
                  <w:r>
                    <w:rPr>
                      <w:rFonts w:hint="default" w:cs="Times New Roman"/>
                      <w:b/>
                      <w:color w:val="auto"/>
                      <w:kern w:val="0"/>
                      <w:sz w:val="21"/>
                      <w:szCs w:val="21"/>
                      <w:highlight w:val="none"/>
                      <w:lang w:val="en-US" w:eastAsia="zh-CN"/>
                    </w:rPr>
                    <w:t>迁建</w:t>
                  </w:r>
                  <w:r>
                    <w:rPr>
                      <w:rFonts w:hint="eastAsia" w:cs="Times New Roman"/>
                      <w:b/>
                      <w:color w:val="auto"/>
                      <w:kern w:val="0"/>
                      <w:sz w:val="21"/>
                      <w:szCs w:val="21"/>
                      <w:highlight w:val="none"/>
                      <w:lang w:val="en-US" w:eastAsia="zh-CN"/>
                    </w:rPr>
                    <w:t>后</w:t>
                  </w:r>
                </w:p>
              </w:tc>
              <w:tc>
                <w:tcPr>
                  <w:tcW w:w="1530" w:type="dxa"/>
                  <w:tcBorders>
                    <w:tl2br w:val="nil"/>
                    <w:tr2bl w:val="nil"/>
                  </w:tcBorders>
                  <w:vAlign w:val="center"/>
                </w:tcPr>
                <w:p w14:paraId="70BD6121">
                  <w:pPr>
                    <w:numPr>
                      <w:ilvl w:val="0"/>
                      <w:numId w:val="0"/>
                    </w:numPr>
                    <w:spacing w:line="240" w:lineRule="auto"/>
                    <w:jc w:val="center"/>
                    <w:rPr>
                      <w:rFonts w:hint="default" w:cs="Times New Roman"/>
                      <w:b/>
                      <w:color w:val="auto"/>
                      <w:kern w:val="0"/>
                      <w:sz w:val="21"/>
                      <w:szCs w:val="21"/>
                      <w:highlight w:val="none"/>
                      <w:vertAlign w:val="baseline"/>
                      <w:lang w:val="en-US" w:eastAsia="zh-CN"/>
                    </w:rPr>
                  </w:pPr>
                  <w:r>
                    <w:rPr>
                      <w:rFonts w:hint="eastAsia" w:cs="Times New Roman"/>
                      <w:b/>
                      <w:color w:val="auto"/>
                      <w:kern w:val="0"/>
                      <w:sz w:val="21"/>
                      <w:szCs w:val="21"/>
                      <w:highlight w:val="none"/>
                      <w:vertAlign w:val="baseline"/>
                      <w:lang w:val="en-US" w:eastAsia="zh-CN"/>
                    </w:rPr>
                    <w:t>变化量</w:t>
                  </w:r>
                </w:p>
              </w:tc>
            </w:tr>
            <w:tr w14:paraId="17044A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859" w:type="dxa"/>
                  <w:tcBorders>
                    <w:tl2br w:val="nil"/>
                    <w:tr2bl w:val="nil"/>
                  </w:tcBorders>
                  <w:vAlign w:val="center"/>
                </w:tcPr>
                <w:p w14:paraId="5954192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水质类样品</w:t>
                  </w:r>
                </w:p>
              </w:tc>
              <w:tc>
                <w:tcPr>
                  <w:tcW w:w="1528" w:type="dxa"/>
                  <w:tcBorders>
                    <w:tl2br w:val="nil"/>
                    <w:tr2bl w:val="nil"/>
                  </w:tcBorders>
                  <w:vAlign w:val="center"/>
                </w:tcPr>
                <w:p w14:paraId="772802D5">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份</w:t>
                  </w:r>
                  <w:r>
                    <w:rPr>
                      <w:rFonts w:hint="default"/>
                      <w:color w:val="auto"/>
                      <w:highlight w:val="none"/>
                      <w:lang w:val="en-US" w:eastAsia="zh-CN"/>
                    </w:rPr>
                    <w:t>/</w:t>
                  </w:r>
                  <w:r>
                    <w:rPr>
                      <w:rFonts w:hint="eastAsia"/>
                      <w:color w:val="auto"/>
                      <w:highlight w:val="none"/>
                      <w:lang w:val="en-US" w:eastAsia="zh-CN"/>
                    </w:rPr>
                    <w:t>年</w:t>
                  </w:r>
                </w:p>
              </w:tc>
              <w:tc>
                <w:tcPr>
                  <w:tcW w:w="1528" w:type="dxa"/>
                  <w:tcBorders>
                    <w:tl2br w:val="nil"/>
                    <w:tr2bl w:val="nil"/>
                  </w:tcBorders>
                  <w:vAlign w:val="center"/>
                </w:tcPr>
                <w:p w14:paraId="4024641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1200</w:t>
                  </w:r>
                </w:p>
              </w:tc>
              <w:tc>
                <w:tcPr>
                  <w:tcW w:w="1528" w:type="dxa"/>
                  <w:tcBorders>
                    <w:tl2br w:val="nil"/>
                    <w:tr2bl w:val="nil"/>
                  </w:tcBorders>
                  <w:vAlign w:val="center"/>
                </w:tcPr>
                <w:p w14:paraId="4D70DE7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1600</w:t>
                  </w:r>
                </w:p>
              </w:tc>
              <w:tc>
                <w:tcPr>
                  <w:tcW w:w="1530" w:type="dxa"/>
                  <w:tcBorders>
                    <w:tl2br w:val="nil"/>
                    <w:tr2bl w:val="nil"/>
                  </w:tcBorders>
                  <w:vAlign w:val="center"/>
                </w:tcPr>
                <w:p w14:paraId="372C235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+400</w:t>
                  </w:r>
                </w:p>
              </w:tc>
            </w:tr>
            <w:tr w14:paraId="40FDBC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859" w:type="dxa"/>
                  <w:tcBorders>
                    <w:tl2br w:val="nil"/>
                    <w:tr2bl w:val="nil"/>
                  </w:tcBorders>
                  <w:vAlign w:val="center"/>
                </w:tcPr>
                <w:p w14:paraId="3AF4F77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气体类样品</w:t>
                  </w:r>
                </w:p>
              </w:tc>
              <w:tc>
                <w:tcPr>
                  <w:tcW w:w="1528" w:type="dxa"/>
                  <w:tcBorders>
                    <w:tl2br w:val="nil"/>
                    <w:tr2bl w:val="nil"/>
                  </w:tcBorders>
                  <w:vAlign w:val="center"/>
                </w:tcPr>
                <w:p w14:paraId="34A56E8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份</w:t>
                  </w:r>
                  <w:r>
                    <w:rPr>
                      <w:rFonts w:hint="default"/>
                      <w:color w:val="auto"/>
                      <w:highlight w:val="none"/>
                      <w:lang w:val="en-US" w:eastAsia="zh-CN"/>
                    </w:rPr>
                    <w:t>/</w:t>
                  </w:r>
                  <w:r>
                    <w:rPr>
                      <w:rFonts w:hint="eastAsia"/>
                      <w:color w:val="auto"/>
                      <w:highlight w:val="none"/>
                      <w:lang w:val="en-US" w:eastAsia="zh-CN"/>
                    </w:rPr>
                    <w:t>年</w:t>
                  </w:r>
                </w:p>
              </w:tc>
              <w:tc>
                <w:tcPr>
                  <w:tcW w:w="1528" w:type="dxa"/>
                  <w:tcBorders>
                    <w:tl2br w:val="nil"/>
                    <w:tr2bl w:val="nil"/>
                  </w:tcBorders>
                  <w:vAlign w:val="center"/>
                </w:tcPr>
                <w:p w14:paraId="0DBE3F7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480</w:t>
                  </w:r>
                </w:p>
              </w:tc>
              <w:tc>
                <w:tcPr>
                  <w:tcW w:w="1528" w:type="dxa"/>
                  <w:tcBorders>
                    <w:tl2br w:val="nil"/>
                    <w:tr2bl w:val="nil"/>
                  </w:tcBorders>
                  <w:vAlign w:val="center"/>
                </w:tcPr>
                <w:p w14:paraId="09DD476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600</w:t>
                  </w:r>
                </w:p>
              </w:tc>
              <w:tc>
                <w:tcPr>
                  <w:tcW w:w="1530" w:type="dxa"/>
                  <w:tcBorders>
                    <w:tl2br w:val="nil"/>
                    <w:tr2bl w:val="nil"/>
                  </w:tcBorders>
                  <w:vAlign w:val="center"/>
                </w:tcPr>
                <w:p w14:paraId="504562B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+120</w:t>
                  </w:r>
                </w:p>
              </w:tc>
            </w:tr>
            <w:tr w14:paraId="2F5F2F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859" w:type="dxa"/>
                  <w:tcBorders>
                    <w:tl2br w:val="nil"/>
                    <w:tr2bl w:val="nil"/>
                  </w:tcBorders>
                  <w:vAlign w:val="center"/>
                </w:tcPr>
                <w:p w14:paraId="3FF72B18">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固体类土壤样品</w:t>
                  </w:r>
                </w:p>
              </w:tc>
              <w:tc>
                <w:tcPr>
                  <w:tcW w:w="1528" w:type="dxa"/>
                  <w:tcBorders>
                    <w:tl2br w:val="nil"/>
                    <w:tr2bl w:val="nil"/>
                  </w:tcBorders>
                  <w:vAlign w:val="center"/>
                </w:tcPr>
                <w:p w14:paraId="1D6FFF5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份</w:t>
                  </w:r>
                  <w:r>
                    <w:rPr>
                      <w:rFonts w:hint="default"/>
                      <w:color w:val="auto"/>
                      <w:highlight w:val="none"/>
                      <w:lang w:val="en-US" w:eastAsia="zh-CN"/>
                    </w:rPr>
                    <w:t>/</w:t>
                  </w:r>
                  <w:r>
                    <w:rPr>
                      <w:rFonts w:hint="eastAsia"/>
                      <w:color w:val="auto"/>
                      <w:highlight w:val="none"/>
                      <w:lang w:val="en-US" w:eastAsia="zh-CN"/>
                    </w:rPr>
                    <w:t>年</w:t>
                  </w:r>
                </w:p>
              </w:tc>
              <w:tc>
                <w:tcPr>
                  <w:tcW w:w="1528" w:type="dxa"/>
                  <w:tcBorders>
                    <w:tl2br w:val="nil"/>
                    <w:tr2bl w:val="nil"/>
                  </w:tcBorders>
                  <w:vAlign w:val="center"/>
                </w:tcPr>
                <w:p w14:paraId="28ED6455">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120</w:t>
                  </w:r>
                </w:p>
              </w:tc>
              <w:tc>
                <w:tcPr>
                  <w:tcW w:w="1528" w:type="dxa"/>
                  <w:tcBorders>
                    <w:tl2br w:val="nil"/>
                    <w:tr2bl w:val="nil"/>
                  </w:tcBorders>
                  <w:vAlign w:val="center"/>
                </w:tcPr>
                <w:p w14:paraId="2FA653C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200</w:t>
                  </w:r>
                </w:p>
              </w:tc>
              <w:tc>
                <w:tcPr>
                  <w:tcW w:w="1530" w:type="dxa"/>
                  <w:tcBorders>
                    <w:tl2br w:val="nil"/>
                    <w:tr2bl w:val="nil"/>
                  </w:tcBorders>
                  <w:vAlign w:val="center"/>
                </w:tcPr>
                <w:p w14:paraId="7DD99FF0">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+80</w:t>
                  </w:r>
                </w:p>
              </w:tc>
            </w:tr>
            <w:tr w14:paraId="5E1B34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1859" w:type="dxa"/>
                  <w:tcBorders>
                    <w:tl2br w:val="nil"/>
                    <w:tr2bl w:val="nil"/>
                  </w:tcBorders>
                  <w:vAlign w:val="center"/>
                </w:tcPr>
                <w:p w14:paraId="108989C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微生物样品</w:t>
                  </w:r>
                </w:p>
              </w:tc>
              <w:tc>
                <w:tcPr>
                  <w:tcW w:w="1528" w:type="dxa"/>
                  <w:tcBorders>
                    <w:tl2br w:val="nil"/>
                    <w:tr2bl w:val="nil"/>
                  </w:tcBorders>
                  <w:vAlign w:val="center"/>
                </w:tcPr>
                <w:p w14:paraId="502BDA7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份</w:t>
                  </w:r>
                  <w:r>
                    <w:rPr>
                      <w:rFonts w:hint="default"/>
                      <w:color w:val="auto"/>
                      <w:highlight w:val="none"/>
                      <w:lang w:val="en-US" w:eastAsia="zh-CN"/>
                    </w:rPr>
                    <w:t>/</w:t>
                  </w:r>
                  <w:r>
                    <w:rPr>
                      <w:rFonts w:hint="eastAsia"/>
                      <w:color w:val="auto"/>
                      <w:highlight w:val="none"/>
                      <w:lang w:val="en-US" w:eastAsia="zh-CN"/>
                    </w:rPr>
                    <w:t>年</w:t>
                  </w:r>
                </w:p>
              </w:tc>
              <w:tc>
                <w:tcPr>
                  <w:tcW w:w="1528" w:type="dxa"/>
                  <w:tcBorders>
                    <w:tl2br w:val="nil"/>
                    <w:tr2bl w:val="nil"/>
                  </w:tcBorders>
                  <w:vAlign w:val="center"/>
                </w:tcPr>
                <w:p w14:paraId="7854C793">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20</w:t>
                  </w:r>
                </w:p>
              </w:tc>
              <w:tc>
                <w:tcPr>
                  <w:tcW w:w="1528" w:type="dxa"/>
                  <w:tcBorders>
                    <w:tl2br w:val="nil"/>
                    <w:tr2bl w:val="nil"/>
                  </w:tcBorders>
                  <w:vAlign w:val="center"/>
                </w:tcPr>
                <w:p w14:paraId="06499387">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100</w:t>
                  </w:r>
                </w:p>
              </w:tc>
              <w:tc>
                <w:tcPr>
                  <w:tcW w:w="1530" w:type="dxa"/>
                  <w:tcBorders>
                    <w:tl2br w:val="nil"/>
                    <w:tr2bl w:val="nil"/>
                  </w:tcBorders>
                  <w:vAlign w:val="center"/>
                </w:tcPr>
                <w:p w14:paraId="3988898C">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textAlignment w:val="auto"/>
                    <w:rPr>
                      <w:rFonts w:hint="default"/>
                      <w:color w:val="auto"/>
                      <w:highlight w:val="none"/>
                      <w:lang w:val="en-US" w:eastAsia="zh-CN"/>
                    </w:rPr>
                  </w:pPr>
                  <w:r>
                    <w:rPr>
                      <w:rFonts w:hint="eastAsia"/>
                      <w:color w:val="auto"/>
                      <w:highlight w:val="none"/>
                      <w:lang w:val="en-US" w:eastAsia="zh-CN"/>
                    </w:rPr>
                    <w:t>+80</w:t>
                  </w:r>
                </w:p>
              </w:tc>
            </w:tr>
          </w:tbl>
          <w:p w14:paraId="7FC29B9D">
            <w:pPr>
              <w:numPr>
                <w:ilvl w:val="0"/>
                <w:numId w:val="0"/>
              </w:numPr>
              <w:spacing w:line="360" w:lineRule="auto"/>
              <w:ind w:leftChars="0"/>
              <w:jc w:val="both"/>
              <w:rPr>
                <w:rFonts w:hint="default" w:cs="Times New Roman"/>
                <w:b/>
                <w:color w:val="auto"/>
                <w:kern w:val="0"/>
                <w:sz w:val="24"/>
                <w:highlight w:val="none"/>
                <w:lang w:val="en-US" w:eastAsia="zh-CN"/>
              </w:rPr>
            </w:pPr>
          </w:p>
          <w:p w14:paraId="472F3BC3">
            <w:pPr>
              <w:numPr>
                <w:ilvl w:val="0"/>
                <w:numId w:val="1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主要</w:t>
            </w:r>
            <w:r>
              <w:rPr>
                <w:rFonts w:hint="eastAsia" w:cs="Times New Roman"/>
                <w:b/>
                <w:bCs/>
                <w:color w:val="auto"/>
                <w:sz w:val="24"/>
                <w:highlight w:val="none"/>
                <w:lang w:val="en-US" w:eastAsia="zh-CN"/>
              </w:rPr>
              <w:t>设备</w:t>
            </w:r>
          </w:p>
          <w:p w14:paraId="7A1490F6">
            <w:pPr>
              <w:spacing w:line="360" w:lineRule="auto"/>
              <w:ind w:firstLine="480" w:firstLineChars="200"/>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val="en-US" w:eastAsia="zh-CN"/>
              </w:rPr>
              <w:t>迁建</w:t>
            </w:r>
            <w:r>
              <w:rPr>
                <w:rFonts w:hint="default" w:ascii="Times New Roman" w:hAnsi="Times New Roman" w:eastAsia="宋体" w:cs="Times New Roman"/>
                <w:color w:val="auto"/>
                <w:sz w:val="24"/>
                <w:highlight w:val="none"/>
              </w:rPr>
              <w:t>后主要设备变化一览表见下表。</w:t>
            </w:r>
          </w:p>
          <w:p w14:paraId="020A2781">
            <w:pPr>
              <w:numPr>
                <w:ilvl w:val="0"/>
                <w:numId w:val="12"/>
              </w:num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kern w:val="0"/>
                <w:sz w:val="24"/>
                <w:highlight w:val="none"/>
              </w:rPr>
              <w:t>项目</w:t>
            </w:r>
            <w:r>
              <w:rPr>
                <w:rFonts w:hint="eastAsia" w:cs="Times New Roman"/>
                <w:b/>
                <w:color w:val="auto"/>
                <w:kern w:val="0"/>
                <w:sz w:val="24"/>
                <w:highlight w:val="none"/>
                <w:lang w:val="en-US" w:eastAsia="zh-CN"/>
              </w:rPr>
              <w:t>迁建后</w:t>
            </w:r>
            <w:r>
              <w:rPr>
                <w:rFonts w:hint="default" w:ascii="Times New Roman" w:hAnsi="Times New Roman" w:eastAsia="宋体" w:cs="Times New Roman"/>
                <w:b/>
                <w:color w:val="auto"/>
                <w:kern w:val="0"/>
                <w:sz w:val="24"/>
                <w:highlight w:val="none"/>
              </w:rPr>
              <w:t>主要</w:t>
            </w:r>
            <w:r>
              <w:rPr>
                <w:rFonts w:hint="eastAsia" w:cs="Times New Roman"/>
                <w:b/>
                <w:color w:val="auto"/>
                <w:kern w:val="0"/>
                <w:sz w:val="24"/>
                <w:highlight w:val="none"/>
                <w:lang w:val="en-US" w:eastAsia="zh-CN"/>
              </w:rPr>
              <w:t>设备及变化</w:t>
            </w:r>
            <w:r>
              <w:rPr>
                <w:rFonts w:hint="default" w:ascii="Times New Roman" w:hAnsi="Times New Roman" w:eastAsia="宋体" w:cs="Times New Roman"/>
                <w:b/>
                <w:color w:val="auto"/>
                <w:kern w:val="0"/>
                <w:sz w:val="24"/>
                <w:highlight w:val="none"/>
              </w:rPr>
              <w:t>一览表</w:t>
            </w:r>
          </w:p>
          <w:tbl>
            <w:tblPr>
              <w:tblStyle w:val="24"/>
              <w:tblW w:w="4933"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0"/>
              <w:gridCol w:w="1810"/>
              <w:gridCol w:w="1320"/>
              <w:gridCol w:w="1102"/>
              <w:gridCol w:w="1146"/>
              <w:gridCol w:w="1080"/>
              <w:gridCol w:w="879"/>
            </w:tblGrid>
            <w:tr w14:paraId="29884D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489C7568">
                  <w:pPr>
                    <w:numPr>
                      <w:ilvl w:val="0"/>
                      <w:numId w:val="0"/>
                    </w:numPr>
                    <w:spacing w:line="240" w:lineRule="auto"/>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1810" w:type="dxa"/>
                  <w:tcBorders>
                    <w:tl2br w:val="nil"/>
                    <w:tr2bl w:val="nil"/>
                  </w:tcBorders>
                  <w:vAlign w:val="center"/>
                </w:tcPr>
                <w:p w14:paraId="05EEEEF5">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设备名称</w:t>
                  </w:r>
                </w:p>
              </w:tc>
              <w:tc>
                <w:tcPr>
                  <w:tcW w:w="1320" w:type="dxa"/>
                  <w:tcBorders>
                    <w:tl2br w:val="nil"/>
                    <w:tr2bl w:val="nil"/>
                  </w:tcBorders>
                  <w:vAlign w:val="center"/>
                </w:tcPr>
                <w:p w14:paraId="1E37D44D">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型号</w:t>
                  </w:r>
                </w:p>
              </w:tc>
              <w:tc>
                <w:tcPr>
                  <w:tcW w:w="1102" w:type="dxa"/>
                  <w:tcBorders>
                    <w:tl2br w:val="nil"/>
                    <w:tr2bl w:val="nil"/>
                  </w:tcBorders>
                  <w:shd w:val="clear" w:color="auto" w:fill="auto"/>
                  <w:vAlign w:val="center"/>
                </w:tcPr>
                <w:p w14:paraId="4BA1760A">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现有项目</w:t>
                  </w:r>
                </w:p>
                <w:p w14:paraId="5B5EEF21">
                  <w:pPr>
                    <w:numPr>
                      <w:ilvl w:val="0"/>
                      <w:numId w:val="0"/>
                    </w:numPr>
                    <w:spacing w:line="240" w:lineRule="auto"/>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数量（台）</w:t>
                  </w:r>
                </w:p>
              </w:tc>
              <w:tc>
                <w:tcPr>
                  <w:tcW w:w="1146" w:type="dxa"/>
                  <w:tcBorders>
                    <w:tl2br w:val="nil"/>
                    <w:tr2bl w:val="nil"/>
                  </w:tcBorders>
                  <w:shd w:val="clear" w:color="auto" w:fill="auto"/>
                  <w:vAlign w:val="center"/>
                </w:tcPr>
                <w:p w14:paraId="3296713B">
                  <w:pPr>
                    <w:numPr>
                      <w:ilvl w:val="0"/>
                      <w:numId w:val="0"/>
                    </w:numPr>
                    <w:spacing w:line="240" w:lineRule="auto"/>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新增</w:t>
                  </w:r>
                </w:p>
                <w:p w14:paraId="607C021D">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数量（台）</w:t>
                  </w:r>
                </w:p>
              </w:tc>
              <w:tc>
                <w:tcPr>
                  <w:tcW w:w="1080" w:type="dxa"/>
                  <w:tcBorders>
                    <w:tl2br w:val="nil"/>
                    <w:tr2bl w:val="nil"/>
                  </w:tcBorders>
                  <w:shd w:val="clear" w:color="auto" w:fill="auto"/>
                  <w:vAlign w:val="center"/>
                </w:tcPr>
                <w:p w14:paraId="215AD71E">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本项目</w:t>
                  </w:r>
                </w:p>
                <w:p w14:paraId="5B8146FA">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数量（台）</w:t>
                  </w:r>
                </w:p>
              </w:tc>
              <w:tc>
                <w:tcPr>
                  <w:tcW w:w="879" w:type="dxa"/>
                  <w:tcBorders>
                    <w:tl2br w:val="nil"/>
                    <w:tr2bl w:val="nil"/>
                  </w:tcBorders>
                  <w:shd w:val="clear" w:color="auto" w:fill="auto"/>
                  <w:vAlign w:val="center"/>
                </w:tcPr>
                <w:p w14:paraId="5CB86E09">
                  <w:pPr>
                    <w:numPr>
                      <w:ilvl w:val="0"/>
                      <w:numId w:val="0"/>
                    </w:numPr>
                    <w:spacing w:line="240" w:lineRule="auto"/>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使用</w:t>
                  </w:r>
                </w:p>
                <w:p w14:paraId="74B66A27">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位置</w:t>
                  </w:r>
                </w:p>
              </w:tc>
            </w:tr>
            <w:tr w14:paraId="276487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346F0689">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8E62C8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气相色谱仪</w:t>
                  </w:r>
                </w:p>
              </w:tc>
              <w:tc>
                <w:tcPr>
                  <w:tcW w:w="1320" w:type="dxa"/>
                  <w:tcBorders>
                    <w:tl2br w:val="nil"/>
                    <w:tr2bl w:val="nil"/>
                  </w:tcBorders>
                  <w:shd w:val="clear" w:color="auto" w:fill="auto"/>
                  <w:vAlign w:val="center"/>
                </w:tcPr>
                <w:p w14:paraId="65C6893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GC-112A</w:t>
                  </w:r>
                </w:p>
              </w:tc>
              <w:tc>
                <w:tcPr>
                  <w:tcW w:w="1102" w:type="dxa"/>
                  <w:tcBorders>
                    <w:tl2br w:val="nil"/>
                    <w:tr2bl w:val="nil"/>
                  </w:tcBorders>
                  <w:vAlign w:val="center"/>
                </w:tcPr>
                <w:p w14:paraId="4A46AE42">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vAlign w:val="center"/>
                </w:tcPr>
                <w:p w14:paraId="4E60D30A">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080" w:type="dxa"/>
                  <w:tcBorders>
                    <w:tl2br w:val="nil"/>
                    <w:tr2bl w:val="nil"/>
                  </w:tcBorders>
                  <w:vAlign w:val="center"/>
                </w:tcPr>
                <w:p w14:paraId="6B59F9F2">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879" w:type="dxa"/>
                  <w:tcBorders>
                    <w:tl2br w:val="nil"/>
                    <w:tr2bl w:val="nil"/>
                  </w:tcBorders>
                  <w:vAlign w:val="center"/>
                </w:tcPr>
                <w:p w14:paraId="3FA50EBC">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宋体" w:hAnsi="宋体" w:eastAsia="宋体" w:cs="宋体"/>
                      <w:i w:val="0"/>
                      <w:iCs w:val="0"/>
                      <w:color w:val="000000"/>
                      <w:kern w:val="0"/>
                      <w:sz w:val="20"/>
                      <w:szCs w:val="20"/>
                      <w:u w:val="none"/>
                      <w:lang w:val="en-US" w:eastAsia="zh-CN" w:bidi="ar"/>
                    </w:rPr>
                    <w:t>色谱室</w:t>
                  </w:r>
                </w:p>
              </w:tc>
            </w:tr>
            <w:tr w14:paraId="2F0CAA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dxa"/>
                  <w:tcBorders>
                    <w:tl2br w:val="nil"/>
                    <w:tr2bl w:val="nil"/>
                  </w:tcBorders>
                  <w:vAlign w:val="center"/>
                </w:tcPr>
                <w:p w14:paraId="31A90741">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42E0DB2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宋体" w:hAnsi="宋体" w:eastAsia="宋体" w:cs="宋体"/>
                      <w:i w:val="0"/>
                      <w:iCs w:val="0"/>
                      <w:color w:val="000000"/>
                      <w:kern w:val="0"/>
                      <w:sz w:val="20"/>
                      <w:szCs w:val="20"/>
                      <w:u w:val="none"/>
                      <w:lang w:val="en-US" w:eastAsia="zh-CN" w:bidi="ar"/>
                    </w:rPr>
                    <w:t>气相色谱仪</w:t>
                  </w:r>
                </w:p>
              </w:tc>
              <w:tc>
                <w:tcPr>
                  <w:tcW w:w="1320" w:type="dxa"/>
                  <w:tcBorders>
                    <w:tl2br w:val="nil"/>
                    <w:tr2bl w:val="nil"/>
                  </w:tcBorders>
                  <w:shd w:val="clear" w:color="auto" w:fill="auto"/>
                  <w:vAlign w:val="center"/>
                </w:tcPr>
                <w:p w14:paraId="78EB804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000000"/>
                      <w:kern w:val="0"/>
                      <w:sz w:val="20"/>
                      <w:szCs w:val="20"/>
                      <w:u w:val="none"/>
                      <w:lang w:val="en-US" w:eastAsia="zh-CN" w:bidi="ar"/>
                    </w:rPr>
                    <w:t>GC-7890F</w:t>
                  </w:r>
                </w:p>
              </w:tc>
              <w:tc>
                <w:tcPr>
                  <w:tcW w:w="1102" w:type="dxa"/>
                  <w:tcBorders>
                    <w:tl2br w:val="nil"/>
                    <w:tr2bl w:val="nil"/>
                  </w:tcBorders>
                  <w:vAlign w:val="center"/>
                </w:tcPr>
                <w:p w14:paraId="7CA13A37">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vAlign w:val="center"/>
                </w:tcPr>
                <w:p w14:paraId="51752369">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宋体" w:hAnsi="宋体" w:eastAsia="宋体" w:cs="宋体"/>
                      <w:i w:val="0"/>
                      <w:iCs w:val="0"/>
                      <w:color w:val="000000"/>
                      <w:kern w:val="0"/>
                      <w:sz w:val="20"/>
                      <w:szCs w:val="20"/>
                      <w:u w:val="none"/>
                      <w:lang w:val="en-US" w:eastAsia="zh-CN" w:bidi="ar"/>
                    </w:rPr>
                    <w:t>0</w:t>
                  </w:r>
                </w:p>
              </w:tc>
              <w:tc>
                <w:tcPr>
                  <w:tcW w:w="1080" w:type="dxa"/>
                  <w:tcBorders>
                    <w:tl2br w:val="nil"/>
                    <w:tr2bl w:val="nil"/>
                  </w:tcBorders>
                  <w:vAlign w:val="center"/>
                </w:tcPr>
                <w:p w14:paraId="1CE8C2A4">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879" w:type="dxa"/>
                  <w:tcBorders>
                    <w:tl2br w:val="nil"/>
                    <w:tr2bl w:val="nil"/>
                  </w:tcBorders>
                  <w:vAlign w:val="center"/>
                </w:tcPr>
                <w:p w14:paraId="506FF43A">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宋体" w:hAnsi="宋体" w:eastAsia="宋体" w:cs="宋体"/>
                      <w:i w:val="0"/>
                      <w:iCs w:val="0"/>
                      <w:color w:val="000000"/>
                      <w:kern w:val="0"/>
                      <w:sz w:val="20"/>
                      <w:szCs w:val="20"/>
                      <w:u w:val="none"/>
                      <w:lang w:val="en-US" w:eastAsia="zh-CN" w:bidi="ar"/>
                    </w:rPr>
                    <w:t>色谱室</w:t>
                  </w:r>
                </w:p>
              </w:tc>
            </w:tr>
            <w:tr w14:paraId="3D5A91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0" w:type="dxa"/>
                  <w:tcBorders>
                    <w:tl2br w:val="nil"/>
                    <w:tr2bl w:val="nil"/>
                  </w:tcBorders>
                  <w:vAlign w:val="center"/>
                </w:tcPr>
                <w:p w14:paraId="08D8EE47">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7C9D31C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宋体" w:hAnsi="宋体" w:eastAsia="宋体" w:cs="宋体"/>
                      <w:i w:val="0"/>
                      <w:iCs w:val="0"/>
                      <w:color w:val="000000"/>
                      <w:kern w:val="0"/>
                      <w:sz w:val="20"/>
                      <w:szCs w:val="20"/>
                      <w:u w:val="none"/>
                      <w:lang w:val="en-US" w:eastAsia="zh-CN" w:bidi="ar"/>
                    </w:rPr>
                    <w:t>气相色谱仪</w:t>
                  </w:r>
                </w:p>
              </w:tc>
              <w:tc>
                <w:tcPr>
                  <w:tcW w:w="1320" w:type="dxa"/>
                  <w:tcBorders>
                    <w:tl2br w:val="nil"/>
                    <w:tr2bl w:val="nil"/>
                  </w:tcBorders>
                  <w:shd w:val="clear" w:color="auto" w:fill="auto"/>
                  <w:vAlign w:val="center"/>
                </w:tcPr>
                <w:p w14:paraId="0A6330D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i w:val="0"/>
                      <w:iCs w:val="0"/>
                      <w:color w:val="000000"/>
                      <w:kern w:val="0"/>
                      <w:sz w:val="20"/>
                      <w:szCs w:val="20"/>
                      <w:u w:val="none"/>
                      <w:lang w:val="en-US" w:eastAsia="zh-CN" w:bidi="ar"/>
                    </w:rPr>
                    <w:t>GC126</w:t>
                  </w:r>
                </w:p>
              </w:tc>
              <w:tc>
                <w:tcPr>
                  <w:tcW w:w="1102" w:type="dxa"/>
                  <w:tcBorders>
                    <w:tl2br w:val="nil"/>
                    <w:tr2bl w:val="nil"/>
                  </w:tcBorders>
                  <w:vAlign w:val="center"/>
                </w:tcPr>
                <w:p w14:paraId="56CEEC17">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vAlign w:val="center"/>
                </w:tcPr>
                <w:p w14:paraId="31C1FDC2">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宋体" w:hAnsi="宋体" w:eastAsia="宋体" w:cs="宋体"/>
                      <w:i w:val="0"/>
                      <w:iCs w:val="0"/>
                      <w:color w:val="000000"/>
                      <w:kern w:val="0"/>
                      <w:sz w:val="20"/>
                      <w:szCs w:val="20"/>
                      <w:u w:val="none"/>
                      <w:lang w:val="en-US" w:eastAsia="zh-CN" w:bidi="ar"/>
                    </w:rPr>
                    <w:t>0</w:t>
                  </w:r>
                </w:p>
              </w:tc>
              <w:tc>
                <w:tcPr>
                  <w:tcW w:w="1080" w:type="dxa"/>
                  <w:tcBorders>
                    <w:tl2br w:val="nil"/>
                    <w:tr2bl w:val="nil"/>
                  </w:tcBorders>
                  <w:vAlign w:val="center"/>
                </w:tcPr>
                <w:p w14:paraId="5DF13A02">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879" w:type="dxa"/>
                  <w:tcBorders>
                    <w:tl2br w:val="nil"/>
                    <w:tr2bl w:val="nil"/>
                  </w:tcBorders>
                  <w:vAlign w:val="center"/>
                </w:tcPr>
                <w:p w14:paraId="74E2FB76">
                  <w:pPr>
                    <w:keepNext w:val="0"/>
                    <w:keepLines w:val="0"/>
                    <w:widowControl/>
                    <w:suppressLineNumbers w:val="0"/>
                    <w:jc w:val="center"/>
                    <w:textAlignment w:val="center"/>
                    <w:rPr>
                      <w:rFonts w:hint="default" w:ascii="Times New Roman" w:hAnsi="Times New Roman" w:cs="Times New Roman"/>
                      <w:b w:val="0"/>
                      <w:bCs w:val="0"/>
                      <w:color w:val="auto"/>
                      <w:sz w:val="21"/>
                      <w:szCs w:val="21"/>
                      <w:highlight w:val="none"/>
                      <w:vertAlign w:val="baseline"/>
                      <w:lang w:val="en-US" w:eastAsia="zh-CN"/>
                    </w:rPr>
                  </w:pPr>
                  <w:r>
                    <w:rPr>
                      <w:rFonts w:hint="eastAsia" w:ascii="宋体" w:hAnsi="宋体" w:eastAsia="宋体" w:cs="宋体"/>
                      <w:i w:val="0"/>
                      <w:iCs w:val="0"/>
                      <w:color w:val="000000"/>
                      <w:kern w:val="0"/>
                      <w:sz w:val="20"/>
                      <w:szCs w:val="20"/>
                      <w:u w:val="none"/>
                      <w:lang w:val="en-US" w:eastAsia="zh-CN" w:bidi="ar"/>
                    </w:rPr>
                    <w:t>色谱室</w:t>
                  </w:r>
                </w:p>
              </w:tc>
            </w:tr>
            <w:tr w14:paraId="7017C0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67FB0FBD">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4FE04CA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热解析仪</w:t>
                  </w:r>
                </w:p>
              </w:tc>
              <w:tc>
                <w:tcPr>
                  <w:tcW w:w="1320" w:type="dxa"/>
                  <w:tcBorders>
                    <w:tl2br w:val="nil"/>
                    <w:tr2bl w:val="nil"/>
                  </w:tcBorders>
                  <w:shd w:val="clear" w:color="auto" w:fill="auto"/>
                  <w:vAlign w:val="center"/>
                </w:tcPr>
                <w:p w14:paraId="32C72B5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BTJ-</w:t>
                  </w:r>
                  <w:r>
                    <w:rPr>
                      <w:rFonts w:hint="eastAsia" w:ascii="宋体" w:hAnsi="宋体" w:eastAsia="宋体" w:cs="宋体"/>
                      <w:i w:val="0"/>
                      <w:iCs w:val="0"/>
                      <w:color w:val="000000"/>
                      <w:kern w:val="0"/>
                      <w:sz w:val="20"/>
                      <w:szCs w:val="20"/>
                      <w:u w:val="none"/>
                      <w:lang w:val="en-US" w:eastAsia="zh-CN" w:bidi="ar"/>
                    </w:rPr>
                    <w:t>Ⅲ型</w:t>
                  </w:r>
                </w:p>
              </w:tc>
              <w:tc>
                <w:tcPr>
                  <w:tcW w:w="1102" w:type="dxa"/>
                  <w:tcBorders>
                    <w:tl2br w:val="nil"/>
                    <w:tr2bl w:val="nil"/>
                  </w:tcBorders>
                  <w:shd w:val="clear" w:color="auto" w:fill="auto"/>
                  <w:vAlign w:val="center"/>
                </w:tcPr>
                <w:p w14:paraId="72F6F7B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146" w:type="dxa"/>
                  <w:tcBorders>
                    <w:tl2br w:val="nil"/>
                    <w:tr2bl w:val="nil"/>
                  </w:tcBorders>
                  <w:shd w:val="clear" w:color="auto" w:fill="auto"/>
                  <w:vAlign w:val="center"/>
                </w:tcPr>
                <w:p w14:paraId="05C6EC40">
                  <w:pPr>
                    <w:keepNext w:val="0"/>
                    <w:keepLines w:val="0"/>
                    <w:widowControl/>
                    <w:suppressLineNumbers w:val="0"/>
                    <w:jc w:val="center"/>
                    <w:textAlignment w:val="center"/>
                    <w:rPr>
                      <w:rFonts w:hint="default" w:ascii="Times New Roman" w:hAnsi="Times New Roman" w:eastAsia="宋体" w:cs="Times New Roman"/>
                      <w:color w:val="auto"/>
                      <w:spacing w:val="-1"/>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1C7360E9">
                  <w:pPr>
                    <w:keepNext w:val="0"/>
                    <w:keepLines w:val="0"/>
                    <w:widowControl/>
                    <w:suppressLineNumbers w:val="0"/>
                    <w:jc w:val="center"/>
                    <w:textAlignment w:val="center"/>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4</w:t>
                  </w:r>
                </w:p>
              </w:tc>
              <w:tc>
                <w:tcPr>
                  <w:tcW w:w="879" w:type="dxa"/>
                  <w:tcBorders>
                    <w:tl2br w:val="nil"/>
                    <w:tr2bl w:val="nil"/>
                  </w:tcBorders>
                  <w:shd w:val="clear" w:color="auto" w:fill="auto"/>
                  <w:vAlign w:val="center"/>
                </w:tcPr>
                <w:p w14:paraId="325E8BFD">
                  <w:pPr>
                    <w:keepNext w:val="0"/>
                    <w:keepLines w:val="0"/>
                    <w:widowControl/>
                    <w:suppressLineNumbers w:val="0"/>
                    <w:jc w:val="center"/>
                    <w:textAlignment w:val="center"/>
                    <w:rPr>
                      <w:rFonts w:hint="default" w:ascii="Times New Roman" w:hAnsi="Times New Roman" w:eastAsia="宋体" w:cs="Times New Roman"/>
                      <w:color w:val="auto"/>
                      <w:spacing w:val="-1"/>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色谱室</w:t>
                  </w:r>
                </w:p>
              </w:tc>
            </w:tr>
            <w:tr w14:paraId="09CAAC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2A46D541">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1670C71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宋体" w:hAnsi="宋体" w:eastAsia="宋体" w:cs="宋体"/>
                      <w:i w:val="0"/>
                      <w:iCs w:val="0"/>
                      <w:color w:val="000000"/>
                      <w:kern w:val="0"/>
                      <w:sz w:val="20"/>
                      <w:szCs w:val="20"/>
                      <w:u w:val="none"/>
                      <w:lang w:val="en-US" w:eastAsia="zh-CN" w:bidi="ar"/>
                    </w:rPr>
                    <w:t>自动热解析仪</w:t>
                  </w:r>
                </w:p>
              </w:tc>
              <w:tc>
                <w:tcPr>
                  <w:tcW w:w="1320" w:type="dxa"/>
                  <w:tcBorders>
                    <w:tl2br w:val="nil"/>
                    <w:tr2bl w:val="nil"/>
                  </w:tcBorders>
                  <w:shd w:val="clear" w:color="auto" w:fill="auto"/>
                  <w:vAlign w:val="center"/>
                </w:tcPr>
                <w:p w14:paraId="1125ADB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 xml:space="preserve">HJ-IV </w:t>
                  </w:r>
                  <w:r>
                    <w:rPr>
                      <w:rFonts w:hint="eastAsia" w:ascii="宋体" w:hAnsi="宋体" w:eastAsia="宋体" w:cs="宋体"/>
                      <w:i w:val="0"/>
                      <w:iCs w:val="0"/>
                      <w:color w:val="000000"/>
                      <w:kern w:val="0"/>
                      <w:sz w:val="20"/>
                      <w:szCs w:val="20"/>
                      <w:u w:val="none"/>
                      <w:lang w:val="en-US" w:eastAsia="zh-CN" w:bidi="ar"/>
                    </w:rPr>
                    <w:t>型</w:t>
                  </w:r>
                </w:p>
              </w:tc>
              <w:tc>
                <w:tcPr>
                  <w:tcW w:w="1102" w:type="dxa"/>
                  <w:tcBorders>
                    <w:tl2br w:val="nil"/>
                    <w:tr2bl w:val="nil"/>
                  </w:tcBorders>
                  <w:shd w:val="clear" w:color="auto" w:fill="auto"/>
                  <w:vAlign w:val="center"/>
                </w:tcPr>
                <w:p w14:paraId="535BEA21">
                  <w:pPr>
                    <w:keepNext w:val="0"/>
                    <w:keepLines w:val="0"/>
                    <w:widowControl/>
                    <w:suppressLineNumbers w:val="0"/>
                    <w:jc w:val="center"/>
                    <w:textAlignment w:val="center"/>
                    <w:rPr>
                      <w:rFonts w:hint="default" w:ascii="Times New Roman" w:hAnsi="Times New Roman" w:eastAsia="宋体" w:cs="Times New Roman"/>
                      <w:color w:val="auto"/>
                      <w:spacing w:val="-1"/>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6E8D4CBA">
                  <w:pPr>
                    <w:keepNext w:val="0"/>
                    <w:keepLines w:val="0"/>
                    <w:widowControl/>
                    <w:suppressLineNumbers w:val="0"/>
                    <w:jc w:val="center"/>
                    <w:textAlignment w:val="center"/>
                    <w:rPr>
                      <w:rFonts w:hint="default" w:ascii="Times New Roman" w:hAnsi="Times New Roman" w:eastAsia="宋体" w:cs="Times New Roman"/>
                      <w:color w:val="auto"/>
                      <w:spacing w:val="-1"/>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0</w:t>
                  </w:r>
                </w:p>
              </w:tc>
              <w:tc>
                <w:tcPr>
                  <w:tcW w:w="1080" w:type="dxa"/>
                  <w:tcBorders>
                    <w:tl2br w:val="nil"/>
                    <w:tr2bl w:val="nil"/>
                  </w:tcBorders>
                  <w:shd w:val="clear" w:color="auto" w:fill="auto"/>
                  <w:vAlign w:val="center"/>
                </w:tcPr>
                <w:p w14:paraId="019FE913">
                  <w:pPr>
                    <w:keepNext w:val="0"/>
                    <w:keepLines w:val="0"/>
                    <w:widowControl/>
                    <w:suppressLineNumbers w:val="0"/>
                    <w:jc w:val="center"/>
                    <w:textAlignment w:val="center"/>
                    <w:rPr>
                      <w:rFonts w:hint="default" w:ascii="Times New Roman" w:hAnsi="Times New Roman" w:eastAsia="宋体"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1</w:t>
                  </w:r>
                </w:p>
              </w:tc>
              <w:tc>
                <w:tcPr>
                  <w:tcW w:w="879" w:type="dxa"/>
                  <w:tcBorders>
                    <w:tl2br w:val="nil"/>
                    <w:tr2bl w:val="nil"/>
                  </w:tcBorders>
                  <w:shd w:val="clear" w:color="auto" w:fill="auto"/>
                  <w:vAlign w:val="center"/>
                </w:tcPr>
                <w:p w14:paraId="2BE7C3FB">
                  <w:pPr>
                    <w:keepNext w:val="0"/>
                    <w:keepLines w:val="0"/>
                    <w:widowControl/>
                    <w:suppressLineNumbers w:val="0"/>
                    <w:jc w:val="center"/>
                    <w:textAlignment w:val="center"/>
                    <w:rPr>
                      <w:rFonts w:hint="default" w:ascii="Times New Roman" w:hAnsi="Times New Roman" w:eastAsia="宋体" w:cs="Times New Roman"/>
                      <w:color w:val="auto"/>
                      <w:spacing w:val="-1"/>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色谱室</w:t>
                  </w:r>
                </w:p>
              </w:tc>
            </w:tr>
            <w:tr w14:paraId="71B29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2F68A435">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6D468A7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气相色谱仪</w:t>
                  </w:r>
                </w:p>
              </w:tc>
              <w:tc>
                <w:tcPr>
                  <w:tcW w:w="1320" w:type="dxa"/>
                  <w:tcBorders>
                    <w:tl2br w:val="nil"/>
                    <w:tr2bl w:val="nil"/>
                  </w:tcBorders>
                  <w:shd w:val="clear" w:color="auto" w:fill="auto"/>
                  <w:vAlign w:val="center"/>
                </w:tcPr>
                <w:p w14:paraId="3118648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GC 112N </w:t>
                  </w:r>
                </w:p>
              </w:tc>
              <w:tc>
                <w:tcPr>
                  <w:tcW w:w="1102" w:type="dxa"/>
                  <w:tcBorders>
                    <w:tl2br w:val="nil"/>
                    <w:tr2bl w:val="nil"/>
                  </w:tcBorders>
                  <w:shd w:val="clear" w:color="auto" w:fill="auto"/>
                  <w:vAlign w:val="center"/>
                </w:tcPr>
                <w:p w14:paraId="790E7221">
                  <w:pPr>
                    <w:jc w:val="center"/>
                    <w:rPr>
                      <w:rFonts w:hint="default" w:ascii="Times New Roman" w:hAnsi="Times New Roman" w:eastAsia="宋体" w:cs="Times New Roman"/>
                      <w:color w:val="auto"/>
                      <w:spacing w:val="-1"/>
                      <w:kern w:val="2"/>
                      <w:sz w:val="21"/>
                      <w:szCs w:val="21"/>
                      <w:highlight w:val="none"/>
                      <w:lang w:val="en-US" w:eastAsia="zh-CN" w:bidi="ar-SA"/>
                    </w:rPr>
                  </w:pPr>
                  <w:r>
                    <w:rPr>
                      <w:rFonts w:hint="eastAsia" w:ascii="Times New Roman" w:hAnsi="Times New Roman" w:eastAsia="宋体" w:cs="Times New Roman"/>
                      <w:color w:val="auto"/>
                      <w:spacing w:val="-1"/>
                      <w:kern w:val="2"/>
                      <w:sz w:val="21"/>
                      <w:szCs w:val="21"/>
                      <w:highlight w:val="none"/>
                      <w:lang w:val="en-US" w:eastAsia="zh-CN" w:bidi="ar-SA"/>
                    </w:rPr>
                    <w:t>0</w:t>
                  </w:r>
                </w:p>
              </w:tc>
              <w:tc>
                <w:tcPr>
                  <w:tcW w:w="1146" w:type="dxa"/>
                  <w:tcBorders>
                    <w:tl2br w:val="nil"/>
                    <w:tr2bl w:val="nil"/>
                  </w:tcBorders>
                  <w:shd w:val="clear" w:color="auto" w:fill="auto"/>
                  <w:vAlign w:val="center"/>
                </w:tcPr>
                <w:p w14:paraId="5686CF93">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1BE05450">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1</w:t>
                  </w:r>
                </w:p>
              </w:tc>
              <w:tc>
                <w:tcPr>
                  <w:tcW w:w="879" w:type="dxa"/>
                  <w:tcBorders>
                    <w:tl2br w:val="nil"/>
                    <w:tr2bl w:val="nil"/>
                  </w:tcBorders>
                  <w:shd w:val="clear" w:color="auto" w:fill="auto"/>
                  <w:vAlign w:val="center"/>
                </w:tcPr>
                <w:p w14:paraId="7DC3958B">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色谱室</w:t>
                  </w:r>
                </w:p>
              </w:tc>
            </w:tr>
            <w:tr w14:paraId="3EDFD7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6918511F">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7F7E2C3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宋体" w:hAnsi="宋体" w:eastAsia="宋体" w:cs="宋体"/>
                      <w:i w:val="0"/>
                      <w:iCs w:val="0"/>
                      <w:color w:val="000000"/>
                      <w:kern w:val="0"/>
                      <w:sz w:val="20"/>
                      <w:szCs w:val="20"/>
                      <w:u w:val="none"/>
                      <w:lang w:val="en-US" w:eastAsia="zh-CN" w:bidi="ar"/>
                    </w:rPr>
                    <w:t>气相色谱仪</w:t>
                  </w:r>
                </w:p>
              </w:tc>
              <w:tc>
                <w:tcPr>
                  <w:tcW w:w="1320" w:type="dxa"/>
                  <w:tcBorders>
                    <w:tl2br w:val="nil"/>
                    <w:tr2bl w:val="nil"/>
                  </w:tcBorders>
                  <w:shd w:val="clear" w:color="auto" w:fill="auto"/>
                  <w:vAlign w:val="center"/>
                </w:tcPr>
                <w:p w14:paraId="0E56082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气质</w:t>
                  </w:r>
                </w:p>
              </w:tc>
              <w:tc>
                <w:tcPr>
                  <w:tcW w:w="1102" w:type="dxa"/>
                  <w:tcBorders>
                    <w:tl2br w:val="nil"/>
                    <w:tr2bl w:val="nil"/>
                  </w:tcBorders>
                  <w:shd w:val="clear" w:color="auto" w:fill="auto"/>
                  <w:vAlign w:val="center"/>
                </w:tcPr>
                <w:p w14:paraId="4B889C71">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3766DCE8">
                  <w:pPr>
                    <w:jc w:val="center"/>
                    <w:rPr>
                      <w:rFonts w:hint="default" w:ascii="Times New Roman" w:hAnsi="Times New Roman" w:cs="Times New Roman"/>
                      <w:color w:val="auto"/>
                      <w:spacing w:val="-1"/>
                      <w:sz w:val="21"/>
                      <w:szCs w:val="21"/>
                      <w:highlight w:val="none"/>
                      <w:lang w:val="en-US" w:eastAsia="zh-CN"/>
                    </w:rPr>
                  </w:pPr>
                  <w:r>
                    <w:rPr>
                      <w:rFonts w:hint="eastAsia" w:ascii="Times New Roman" w:hAnsi="Times New Roman" w:cs="Times New Roman"/>
                      <w:color w:val="auto"/>
                      <w:spacing w:val="-1"/>
                      <w:sz w:val="21"/>
                      <w:szCs w:val="21"/>
                      <w:highlight w:val="none"/>
                      <w:lang w:val="en-US" w:eastAsia="zh-CN"/>
                    </w:rPr>
                    <w:t>0</w:t>
                  </w:r>
                </w:p>
              </w:tc>
              <w:tc>
                <w:tcPr>
                  <w:tcW w:w="1080" w:type="dxa"/>
                  <w:tcBorders>
                    <w:tl2br w:val="nil"/>
                    <w:tr2bl w:val="nil"/>
                  </w:tcBorders>
                  <w:shd w:val="clear" w:color="auto" w:fill="auto"/>
                  <w:vAlign w:val="center"/>
                </w:tcPr>
                <w:p w14:paraId="4A70A176">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1</w:t>
                  </w:r>
                </w:p>
              </w:tc>
              <w:tc>
                <w:tcPr>
                  <w:tcW w:w="879" w:type="dxa"/>
                  <w:tcBorders>
                    <w:tl2br w:val="nil"/>
                    <w:tr2bl w:val="nil"/>
                  </w:tcBorders>
                  <w:shd w:val="clear" w:color="auto" w:fill="auto"/>
                  <w:vAlign w:val="center"/>
                </w:tcPr>
                <w:p w14:paraId="72522561">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色谱室</w:t>
                  </w:r>
                </w:p>
              </w:tc>
            </w:tr>
            <w:tr w14:paraId="5AEDCF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0E41D48">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1D90CF4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宋体" w:hAnsi="宋体" w:eastAsia="宋体" w:cs="宋体"/>
                      <w:i w:val="0"/>
                      <w:iCs w:val="0"/>
                      <w:color w:val="000000"/>
                      <w:kern w:val="0"/>
                      <w:sz w:val="20"/>
                      <w:szCs w:val="20"/>
                      <w:u w:val="none"/>
                      <w:lang w:val="en-US" w:eastAsia="zh-CN" w:bidi="ar"/>
                    </w:rPr>
                    <w:t>零级空气（除氢装置）</w:t>
                  </w:r>
                </w:p>
              </w:tc>
              <w:tc>
                <w:tcPr>
                  <w:tcW w:w="1320" w:type="dxa"/>
                  <w:tcBorders>
                    <w:tl2br w:val="nil"/>
                    <w:tr2bl w:val="nil"/>
                  </w:tcBorders>
                  <w:shd w:val="clear" w:color="auto" w:fill="auto"/>
                  <w:vAlign w:val="center"/>
                </w:tcPr>
                <w:p w14:paraId="16E0033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ZA-1000</w:t>
                  </w:r>
                </w:p>
              </w:tc>
              <w:tc>
                <w:tcPr>
                  <w:tcW w:w="1102" w:type="dxa"/>
                  <w:tcBorders>
                    <w:tl2br w:val="nil"/>
                    <w:tr2bl w:val="nil"/>
                  </w:tcBorders>
                  <w:shd w:val="clear" w:color="auto" w:fill="auto"/>
                  <w:vAlign w:val="center"/>
                </w:tcPr>
                <w:p w14:paraId="5EB562F5">
                  <w:pPr>
                    <w:jc w:val="center"/>
                    <w:rPr>
                      <w:rFonts w:hint="default" w:ascii="Times New Roman" w:hAnsi="Times New Roman" w:cs="Times New Roman"/>
                      <w:color w:val="auto"/>
                      <w:spacing w:val="-1"/>
                      <w:sz w:val="21"/>
                      <w:szCs w:val="21"/>
                      <w:highlight w:val="none"/>
                      <w:lang w:val="en-US" w:eastAsia="zh-CN"/>
                    </w:rPr>
                  </w:pPr>
                  <w:r>
                    <w:rPr>
                      <w:rFonts w:hint="eastAsia" w:ascii="Times New Roman" w:hAnsi="Times New Roman" w:cs="Times New Roman"/>
                      <w:color w:val="auto"/>
                      <w:spacing w:val="-1"/>
                      <w:sz w:val="21"/>
                      <w:szCs w:val="21"/>
                      <w:highlight w:val="none"/>
                      <w:lang w:val="en-US" w:eastAsia="zh-CN"/>
                    </w:rPr>
                    <w:t>0</w:t>
                  </w:r>
                </w:p>
              </w:tc>
              <w:tc>
                <w:tcPr>
                  <w:tcW w:w="1146" w:type="dxa"/>
                  <w:tcBorders>
                    <w:tl2br w:val="nil"/>
                    <w:tr2bl w:val="nil"/>
                  </w:tcBorders>
                  <w:shd w:val="clear" w:color="auto" w:fill="auto"/>
                  <w:vAlign w:val="center"/>
                </w:tcPr>
                <w:p w14:paraId="107D5F34">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00241F39">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1</w:t>
                  </w:r>
                </w:p>
              </w:tc>
              <w:tc>
                <w:tcPr>
                  <w:tcW w:w="879" w:type="dxa"/>
                  <w:tcBorders>
                    <w:tl2br w:val="nil"/>
                    <w:tr2bl w:val="nil"/>
                  </w:tcBorders>
                  <w:shd w:val="clear" w:color="auto" w:fill="auto"/>
                  <w:vAlign w:val="center"/>
                </w:tcPr>
                <w:p w14:paraId="00BA4C18">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色谱室</w:t>
                  </w:r>
                </w:p>
              </w:tc>
            </w:tr>
            <w:tr w14:paraId="51932C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5C433A20">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703F853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宋体" w:hAnsi="宋体" w:eastAsia="宋体" w:cs="宋体"/>
                      <w:i w:val="0"/>
                      <w:iCs w:val="0"/>
                      <w:color w:val="000000"/>
                      <w:kern w:val="0"/>
                      <w:sz w:val="20"/>
                      <w:szCs w:val="20"/>
                      <w:u w:val="none"/>
                      <w:lang w:val="en-US" w:eastAsia="zh-CN" w:bidi="ar"/>
                    </w:rPr>
                    <w:t>生化培养箱</w:t>
                  </w:r>
                </w:p>
              </w:tc>
              <w:tc>
                <w:tcPr>
                  <w:tcW w:w="1320" w:type="dxa"/>
                  <w:tcBorders>
                    <w:tl2br w:val="nil"/>
                    <w:tr2bl w:val="nil"/>
                  </w:tcBorders>
                  <w:shd w:val="clear" w:color="auto" w:fill="auto"/>
                  <w:vAlign w:val="center"/>
                </w:tcPr>
                <w:p w14:paraId="671001A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SHX150</w:t>
                  </w:r>
                  <w:r>
                    <w:rPr>
                      <w:rFonts w:hint="eastAsia" w:ascii="宋体" w:hAnsi="宋体" w:eastAsia="宋体" w:cs="宋体"/>
                      <w:i w:val="0"/>
                      <w:iCs w:val="0"/>
                      <w:color w:val="000000"/>
                      <w:kern w:val="0"/>
                      <w:sz w:val="20"/>
                      <w:szCs w:val="20"/>
                      <w:u w:val="none"/>
                      <w:lang w:val="en-US" w:eastAsia="zh-CN" w:bidi="ar"/>
                    </w:rPr>
                    <w:t>Ⅱ</w:t>
                  </w:r>
                </w:p>
              </w:tc>
              <w:tc>
                <w:tcPr>
                  <w:tcW w:w="1102" w:type="dxa"/>
                  <w:tcBorders>
                    <w:tl2br w:val="nil"/>
                    <w:tr2bl w:val="nil"/>
                  </w:tcBorders>
                  <w:shd w:val="clear" w:color="auto" w:fill="auto"/>
                  <w:vAlign w:val="center"/>
                </w:tcPr>
                <w:p w14:paraId="5B28EF45">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4E70FCCC">
                  <w:pPr>
                    <w:jc w:val="center"/>
                    <w:rPr>
                      <w:rFonts w:hint="default" w:ascii="Times New Roman" w:hAnsi="Times New Roman" w:cs="Times New Roman"/>
                      <w:color w:val="auto"/>
                      <w:spacing w:val="-1"/>
                      <w:sz w:val="21"/>
                      <w:szCs w:val="21"/>
                      <w:highlight w:val="none"/>
                      <w:lang w:val="en-US" w:eastAsia="zh-CN"/>
                    </w:rPr>
                  </w:pPr>
                  <w:r>
                    <w:rPr>
                      <w:rFonts w:hint="eastAsia" w:ascii="Times New Roman" w:hAnsi="Times New Roman" w:cs="Times New Roman"/>
                      <w:color w:val="auto"/>
                      <w:spacing w:val="-1"/>
                      <w:sz w:val="21"/>
                      <w:szCs w:val="21"/>
                      <w:highlight w:val="none"/>
                      <w:lang w:val="en-US" w:eastAsia="zh-CN"/>
                    </w:rPr>
                    <w:t>0</w:t>
                  </w:r>
                </w:p>
              </w:tc>
              <w:tc>
                <w:tcPr>
                  <w:tcW w:w="1080" w:type="dxa"/>
                  <w:tcBorders>
                    <w:tl2br w:val="nil"/>
                    <w:tr2bl w:val="nil"/>
                  </w:tcBorders>
                  <w:shd w:val="clear" w:color="auto" w:fill="auto"/>
                  <w:vAlign w:val="center"/>
                </w:tcPr>
                <w:p w14:paraId="399DA5DC">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2</w:t>
                  </w:r>
                </w:p>
              </w:tc>
              <w:tc>
                <w:tcPr>
                  <w:tcW w:w="879" w:type="dxa"/>
                  <w:tcBorders>
                    <w:tl2br w:val="nil"/>
                    <w:tr2bl w:val="nil"/>
                  </w:tcBorders>
                  <w:shd w:val="clear" w:color="auto" w:fill="auto"/>
                  <w:vAlign w:val="center"/>
                </w:tcPr>
                <w:p w14:paraId="3C8B73DF">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化分室</w:t>
                  </w:r>
                </w:p>
              </w:tc>
            </w:tr>
            <w:tr w14:paraId="708033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3DB98EA">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480A90B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rPr>
                  </w:pPr>
                  <w:r>
                    <w:rPr>
                      <w:rFonts w:hint="eastAsia" w:ascii="宋体" w:hAnsi="宋体" w:eastAsia="宋体" w:cs="宋体"/>
                      <w:i w:val="0"/>
                      <w:iCs w:val="0"/>
                      <w:color w:val="000000"/>
                      <w:kern w:val="0"/>
                      <w:sz w:val="20"/>
                      <w:szCs w:val="20"/>
                      <w:u w:val="none"/>
                      <w:lang w:val="en-US" w:eastAsia="zh-CN" w:bidi="ar"/>
                    </w:rPr>
                    <w:t>恒温恒湿培养箱</w:t>
                  </w:r>
                </w:p>
              </w:tc>
              <w:tc>
                <w:tcPr>
                  <w:tcW w:w="1320" w:type="dxa"/>
                  <w:tcBorders>
                    <w:tl2br w:val="nil"/>
                    <w:tr2bl w:val="nil"/>
                  </w:tcBorders>
                  <w:shd w:val="clear" w:color="auto" w:fill="auto"/>
                  <w:vAlign w:val="center"/>
                </w:tcPr>
                <w:p w14:paraId="7893C131">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WS250</w:t>
                  </w:r>
                  <w:r>
                    <w:rPr>
                      <w:rFonts w:hint="eastAsia" w:ascii="宋体" w:hAnsi="宋体" w:eastAsia="宋体" w:cs="宋体"/>
                      <w:i w:val="0"/>
                      <w:iCs w:val="0"/>
                      <w:color w:val="000000"/>
                      <w:kern w:val="0"/>
                      <w:sz w:val="20"/>
                      <w:szCs w:val="20"/>
                      <w:u w:val="none"/>
                      <w:lang w:val="en-US" w:eastAsia="zh-CN" w:bidi="ar"/>
                    </w:rPr>
                    <w:t>Ⅲ</w:t>
                  </w:r>
                </w:p>
              </w:tc>
              <w:tc>
                <w:tcPr>
                  <w:tcW w:w="1102" w:type="dxa"/>
                  <w:tcBorders>
                    <w:tl2br w:val="nil"/>
                    <w:tr2bl w:val="nil"/>
                  </w:tcBorders>
                  <w:shd w:val="clear" w:color="auto" w:fill="auto"/>
                  <w:vAlign w:val="center"/>
                </w:tcPr>
                <w:p w14:paraId="7821C1EE">
                  <w:pPr>
                    <w:jc w:val="center"/>
                    <w:rPr>
                      <w:rFonts w:hint="default" w:ascii="Times New Roman" w:hAnsi="Times New Roman" w:cs="Times New Roman"/>
                      <w:color w:val="auto"/>
                      <w:spacing w:val="-1"/>
                      <w:sz w:val="21"/>
                      <w:szCs w:val="21"/>
                      <w:highlight w:val="none"/>
                      <w:lang w:val="en-US" w:eastAsia="zh-CN"/>
                    </w:rPr>
                  </w:pPr>
                  <w:r>
                    <w:rPr>
                      <w:rFonts w:hint="eastAsia" w:ascii="Times New Roman" w:hAnsi="Times New Roman" w:cs="Times New Roman"/>
                      <w:color w:val="auto"/>
                      <w:spacing w:val="-1"/>
                      <w:sz w:val="21"/>
                      <w:szCs w:val="21"/>
                      <w:highlight w:val="none"/>
                      <w:lang w:val="en-US" w:eastAsia="zh-CN"/>
                    </w:rPr>
                    <w:t>0</w:t>
                  </w:r>
                </w:p>
              </w:tc>
              <w:tc>
                <w:tcPr>
                  <w:tcW w:w="1146" w:type="dxa"/>
                  <w:tcBorders>
                    <w:tl2br w:val="nil"/>
                    <w:tr2bl w:val="nil"/>
                  </w:tcBorders>
                  <w:shd w:val="clear" w:color="auto" w:fill="auto"/>
                  <w:vAlign w:val="center"/>
                </w:tcPr>
                <w:p w14:paraId="2C88DA8C">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79327C90">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cs="Times New Roman"/>
                      <w:color w:val="auto"/>
                      <w:spacing w:val="-1"/>
                      <w:sz w:val="21"/>
                      <w:szCs w:val="21"/>
                      <w:highlight w:val="none"/>
                      <w:lang w:val="en-US" w:eastAsia="zh-CN"/>
                    </w:rPr>
                    <w:t>1</w:t>
                  </w:r>
                </w:p>
              </w:tc>
              <w:tc>
                <w:tcPr>
                  <w:tcW w:w="879" w:type="dxa"/>
                  <w:tcBorders>
                    <w:tl2br w:val="nil"/>
                    <w:tr2bl w:val="nil"/>
                  </w:tcBorders>
                  <w:shd w:val="clear" w:color="auto" w:fill="auto"/>
                  <w:vAlign w:val="center"/>
                </w:tcPr>
                <w:p w14:paraId="61B7EC94">
                  <w:pPr>
                    <w:keepNext w:val="0"/>
                    <w:keepLines w:val="0"/>
                    <w:widowControl/>
                    <w:suppressLineNumbers w:val="0"/>
                    <w:jc w:val="center"/>
                    <w:textAlignment w:val="center"/>
                    <w:rPr>
                      <w:rFonts w:hint="default" w:ascii="Times New Roman" w:hAnsi="Times New Roman" w:cs="Times New Roman"/>
                      <w:color w:val="auto"/>
                      <w:spacing w:val="-1"/>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化分室</w:t>
                  </w:r>
                </w:p>
              </w:tc>
            </w:tr>
            <w:tr w14:paraId="6089A3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3BAE4508">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5D87ACA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多参数分析仪</w:t>
                  </w:r>
                </w:p>
              </w:tc>
              <w:tc>
                <w:tcPr>
                  <w:tcW w:w="1320" w:type="dxa"/>
                  <w:tcBorders>
                    <w:tl2br w:val="nil"/>
                    <w:tr2bl w:val="nil"/>
                  </w:tcBorders>
                  <w:shd w:val="clear" w:color="auto" w:fill="auto"/>
                  <w:vAlign w:val="center"/>
                </w:tcPr>
                <w:p w14:paraId="1331024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DZS-706</w:t>
                  </w:r>
                  <w:r>
                    <w:rPr>
                      <w:rFonts w:hint="eastAsia" w:ascii="宋体" w:hAnsi="宋体" w:eastAsia="宋体" w:cs="宋体"/>
                      <w:i w:val="0"/>
                      <w:iCs w:val="0"/>
                      <w:color w:val="000000"/>
                      <w:kern w:val="0"/>
                      <w:sz w:val="20"/>
                      <w:szCs w:val="20"/>
                      <w:u w:val="none"/>
                      <w:lang w:val="en-US" w:eastAsia="zh-CN" w:bidi="ar"/>
                    </w:rPr>
                    <w:t>型</w:t>
                  </w:r>
                </w:p>
              </w:tc>
              <w:tc>
                <w:tcPr>
                  <w:tcW w:w="1102" w:type="dxa"/>
                  <w:tcBorders>
                    <w:tl2br w:val="nil"/>
                    <w:tr2bl w:val="nil"/>
                  </w:tcBorders>
                  <w:shd w:val="clear" w:color="auto" w:fill="auto"/>
                  <w:vAlign w:val="center"/>
                </w:tcPr>
                <w:p w14:paraId="21245822">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7D0AECFD">
                  <w:pPr>
                    <w:jc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Times New Roman" w:hAnsi="Times New Roman" w:eastAsia="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0EA3D60D">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2</w:t>
                  </w:r>
                </w:p>
              </w:tc>
              <w:tc>
                <w:tcPr>
                  <w:tcW w:w="879" w:type="dxa"/>
                  <w:tcBorders>
                    <w:tl2br w:val="nil"/>
                    <w:tr2bl w:val="nil"/>
                  </w:tcBorders>
                  <w:shd w:val="clear" w:color="auto" w:fill="auto"/>
                  <w:vAlign w:val="center"/>
                </w:tcPr>
                <w:p w14:paraId="58136CF2">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化分室</w:t>
                  </w:r>
                </w:p>
              </w:tc>
            </w:tr>
            <w:tr w14:paraId="40645D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2645A2E">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4ECAECC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余氯和总氯水质分析仪</w:t>
                  </w:r>
                </w:p>
              </w:tc>
              <w:tc>
                <w:tcPr>
                  <w:tcW w:w="1320" w:type="dxa"/>
                  <w:tcBorders>
                    <w:tl2br w:val="nil"/>
                    <w:tr2bl w:val="nil"/>
                  </w:tcBorders>
                  <w:shd w:val="clear" w:color="auto" w:fill="auto"/>
                  <w:vAlign w:val="center"/>
                </w:tcPr>
                <w:p w14:paraId="5E97225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PCII</w:t>
                  </w:r>
                </w:p>
              </w:tc>
              <w:tc>
                <w:tcPr>
                  <w:tcW w:w="1102" w:type="dxa"/>
                  <w:tcBorders>
                    <w:tl2br w:val="nil"/>
                    <w:tr2bl w:val="nil"/>
                  </w:tcBorders>
                  <w:shd w:val="clear" w:color="auto" w:fill="auto"/>
                  <w:vAlign w:val="center"/>
                </w:tcPr>
                <w:p w14:paraId="7C72D12E">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37658DAD">
                  <w:pPr>
                    <w:jc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Times New Roman" w:hAnsi="Times New Roman" w:eastAsia="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27C837A2">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2</w:t>
                  </w:r>
                </w:p>
              </w:tc>
              <w:tc>
                <w:tcPr>
                  <w:tcW w:w="879" w:type="dxa"/>
                  <w:tcBorders>
                    <w:tl2br w:val="nil"/>
                    <w:tr2bl w:val="nil"/>
                  </w:tcBorders>
                  <w:shd w:val="clear" w:color="auto" w:fill="auto"/>
                  <w:vAlign w:val="center"/>
                </w:tcPr>
                <w:p w14:paraId="7F58E81F">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化分室</w:t>
                  </w:r>
                </w:p>
              </w:tc>
            </w:tr>
            <w:tr w14:paraId="76AA4D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36AA0C31">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C1CAB7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恒温摇床</w:t>
                  </w:r>
                </w:p>
              </w:tc>
              <w:tc>
                <w:tcPr>
                  <w:tcW w:w="1320" w:type="dxa"/>
                  <w:tcBorders>
                    <w:tl2br w:val="nil"/>
                    <w:tr2bl w:val="nil"/>
                  </w:tcBorders>
                  <w:shd w:val="clear" w:color="auto" w:fill="auto"/>
                  <w:vAlign w:val="center"/>
                </w:tcPr>
                <w:p w14:paraId="4FC18CF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TC-112B</w:t>
                  </w:r>
                </w:p>
              </w:tc>
              <w:tc>
                <w:tcPr>
                  <w:tcW w:w="1102" w:type="dxa"/>
                  <w:tcBorders>
                    <w:tl2br w:val="nil"/>
                    <w:tr2bl w:val="nil"/>
                  </w:tcBorders>
                  <w:shd w:val="clear" w:color="auto" w:fill="auto"/>
                  <w:vAlign w:val="center"/>
                </w:tcPr>
                <w:p w14:paraId="3DF2DB32">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183A156F">
                  <w:pPr>
                    <w:jc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Times New Roman" w:hAnsi="Times New Roman" w:eastAsia="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47CA94AA">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099CCC80">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化分室</w:t>
                  </w:r>
                </w:p>
              </w:tc>
            </w:tr>
            <w:tr w14:paraId="0BEB39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0769F0F2">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449A756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便携式</w:t>
                  </w:r>
                  <w:r>
                    <w:rPr>
                      <w:rFonts w:hint="default" w:ascii="Times New Roman" w:hAnsi="Times New Roman" w:eastAsia="宋体" w:cs="Times New Roman"/>
                      <w:i w:val="0"/>
                      <w:iCs w:val="0"/>
                      <w:color w:val="000000"/>
                      <w:kern w:val="0"/>
                      <w:sz w:val="20"/>
                      <w:szCs w:val="20"/>
                      <w:u w:val="none"/>
                      <w:lang w:val="en-US" w:eastAsia="zh-CN" w:bidi="ar"/>
                    </w:rPr>
                    <w:t>pH</w:t>
                  </w:r>
                  <w:r>
                    <w:rPr>
                      <w:rFonts w:hint="eastAsia" w:ascii="宋体" w:hAnsi="宋体" w:eastAsia="宋体" w:cs="宋体"/>
                      <w:i w:val="0"/>
                      <w:iCs w:val="0"/>
                      <w:color w:val="000000"/>
                      <w:kern w:val="0"/>
                      <w:sz w:val="20"/>
                      <w:szCs w:val="20"/>
                      <w:u w:val="none"/>
                      <w:lang w:val="en-US" w:eastAsia="zh-CN" w:bidi="ar"/>
                    </w:rPr>
                    <w:t>计</w:t>
                  </w:r>
                </w:p>
              </w:tc>
              <w:tc>
                <w:tcPr>
                  <w:tcW w:w="1320" w:type="dxa"/>
                  <w:tcBorders>
                    <w:tl2br w:val="nil"/>
                    <w:tr2bl w:val="nil"/>
                  </w:tcBorders>
                  <w:shd w:val="clear" w:color="auto" w:fill="auto"/>
                  <w:vAlign w:val="center"/>
                </w:tcPr>
                <w:p w14:paraId="4339FB4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PHBJ-260</w:t>
                  </w:r>
                </w:p>
              </w:tc>
              <w:tc>
                <w:tcPr>
                  <w:tcW w:w="1102" w:type="dxa"/>
                  <w:tcBorders>
                    <w:tl2br w:val="nil"/>
                    <w:tr2bl w:val="nil"/>
                  </w:tcBorders>
                  <w:shd w:val="clear" w:color="auto" w:fill="auto"/>
                  <w:vAlign w:val="center"/>
                </w:tcPr>
                <w:p w14:paraId="6AE48BF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527B0E77">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3726C504">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879" w:type="dxa"/>
                  <w:tcBorders>
                    <w:tl2br w:val="nil"/>
                    <w:tr2bl w:val="nil"/>
                  </w:tcBorders>
                  <w:shd w:val="clear" w:color="auto" w:fill="auto"/>
                  <w:vAlign w:val="center"/>
                </w:tcPr>
                <w:p w14:paraId="494ABB0D">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化分室</w:t>
                  </w:r>
                </w:p>
              </w:tc>
            </w:tr>
            <w:tr w14:paraId="3DCED1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49757975">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1F2B977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便携式浊度计</w:t>
                  </w:r>
                </w:p>
              </w:tc>
              <w:tc>
                <w:tcPr>
                  <w:tcW w:w="1320" w:type="dxa"/>
                  <w:tcBorders>
                    <w:tl2br w:val="nil"/>
                    <w:tr2bl w:val="nil"/>
                  </w:tcBorders>
                  <w:shd w:val="clear" w:color="auto" w:fill="auto"/>
                  <w:vAlign w:val="center"/>
                </w:tcPr>
                <w:p w14:paraId="7AC8D43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WZB-171</w:t>
                  </w:r>
                </w:p>
              </w:tc>
              <w:tc>
                <w:tcPr>
                  <w:tcW w:w="1102" w:type="dxa"/>
                  <w:tcBorders>
                    <w:tl2br w:val="nil"/>
                    <w:tr2bl w:val="nil"/>
                  </w:tcBorders>
                  <w:shd w:val="clear" w:color="auto" w:fill="auto"/>
                  <w:vAlign w:val="center"/>
                </w:tcPr>
                <w:p w14:paraId="2E6F404A">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6DB9976B">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619BF79A">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2</w:t>
                  </w:r>
                </w:p>
              </w:tc>
              <w:tc>
                <w:tcPr>
                  <w:tcW w:w="879" w:type="dxa"/>
                  <w:tcBorders>
                    <w:tl2br w:val="nil"/>
                    <w:tr2bl w:val="nil"/>
                  </w:tcBorders>
                  <w:shd w:val="clear" w:color="auto" w:fill="auto"/>
                  <w:vAlign w:val="center"/>
                </w:tcPr>
                <w:p w14:paraId="769A9853">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化分室</w:t>
                  </w:r>
                </w:p>
              </w:tc>
            </w:tr>
            <w:tr w14:paraId="474D7E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3EE5C72">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C525A6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电热恒温水浴锅</w:t>
                  </w:r>
                </w:p>
              </w:tc>
              <w:tc>
                <w:tcPr>
                  <w:tcW w:w="1320" w:type="dxa"/>
                  <w:tcBorders>
                    <w:tl2br w:val="nil"/>
                    <w:tr2bl w:val="nil"/>
                  </w:tcBorders>
                  <w:shd w:val="clear" w:color="auto" w:fill="auto"/>
                  <w:vAlign w:val="center"/>
                </w:tcPr>
                <w:p w14:paraId="79DA434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 xml:space="preserve">DZKW-S-6 </w:t>
                  </w:r>
                </w:p>
              </w:tc>
              <w:tc>
                <w:tcPr>
                  <w:tcW w:w="1102" w:type="dxa"/>
                  <w:tcBorders>
                    <w:tl2br w:val="nil"/>
                    <w:tr2bl w:val="nil"/>
                  </w:tcBorders>
                  <w:shd w:val="clear" w:color="auto" w:fill="auto"/>
                  <w:vAlign w:val="center"/>
                </w:tcPr>
                <w:p w14:paraId="78F2538B">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5AA40706">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37955706">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77A33DBA">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化分室</w:t>
                  </w:r>
                </w:p>
              </w:tc>
            </w:tr>
            <w:tr w14:paraId="5BF81B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294CA945">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696F5A6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数显恒温水浴锅</w:t>
                  </w:r>
                </w:p>
              </w:tc>
              <w:tc>
                <w:tcPr>
                  <w:tcW w:w="1320" w:type="dxa"/>
                  <w:tcBorders>
                    <w:tl2br w:val="nil"/>
                    <w:tr2bl w:val="nil"/>
                  </w:tcBorders>
                  <w:shd w:val="clear" w:color="auto" w:fill="auto"/>
                  <w:vAlign w:val="center"/>
                </w:tcPr>
                <w:p w14:paraId="4A9ECD4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HH-8</w:t>
                  </w:r>
                </w:p>
              </w:tc>
              <w:tc>
                <w:tcPr>
                  <w:tcW w:w="1102" w:type="dxa"/>
                  <w:tcBorders>
                    <w:tl2br w:val="nil"/>
                    <w:tr2bl w:val="nil"/>
                  </w:tcBorders>
                  <w:shd w:val="clear" w:color="auto" w:fill="auto"/>
                  <w:vAlign w:val="center"/>
                </w:tcPr>
                <w:p w14:paraId="4E0495B8">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5A34BB1B">
                  <w:pPr>
                    <w:jc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Times New Roman" w:hAnsi="Times New Roman" w:eastAsia="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35C4DF88">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363FDE4A">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化分室</w:t>
                  </w:r>
                </w:p>
              </w:tc>
            </w:tr>
            <w:tr w14:paraId="7EDE4E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33F1F75D">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28CAE91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标准COD消解器</w:t>
                  </w:r>
                </w:p>
              </w:tc>
              <w:tc>
                <w:tcPr>
                  <w:tcW w:w="1320" w:type="dxa"/>
                  <w:tcBorders>
                    <w:tl2br w:val="nil"/>
                    <w:tr2bl w:val="nil"/>
                  </w:tcBorders>
                  <w:shd w:val="clear" w:color="auto" w:fill="auto"/>
                  <w:vAlign w:val="center"/>
                </w:tcPr>
                <w:p w14:paraId="41E6D00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HCA-100</w:t>
                  </w:r>
                </w:p>
              </w:tc>
              <w:tc>
                <w:tcPr>
                  <w:tcW w:w="1102" w:type="dxa"/>
                  <w:tcBorders>
                    <w:tl2br w:val="nil"/>
                    <w:tr2bl w:val="nil"/>
                  </w:tcBorders>
                  <w:shd w:val="clear" w:color="auto" w:fill="auto"/>
                  <w:vAlign w:val="center"/>
                </w:tcPr>
                <w:p w14:paraId="13A35593">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40977DF7">
                  <w:pPr>
                    <w:jc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Times New Roman" w:hAnsi="Times New Roman" w:eastAsia="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4F5B25D8">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2</w:t>
                  </w:r>
                </w:p>
              </w:tc>
              <w:tc>
                <w:tcPr>
                  <w:tcW w:w="879" w:type="dxa"/>
                  <w:tcBorders>
                    <w:tl2br w:val="nil"/>
                    <w:tr2bl w:val="nil"/>
                  </w:tcBorders>
                  <w:shd w:val="clear" w:color="auto" w:fill="auto"/>
                  <w:vAlign w:val="center"/>
                </w:tcPr>
                <w:p w14:paraId="0C2CCB0B">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化分室</w:t>
                  </w:r>
                </w:p>
              </w:tc>
            </w:tr>
            <w:tr w14:paraId="674B04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68DAA76">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23F468F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蒸馏一体机</w:t>
                  </w:r>
                </w:p>
              </w:tc>
              <w:tc>
                <w:tcPr>
                  <w:tcW w:w="1320" w:type="dxa"/>
                  <w:tcBorders>
                    <w:tl2br w:val="nil"/>
                    <w:tr2bl w:val="nil"/>
                  </w:tcBorders>
                  <w:shd w:val="clear" w:color="auto" w:fill="auto"/>
                  <w:vAlign w:val="center"/>
                </w:tcPr>
                <w:p w14:paraId="0A8E1319">
                  <w:pPr>
                    <w:jc w:val="center"/>
                    <w:rPr>
                      <w:rFonts w:hint="default" w:ascii="Times New Roman" w:hAnsi="Times New Roman" w:eastAsia="宋体" w:cs="Times New Roman"/>
                      <w:color w:val="auto"/>
                      <w:kern w:val="0"/>
                      <w:sz w:val="21"/>
                      <w:szCs w:val="21"/>
                      <w:highlight w:val="none"/>
                      <w:lang w:val="en-US" w:eastAsia="zh-CN" w:bidi="ar-SA"/>
                    </w:rPr>
                  </w:pPr>
                </w:p>
              </w:tc>
              <w:tc>
                <w:tcPr>
                  <w:tcW w:w="1102" w:type="dxa"/>
                  <w:tcBorders>
                    <w:tl2br w:val="nil"/>
                    <w:tr2bl w:val="nil"/>
                  </w:tcBorders>
                  <w:shd w:val="clear" w:color="auto" w:fill="auto"/>
                  <w:vAlign w:val="center"/>
                </w:tcPr>
                <w:p w14:paraId="74D4AF99">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0E85A66B">
                  <w:pPr>
                    <w:jc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Times New Roman" w:hAnsi="Times New Roman" w:eastAsia="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7351DDEE">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0A206956">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化分室</w:t>
                  </w:r>
                </w:p>
              </w:tc>
            </w:tr>
            <w:tr w14:paraId="32EF11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0784A8E">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5EAFA5F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原子荧光光度计</w:t>
                  </w:r>
                </w:p>
              </w:tc>
              <w:tc>
                <w:tcPr>
                  <w:tcW w:w="1320" w:type="dxa"/>
                  <w:tcBorders>
                    <w:tl2br w:val="nil"/>
                    <w:tr2bl w:val="nil"/>
                  </w:tcBorders>
                  <w:shd w:val="clear" w:color="auto" w:fill="auto"/>
                  <w:vAlign w:val="center"/>
                </w:tcPr>
                <w:p w14:paraId="342D469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AFS-8220</w:t>
                  </w:r>
                  <w:r>
                    <w:rPr>
                      <w:rFonts w:hint="eastAsia" w:ascii="宋体" w:hAnsi="宋体" w:eastAsia="宋体" w:cs="宋体"/>
                      <w:i w:val="0"/>
                      <w:iCs w:val="0"/>
                      <w:color w:val="000000"/>
                      <w:kern w:val="0"/>
                      <w:sz w:val="20"/>
                      <w:szCs w:val="20"/>
                      <w:u w:val="none"/>
                      <w:lang w:val="en-US" w:eastAsia="zh-CN" w:bidi="ar"/>
                    </w:rPr>
                    <w:t>型</w:t>
                  </w:r>
                </w:p>
              </w:tc>
              <w:tc>
                <w:tcPr>
                  <w:tcW w:w="1102" w:type="dxa"/>
                  <w:tcBorders>
                    <w:tl2br w:val="nil"/>
                    <w:tr2bl w:val="nil"/>
                  </w:tcBorders>
                  <w:shd w:val="clear" w:color="auto" w:fill="auto"/>
                  <w:vAlign w:val="center"/>
                </w:tcPr>
                <w:p w14:paraId="2DE4D27B">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6FFF59C4">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62C817E0">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2</w:t>
                  </w:r>
                </w:p>
              </w:tc>
              <w:tc>
                <w:tcPr>
                  <w:tcW w:w="879" w:type="dxa"/>
                  <w:tcBorders>
                    <w:tl2br w:val="nil"/>
                    <w:tr2bl w:val="nil"/>
                  </w:tcBorders>
                  <w:shd w:val="clear" w:color="auto" w:fill="auto"/>
                  <w:vAlign w:val="center"/>
                </w:tcPr>
                <w:p w14:paraId="1A9DFDC4">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原吸室</w:t>
                  </w:r>
                </w:p>
              </w:tc>
            </w:tr>
            <w:tr w14:paraId="465301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0DC2BA2D">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752EFE7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原子吸收分光光度计</w:t>
                  </w:r>
                </w:p>
              </w:tc>
              <w:tc>
                <w:tcPr>
                  <w:tcW w:w="1320" w:type="dxa"/>
                  <w:tcBorders>
                    <w:tl2br w:val="nil"/>
                    <w:tr2bl w:val="nil"/>
                  </w:tcBorders>
                  <w:shd w:val="clear" w:color="auto" w:fill="auto"/>
                  <w:vAlign w:val="center"/>
                </w:tcPr>
                <w:p w14:paraId="4C6076E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4530F/4510GF</w:t>
                  </w:r>
                </w:p>
              </w:tc>
              <w:tc>
                <w:tcPr>
                  <w:tcW w:w="1102" w:type="dxa"/>
                  <w:tcBorders>
                    <w:tl2br w:val="nil"/>
                    <w:tr2bl w:val="nil"/>
                  </w:tcBorders>
                  <w:shd w:val="clear" w:color="auto" w:fill="auto"/>
                  <w:vAlign w:val="center"/>
                </w:tcPr>
                <w:p w14:paraId="5B846984">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60E37F47">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76A44580">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eastAsia="Times New Roman" w:cs="Times New Roman"/>
                      <w:color w:val="auto"/>
                      <w:kern w:val="2"/>
                      <w:sz w:val="21"/>
                      <w:szCs w:val="21"/>
                      <w:highlight w:val="none"/>
                      <w:lang w:val="en-US" w:eastAsia="zh-CN" w:bidi="ar-SA"/>
                    </w:rPr>
                    <w:t>2</w:t>
                  </w:r>
                </w:p>
              </w:tc>
              <w:tc>
                <w:tcPr>
                  <w:tcW w:w="879" w:type="dxa"/>
                  <w:tcBorders>
                    <w:tl2br w:val="nil"/>
                    <w:tr2bl w:val="nil"/>
                  </w:tcBorders>
                  <w:shd w:val="clear" w:color="auto" w:fill="auto"/>
                  <w:vAlign w:val="center"/>
                </w:tcPr>
                <w:p w14:paraId="0F2A55CD">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原吸室</w:t>
                  </w:r>
                </w:p>
              </w:tc>
            </w:tr>
            <w:tr w14:paraId="1C2252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291C1ED0">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6501F6B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重金属消解仪</w:t>
                  </w:r>
                </w:p>
              </w:tc>
              <w:tc>
                <w:tcPr>
                  <w:tcW w:w="1320" w:type="dxa"/>
                  <w:tcBorders>
                    <w:tl2br w:val="nil"/>
                    <w:tr2bl w:val="nil"/>
                  </w:tcBorders>
                  <w:shd w:val="clear" w:color="auto" w:fill="auto"/>
                  <w:vAlign w:val="center"/>
                </w:tcPr>
                <w:p w14:paraId="005FEAD9">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1102" w:type="dxa"/>
                  <w:tcBorders>
                    <w:tl2br w:val="nil"/>
                    <w:tr2bl w:val="nil"/>
                  </w:tcBorders>
                  <w:shd w:val="clear" w:color="auto" w:fill="auto"/>
                  <w:vAlign w:val="center"/>
                </w:tcPr>
                <w:p w14:paraId="61622D5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5D8A205A">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45B1E252">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361198B9">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原吸室</w:t>
                  </w:r>
                </w:p>
              </w:tc>
            </w:tr>
            <w:tr w14:paraId="7D7856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5B489D76">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2F75F6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赶酸仪</w:t>
                  </w:r>
                </w:p>
              </w:tc>
              <w:tc>
                <w:tcPr>
                  <w:tcW w:w="1320" w:type="dxa"/>
                  <w:tcBorders>
                    <w:tl2br w:val="nil"/>
                    <w:tr2bl w:val="nil"/>
                  </w:tcBorders>
                  <w:shd w:val="clear" w:color="auto" w:fill="auto"/>
                  <w:vAlign w:val="center"/>
                </w:tcPr>
                <w:p w14:paraId="4C28B500">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1102" w:type="dxa"/>
                  <w:tcBorders>
                    <w:tl2br w:val="nil"/>
                    <w:tr2bl w:val="nil"/>
                  </w:tcBorders>
                  <w:shd w:val="clear" w:color="auto" w:fill="auto"/>
                  <w:vAlign w:val="center"/>
                </w:tcPr>
                <w:p w14:paraId="214DCF6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68016CFC">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20B32815">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6F1F1CAE">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原吸室</w:t>
                  </w:r>
                </w:p>
              </w:tc>
            </w:tr>
            <w:tr w14:paraId="5607AA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6E35DC8C">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755E999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环境氡测量仪</w:t>
                  </w:r>
                </w:p>
              </w:tc>
              <w:tc>
                <w:tcPr>
                  <w:tcW w:w="1320" w:type="dxa"/>
                  <w:tcBorders>
                    <w:tl2br w:val="nil"/>
                    <w:tr2bl w:val="nil"/>
                  </w:tcBorders>
                  <w:shd w:val="clear" w:color="auto" w:fill="auto"/>
                  <w:vAlign w:val="center"/>
                </w:tcPr>
                <w:p w14:paraId="01023F9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FD216</w:t>
                  </w:r>
                </w:p>
              </w:tc>
              <w:tc>
                <w:tcPr>
                  <w:tcW w:w="1102" w:type="dxa"/>
                  <w:tcBorders>
                    <w:tl2br w:val="nil"/>
                    <w:tr2bl w:val="nil"/>
                  </w:tcBorders>
                  <w:shd w:val="clear" w:color="auto" w:fill="auto"/>
                  <w:vAlign w:val="center"/>
                </w:tcPr>
                <w:p w14:paraId="01BD729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00BC9F2B">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0</w:t>
                  </w:r>
                </w:p>
              </w:tc>
              <w:tc>
                <w:tcPr>
                  <w:tcW w:w="1080" w:type="dxa"/>
                  <w:tcBorders>
                    <w:tl2br w:val="nil"/>
                    <w:tr2bl w:val="nil"/>
                  </w:tcBorders>
                  <w:shd w:val="clear" w:color="auto" w:fill="auto"/>
                  <w:vAlign w:val="center"/>
                </w:tcPr>
                <w:p w14:paraId="03B37955">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879" w:type="dxa"/>
                  <w:tcBorders>
                    <w:tl2br w:val="nil"/>
                    <w:tr2bl w:val="nil"/>
                  </w:tcBorders>
                  <w:shd w:val="clear" w:color="auto" w:fill="auto"/>
                  <w:vAlign w:val="center"/>
                </w:tcPr>
                <w:p w14:paraId="40FEB516">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29E7FF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4FCF3633">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745592E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便携式红外线分析器（</w:t>
                  </w:r>
                  <w:r>
                    <w:rPr>
                      <w:rFonts w:hint="default" w:ascii="Times New Roman" w:hAnsi="Times New Roman" w:eastAsia="宋体" w:cs="Times New Roman"/>
                      <w:i w:val="0"/>
                      <w:iCs w:val="0"/>
                      <w:color w:val="000000"/>
                      <w:kern w:val="0"/>
                      <w:sz w:val="20"/>
                      <w:szCs w:val="20"/>
                      <w:u w:val="none"/>
                      <w:lang w:val="en-US" w:eastAsia="zh-CN" w:bidi="ar"/>
                    </w:rPr>
                    <w:t>CO</w:t>
                  </w:r>
                  <w:r>
                    <w:rPr>
                      <w:rFonts w:hint="eastAsia" w:ascii="宋体" w:hAnsi="宋体" w:eastAsia="宋体" w:cs="宋体"/>
                      <w:i w:val="0"/>
                      <w:iCs w:val="0"/>
                      <w:color w:val="000000"/>
                      <w:kern w:val="0"/>
                      <w:sz w:val="20"/>
                      <w:szCs w:val="20"/>
                      <w:u w:val="none"/>
                      <w:lang w:val="en-US" w:eastAsia="zh-CN" w:bidi="ar"/>
                    </w:rPr>
                    <w:t>）</w:t>
                  </w:r>
                </w:p>
              </w:tc>
              <w:tc>
                <w:tcPr>
                  <w:tcW w:w="1320" w:type="dxa"/>
                  <w:tcBorders>
                    <w:tl2br w:val="nil"/>
                    <w:tr2bl w:val="nil"/>
                  </w:tcBorders>
                  <w:shd w:val="clear" w:color="auto" w:fill="auto"/>
                  <w:vAlign w:val="center"/>
                </w:tcPr>
                <w:p w14:paraId="6A8E2B2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GXH-3011/</w:t>
                  </w:r>
                  <w:r>
                    <w:rPr>
                      <w:rFonts w:hint="eastAsia" w:ascii="宋体" w:hAnsi="宋体" w:eastAsia="宋体" w:cs="宋体"/>
                      <w:i w:val="0"/>
                      <w:iCs w:val="0"/>
                      <w:color w:val="000000"/>
                      <w:kern w:val="0"/>
                      <w:sz w:val="20"/>
                      <w:szCs w:val="20"/>
                      <w:u w:val="none"/>
                      <w:lang w:val="en-US" w:eastAsia="zh-CN" w:bidi="ar"/>
                    </w:rPr>
                    <w:t>二级</w:t>
                  </w:r>
                </w:p>
              </w:tc>
              <w:tc>
                <w:tcPr>
                  <w:tcW w:w="1102" w:type="dxa"/>
                  <w:tcBorders>
                    <w:tl2br w:val="nil"/>
                    <w:tr2bl w:val="nil"/>
                  </w:tcBorders>
                  <w:shd w:val="clear" w:color="auto" w:fill="auto"/>
                  <w:vAlign w:val="center"/>
                </w:tcPr>
                <w:p w14:paraId="3A70B8E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69400272">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6CB10877">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3EDA5558">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29852E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832A0F3">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25600D1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便携式红外线分析器（</w:t>
                  </w:r>
                  <w:r>
                    <w:rPr>
                      <w:rFonts w:hint="default" w:ascii="Times New Roman" w:hAnsi="Times New Roman" w:eastAsia="宋体" w:cs="Times New Roman"/>
                      <w:i w:val="0"/>
                      <w:iCs w:val="0"/>
                      <w:color w:val="000000"/>
                      <w:kern w:val="0"/>
                      <w:sz w:val="20"/>
                      <w:szCs w:val="20"/>
                      <w:u w:val="none"/>
                      <w:lang w:val="en-US" w:eastAsia="zh-CN" w:bidi="ar"/>
                    </w:rPr>
                    <w:t>CO</w:t>
                  </w:r>
                  <w:r>
                    <w:rPr>
                      <w:rStyle w:val="54"/>
                      <w:rFonts w:eastAsia="宋体"/>
                      <w:lang w:val="en-US" w:eastAsia="zh-CN" w:bidi="ar"/>
                    </w:rPr>
                    <w:t>2</w:t>
                  </w:r>
                  <w:r>
                    <w:rPr>
                      <w:rFonts w:hint="eastAsia" w:ascii="宋体" w:hAnsi="宋体" w:eastAsia="宋体" w:cs="宋体"/>
                      <w:i w:val="0"/>
                      <w:iCs w:val="0"/>
                      <w:color w:val="000000"/>
                      <w:kern w:val="0"/>
                      <w:sz w:val="20"/>
                      <w:szCs w:val="20"/>
                      <w:u w:val="none"/>
                      <w:lang w:val="en-US" w:eastAsia="zh-CN" w:bidi="ar"/>
                    </w:rPr>
                    <w:t>）</w:t>
                  </w:r>
                </w:p>
              </w:tc>
              <w:tc>
                <w:tcPr>
                  <w:tcW w:w="1320" w:type="dxa"/>
                  <w:tcBorders>
                    <w:tl2br w:val="nil"/>
                    <w:tr2bl w:val="nil"/>
                  </w:tcBorders>
                  <w:shd w:val="clear" w:color="auto" w:fill="auto"/>
                  <w:vAlign w:val="center"/>
                </w:tcPr>
                <w:p w14:paraId="30C112B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GXH-3010D/</w:t>
                  </w:r>
                  <w:r>
                    <w:rPr>
                      <w:rFonts w:hint="eastAsia" w:ascii="宋体" w:hAnsi="宋体" w:eastAsia="宋体" w:cs="宋体"/>
                      <w:i w:val="0"/>
                      <w:iCs w:val="0"/>
                      <w:color w:val="000000"/>
                      <w:kern w:val="0"/>
                      <w:sz w:val="20"/>
                      <w:szCs w:val="20"/>
                      <w:u w:val="none"/>
                      <w:lang w:val="en-US" w:eastAsia="zh-CN" w:bidi="ar"/>
                    </w:rPr>
                    <w:t>二级</w:t>
                  </w:r>
                </w:p>
              </w:tc>
              <w:tc>
                <w:tcPr>
                  <w:tcW w:w="1102" w:type="dxa"/>
                  <w:tcBorders>
                    <w:tl2br w:val="nil"/>
                    <w:tr2bl w:val="nil"/>
                  </w:tcBorders>
                  <w:shd w:val="clear" w:color="auto" w:fill="auto"/>
                  <w:vAlign w:val="center"/>
                </w:tcPr>
                <w:p w14:paraId="38C8656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32C1A6A7">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01ABB0DC">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54D62584">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4762C0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46322B4E">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2EF7D2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声校准器</w:t>
                  </w:r>
                </w:p>
              </w:tc>
              <w:tc>
                <w:tcPr>
                  <w:tcW w:w="1320" w:type="dxa"/>
                  <w:tcBorders>
                    <w:tl2br w:val="nil"/>
                    <w:tr2bl w:val="nil"/>
                  </w:tcBorders>
                  <w:shd w:val="clear" w:color="auto" w:fill="auto"/>
                  <w:vAlign w:val="center"/>
                </w:tcPr>
                <w:p w14:paraId="25F578D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HS6020/1</w:t>
                  </w:r>
                  <w:r>
                    <w:rPr>
                      <w:rFonts w:hint="eastAsia" w:ascii="宋体" w:hAnsi="宋体" w:eastAsia="宋体" w:cs="宋体"/>
                      <w:i w:val="0"/>
                      <w:iCs w:val="0"/>
                      <w:color w:val="000000"/>
                      <w:kern w:val="0"/>
                      <w:sz w:val="20"/>
                      <w:szCs w:val="20"/>
                      <w:u w:val="none"/>
                      <w:lang w:val="en-US" w:eastAsia="zh-CN" w:bidi="ar"/>
                    </w:rPr>
                    <w:t>级</w:t>
                  </w:r>
                </w:p>
              </w:tc>
              <w:tc>
                <w:tcPr>
                  <w:tcW w:w="1102" w:type="dxa"/>
                  <w:tcBorders>
                    <w:tl2br w:val="nil"/>
                    <w:tr2bl w:val="nil"/>
                  </w:tcBorders>
                  <w:shd w:val="clear" w:color="auto" w:fill="auto"/>
                  <w:vAlign w:val="center"/>
                </w:tcPr>
                <w:p w14:paraId="0BC5ABA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721F9143">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38C84CEC">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879" w:type="dxa"/>
                  <w:tcBorders>
                    <w:tl2br w:val="nil"/>
                    <w:tr2bl w:val="nil"/>
                  </w:tcBorders>
                  <w:shd w:val="clear" w:color="auto" w:fill="auto"/>
                  <w:vAlign w:val="center"/>
                </w:tcPr>
                <w:p w14:paraId="6C89AC12">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0A8041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377868A2">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3845B1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风量罩</w:t>
                  </w:r>
                </w:p>
              </w:tc>
              <w:tc>
                <w:tcPr>
                  <w:tcW w:w="1320" w:type="dxa"/>
                  <w:tcBorders>
                    <w:tl2br w:val="nil"/>
                    <w:tr2bl w:val="nil"/>
                  </w:tcBorders>
                  <w:shd w:val="clear" w:color="auto" w:fill="auto"/>
                  <w:vAlign w:val="center"/>
                </w:tcPr>
                <w:p w14:paraId="305049D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TSI-8375</w:t>
                  </w:r>
                </w:p>
              </w:tc>
              <w:tc>
                <w:tcPr>
                  <w:tcW w:w="1102" w:type="dxa"/>
                  <w:tcBorders>
                    <w:tl2br w:val="nil"/>
                    <w:tr2bl w:val="nil"/>
                  </w:tcBorders>
                  <w:shd w:val="clear" w:color="auto" w:fill="auto"/>
                  <w:vAlign w:val="center"/>
                </w:tcPr>
                <w:p w14:paraId="57139E0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2F9596A3">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606331BF">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7AB51F27">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4E66A1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293E7371">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477D13C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电磁场强度测试仪</w:t>
                  </w:r>
                </w:p>
              </w:tc>
              <w:tc>
                <w:tcPr>
                  <w:tcW w:w="1320" w:type="dxa"/>
                  <w:tcBorders>
                    <w:tl2br w:val="nil"/>
                    <w:tr2bl w:val="nil"/>
                  </w:tcBorders>
                  <w:shd w:val="clear" w:color="auto" w:fill="auto"/>
                  <w:vAlign w:val="center"/>
                </w:tcPr>
                <w:p w14:paraId="5BC85D40">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HI-3604</w:t>
                  </w:r>
                </w:p>
              </w:tc>
              <w:tc>
                <w:tcPr>
                  <w:tcW w:w="1102" w:type="dxa"/>
                  <w:tcBorders>
                    <w:tl2br w:val="nil"/>
                    <w:tr2bl w:val="nil"/>
                  </w:tcBorders>
                  <w:shd w:val="clear" w:color="auto" w:fill="auto"/>
                  <w:vAlign w:val="center"/>
                </w:tcPr>
                <w:p w14:paraId="6709F90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1A2BF803">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567D4414">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7F411BFB">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0F5DD0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31FD8589">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D9CA58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智能烟气采样器</w:t>
                  </w:r>
                </w:p>
              </w:tc>
              <w:tc>
                <w:tcPr>
                  <w:tcW w:w="1320" w:type="dxa"/>
                  <w:tcBorders>
                    <w:tl2br w:val="nil"/>
                    <w:tr2bl w:val="nil"/>
                  </w:tcBorders>
                  <w:shd w:val="clear" w:color="auto" w:fill="auto"/>
                  <w:vAlign w:val="center"/>
                </w:tcPr>
                <w:p w14:paraId="6B8E244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GH-2E</w:t>
                  </w:r>
                </w:p>
              </w:tc>
              <w:tc>
                <w:tcPr>
                  <w:tcW w:w="1102" w:type="dxa"/>
                  <w:tcBorders>
                    <w:tl2br w:val="nil"/>
                    <w:tr2bl w:val="nil"/>
                  </w:tcBorders>
                  <w:shd w:val="clear" w:color="auto" w:fill="auto"/>
                  <w:vAlign w:val="center"/>
                </w:tcPr>
                <w:p w14:paraId="56B6259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146" w:type="dxa"/>
                  <w:tcBorders>
                    <w:tl2br w:val="nil"/>
                    <w:tr2bl w:val="nil"/>
                  </w:tcBorders>
                  <w:shd w:val="clear" w:color="auto" w:fill="auto"/>
                  <w:vAlign w:val="center"/>
                </w:tcPr>
                <w:p w14:paraId="778154A8">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61A34526">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879" w:type="dxa"/>
                  <w:tcBorders>
                    <w:tl2br w:val="nil"/>
                    <w:tr2bl w:val="nil"/>
                  </w:tcBorders>
                  <w:shd w:val="clear" w:color="auto" w:fill="auto"/>
                  <w:vAlign w:val="center"/>
                </w:tcPr>
                <w:p w14:paraId="34FB4F68">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0CED36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60FFC445">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5F1C00D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环境振动分析仪</w:t>
                  </w:r>
                </w:p>
              </w:tc>
              <w:tc>
                <w:tcPr>
                  <w:tcW w:w="1320" w:type="dxa"/>
                  <w:tcBorders>
                    <w:tl2br w:val="nil"/>
                    <w:tr2bl w:val="nil"/>
                  </w:tcBorders>
                  <w:shd w:val="clear" w:color="auto" w:fill="auto"/>
                  <w:vAlign w:val="center"/>
                </w:tcPr>
                <w:p w14:paraId="2798B97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AWA6256B+</w:t>
                  </w:r>
                  <w:r>
                    <w:rPr>
                      <w:rFonts w:hint="eastAsia" w:ascii="宋体" w:hAnsi="宋体" w:eastAsia="宋体" w:cs="宋体"/>
                      <w:i w:val="0"/>
                      <w:iCs w:val="0"/>
                      <w:color w:val="000000"/>
                      <w:kern w:val="0"/>
                      <w:sz w:val="20"/>
                      <w:szCs w:val="20"/>
                      <w:u w:val="none"/>
                      <w:lang w:val="en-US" w:eastAsia="zh-CN" w:bidi="ar"/>
                    </w:rPr>
                    <w:t>型</w:t>
                  </w:r>
                </w:p>
              </w:tc>
              <w:tc>
                <w:tcPr>
                  <w:tcW w:w="1102" w:type="dxa"/>
                  <w:tcBorders>
                    <w:tl2br w:val="nil"/>
                    <w:tr2bl w:val="nil"/>
                  </w:tcBorders>
                  <w:shd w:val="clear" w:color="auto" w:fill="auto"/>
                  <w:vAlign w:val="center"/>
                </w:tcPr>
                <w:p w14:paraId="4CF9C95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741737C9">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133E3CBF">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0E3E8789">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7D3DD0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213E2D00">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731C6C4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多功能声级计</w:t>
                  </w:r>
                </w:p>
              </w:tc>
              <w:tc>
                <w:tcPr>
                  <w:tcW w:w="1320" w:type="dxa"/>
                  <w:tcBorders>
                    <w:tl2br w:val="nil"/>
                    <w:tr2bl w:val="nil"/>
                  </w:tcBorders>
                  <w:shd w:val="clear" w:color="auto" w:fill="auto"/>
                  <w:vAlign w:val="center"/>
                </w:tcPr>
                <w:p w14:paraId="575AABD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AWA5680</w:t>
                  </w:r>
                </w:p>
              </w:tc>
              <w:tc>
                <w:tcPr>
                  <w:tcW w:w="1102" w:type="dxa"/>
                  <w:tcBorders>
                    <w:tl2br w:val="nil"/>
                    <w:tr2bl w:val="nil"/>
                  </w:tcBorders>
                  <w:shd w:val="clear" w:color="auto" w:fill="auto"/>
                  <w:vAlign w:val="center"/>
                </w:tcPr>
                <w:p w14:paraId="0597D1F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146" w:type="dxa"/>
                  <w:tcBorders>
                    <w:tl2br w:val="nil"/>
                    <w:tr2bl w:val="nil"/>
                  </w:tcBorders>
                  <w:shd w:val="clear" w:color="auto" w:fill="auto"/>
                  <w:vAlign w:val="center"/>
                </w:tcPr>
                <w:p w14:paraId="48616BDA">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5C6828C1">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879" w:type="dxa"/>
                  <w:tcBorders>
                    <w:tl2br w:val="nil"/>
                    <w:tr2bl w:val="nil"/>
                  </w:tcBorders>
                  <w:shd w:val="clear" w:color="auto" w:fill="auto"/>
                  <w:vAlign w:val="center"/>
                </w:tcPr>
                <w:p w14:paraId="086D8652">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540A17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3409CBF7">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97FAE4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油气回收综合检测仪</w:t>
                  </w:r>
                </w:p>
              </w:tc>
              <w:tc>
                <w:tcPr>
                  <w:tcW w:w="1320" w:type="dxa"/>
                  <w:tcBorders>
                    <w:tl2br w:val="nil"/>
                    <w:tr2bl w:val="nil"/>
                  </w:tcBorders>
                  <w:shd w:val="clear" w:color="auto" w:fill="auto"/>
                  <w:vAlign w:val="center"/>
                </w:tcPr>
                <w:p w14:paraId="152070E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YQJY-1</w:t>
                  </w:r>
                </w:p>
              </w:tc>
              <w:tc>
                <w:tcPr>
                  <w:tcW w:w="1102" w:type="dxa"/>
                  <w:tcBorders>
                    <w:tl2br w:val="nil"/>
                    <w:tr2bl w:val="nil"/>
                  </w:tcBorders>
                  <w:shd w:val="clear" w:color="auto" w:fill="auto"/>
                  <w:vAlign w:val="center"/>
                </w:tcPr>
                <w:p w14:paraId="3345B96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086A6B84">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38B16136">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w:t>
                  </w:r>
                </w:p>
              </w:tc>
              <w:tc>
                <w:tcPr>
                  <w:tcW w:w="879" w:type="dxa"/>
                  <w:tcBorders>
                    <w:tl2br w:val="nil"/>
                    <w:tr2bl w:val="nil"/>
                  </w:tcBorders>
                  <w:shd w:val="clear" w:color="auto" w:fill="auto"/>
                  <w:vAlign w:val="center"/>
                </w:tcPr>
                <w:p w14:paraId="5EBD469B">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168D49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3CC0549">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25A8C84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多通道信号分析仪</w:t>
                  </w:r>
                </w:p>
              </w:tc>
              <w:tc>
                <w:tcPr>
                  <w:tcW w:w="1320" w:type="dxa"/>
                  <w:tcBorders>
                    <w:tl2br w:val="nil"/>
                    <w:tr2bl w:val="nil"/>
                  </w:tcBorders>
                  <w:shd w:val="clear" w:color="auto" w:fill="auto"/>
                  <w:vAlign w:val="center"/>
                </w:tcPr>
                <w:p w14:paraId="102FDB0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AWA6290M+</w:t>
                  </w:r>
                </w:p>
              </w:tc>
              <w:tc>
                <w:tcPr>
                  <w:tcW w:w="1102" w:type="dxa"/>
                  <w:tcBorders>
                    <w:tl2br w:val="nil"/>
                    <w:tr2bl w:val="nil"/>
                  </w:tcBorders>
                  <w:shd w:val="clear" w:color="auto" w:fill="auto"/>
                  <w:vAlign w:val="center"/>
                </w:tcPr>
                <w:p w14:paraId="0B1A3040">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69AA8065">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74FEDF49">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08ED3ACD">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3DC021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39FD72D2">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14750C5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粉尘仪</w:t>
                  </w:r>
                </w:p>
              </w:tc>
              <w:tc>
                <w:tcPr>
                  <w:tcW w:w="1320" w:type="dxa"/>
                  <w:tcBorders>
                    <w:tl2br w:val="nil"/>
                    <w:tr2bl w:val="nil"/>
                  </w:tcBorders>
                  <w:shd w:val="clear" w:color="auto" w:fill="auto"/>
                  <w:vAlign w:val="center"/>
                </w:tcPr>
                <w:p w14:paraId="4B524AA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8530</w:t>
                  </w:r>
                </w:p>
              </w:tc>
              <w:tc>
                <w:tcPr>
                  <w:tcW w:w="1102" w:type="dxa"/>
                  <w:tcBorders>
                    <w:tl2br w:val="nil"/>
                    <w:tr2bl w:val="nil"/>
                  </w:tcBorders>
                  <w:shd w:val="clear" w:color="auto" w:fill="auto"/>
                  <w:vAlign w:val="center"/>
                </w:tcPr>
                <w:p w14:paraId="3DD625F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12AD9EEC">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58C30D15">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1A50131C">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221B2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024B141D">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7377C2B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臭氧检测仪</w:t>
                  </w:r>
                </w:p>
              </w:tc>
              <w:tc>
                <w:tcPr>
                  <w:tcW w:w="1320" w:type="dxa"/>
                  <w:tcBorders>
                    <w:tl2br w:val="nil"/>
                    <w:tr2bl w:val="nil"/>
                  </w:tcBorders>
                  <w:shd w:val="clear" w:color="auto" w:fill="auto"/>
                  <w:vAlign w:val="center"/>
                </w:tcPr>
                <w:p w14:paraId="6490E01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106L</w:t>
                  </w:r>
                </w:p>
              </w:tc>
              <w:tc>
                <w:tcPr>
                  <w:tcW w:w="1102" w:type="dxa"/>
                  <w:tcBorders>
                    <w:tl2br w:val="nil"/>
                    <w:tr2bl w:val="nil"/>
                  </w:tcBorders>
                  <w:shd w:val="clear" w:color="auto" w:fill="auto"/>
                  <w:vAlign w:val="center"/>
                </w:tcPr>
                <w:p w14:paraId="4801DF3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10370BDE">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22402098">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7795E860">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33F53C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222001E5">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88247C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烟气分析仪</w:t>
                  </w:r>
                </w:p>
              </w:tc>
              <w:tc>
                <w:tcPr>
                  <w:tcW w:w="1320" w:type="dxa"/>
                  <w:tcBorders>
                    <w:tl2br w:val="nil"/>
                    <w:tr2bl w:val="nil"/>
                  </w:tcBorders>
                  <w:shd w:val="clear" w:color="auto" w:fill="auto"/>
                  <w:vAlign w:val="center"/>
                </w:tcPr>
                <w:p w14:paraId="3554ACA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Testo340</w:t>
                  </w:r>
                </w:p>
              </w:tc>
              <w:tc>
                <w:tcPr>
                  <w:tcW w:w="1102" w:type="dxa"/>
                  <w:tcBorders>
                    <w:tl2br w:val="nil"/>
                    <w:tr2bl w:val="nil"/>
                  </w:tcBorders>
                  <w:shd w:val="clear" w:color="auto" w:fill="auto"/>
                  <w:vAlign w:val="center"/>
                </w:tcPr>
                <w:p w14:paraId="54B8B401">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10E69009">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332B1ECF">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879" w:type="dxa"/>
                  <w:tcBorders>
                    <w:tl2br w:val="nil"/>
                    <w:tr2bl w:val="nil"/>
                  </w:tcBorders>
                  <w:shd w:val="clear" w:color="auto" w:fill="auto"/>
                  <w:vAlign w:val="center"/>
                </w:tcPr>
                <w:p w14:paraId="0292A895">
                  <w:pPr>
                    <w:jc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2CFD39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28FCA682">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C42D71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真空箱</w:t>
                  </w:r>
                </w:p>
              </w:tc>
              <w:tc>
                <w:tcPr>
                  <w:tcW w:w="1320" w:type="dxa"/>
                  <w:tcBorders>
                    <w:tl2br w:val="nil"/>
                    <w:tr2bl w:val="nil"/>
                  </w:tcBorders>
                  <w:shd w:val="clear" w:color="auto" w:fill="auto"/>
                  <w:vAlign w:val="center"/>
                </w:tcPr>
                <w:p w14:paraId="6EAA7469">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1102" w:type="dxa"/>
                  <w:tcBorders>
                    <w:tl2br w:val="nil"/>
                    <w:tr2bl w:val="nil"/>
                  </w:tcBorders>
                  <w:shd w:val="clear" w:color="auto" w:fill="auto"/>
                  <w:vAlign w:val="center"/>
                </w:tcPr>
                <w:p w14:paraId="0D0A3225">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16</w:t>
                  </w:r>
                </w:p>
              </w:tc>
              <w:tc>
                <w:tcPr>
                  <w:tcW w:w="1146" w:type="dxa"/>
                  <w:tcBorders>
                    <w:tl2br w:val="nil"/>
                    <w:tr2bl w:val="nil"/>
                  </w:tcBorders>
                  <w:shd w:val="clear" w:color="auto" w:fill="auto"/>
                  <w:vAlign w:val="center"/>
                </w:tcPr>
                <w:p w14:paraId="7038FE2C">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3A1C5545">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w:t>
                  </w:r>
                </w:p>
              </w:tc>
              <w:tc>
                <w:tcPr>
                  <w:tcW w:w="879" w:type="dxa"/>
                  <w:tcBorders>
                    <w:tl2br w:val="nil"/>
                    <w:tr2bl w:val="nil"/>
                  </w:tcBorders>
                  <w:shd w:val="clear" w:color="auto" w:fill="auto"/>
                  <w:vAlign w:val="center"/>
                </w:tcPr>
                <w:p w14:paraId="24F55237">
                  <w:pPr>
                    <w:jc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1E800C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557C5153">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A16BB2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自动烟尘烟气测试仪</w:t>
                  </w:r>
                </w:p>
              </w:tc>
              <w:tc>
                <w:tcPr>
                  <w:tcW w:w="1320" w:type="dxa"/>
                  <w:tcBorders>
                    <w:tl2br w:val="nil"/>
                    <w:tr2bl w:val="nil"/>
                  </w:tcBorders>
                  <w:shd w:val="clear" w:color="auto" w:fill="auto"/>
                  <w:vAlign w:val="center"/>
                </w:tcPr>
                <w:p w14:paraId="6F2E23F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GH-60E</w:t>
                  </w:r>
                  <w:r>
                    <w:rPr>
                      <w:rFonts w:hint="eastAsia" w:ascii="宋体" w:hAnsi="宋体" w:eastAsia="宋体" w:cs="宋体"/>
                      <w:i w:val="0"/>
                      <w:iCs w:val="0"/>
                      <w:color w:val="000000"/>
                      <w:kern w:val="0"/>
                      <w:sz w:val="20"/>
                      <w:szCs w:val="20"/>
                      <w:u w:val="none"/>
                      <w:lang w:val="en-US" w:eastAsia="zh-CN" w:bidi="ar"/>
                    </w:rPr>
                    <w:t>型</w:t>
                  </w:r>
                </w:p>
              </w:tc>
              <w:tc>
                <w:tcPr>
                  <w:tcW w:w="1102" w:type="dxa"/>
                  <w:tcBorders>
                    <w:tl2br w:val="nil"/>
                    <w:tr2bl w:val="nil"/>
                  </w:tcBorders>
                  <w:shd w:val="clear" w:color="auto" w:fill="auto"/>
                  <w:vAlign w:val="center"/>
                </w:tcPr>
                <w:p w14:paraId="137D222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146" w:type="dxa"/>
                  <w:tcBorders>
                    <w:tl2br w:val="nil"/>
                    <w:tr2bl w:val="nil"/>
                  </w:tcBorders>
                  <w:shd w:val="clear" w:color="auto" w:fill="auto"/>
                  <w:vAlign w:val="center"/>
                </w:tcPr>
                <w:p w14:paraId="5E7BE2EA">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1080" w:type="dxa"/>
                  <w:tcBorders>
                    <w:tl2br w:val="nil"/>
                    <w:tr2bl w:val="nil"/>
                  </w:tcBorders>
                  <w:shd w:val="clear" w:color="auto" w:fill="auto"/>
                  <w:vAlign w:val="center"/>
                </w:tcPr>
                <w:p w14:paraId="2E8568F5">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w:t>
                  </w:r>
                </w:p>
              </w:tc>
              <w:tc>
                <w:tcPr>
                  <w:tcW w:w="879" w:type="dxa"/>
                  <w:tcBorders>
                    <w:tl2br w:val="nil"/>
                    <w:tr2bl w:val="nil"/>
                  </w:tcBorders>
                  <w:shd w:val="clear" w:color="auto" w:fill="auto"/>
                  <w:vAlign w:val="center"/>
                </w:tcPr>
                <w:p w14:paraId="5177B8E1">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12C193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2E0F03EA">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64C079C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综合大气采样器</w:t>
                  </w:r>
                </w:p>
              </w:tc>
              <w:tc>
                <w:tcPr>
                  <w:tcW w:w="1320" w:type="dxa"/>
                  <w:tcBorders>
                    <w:tl2br w:val="nil"/>
                    <w:tr2bl w:val="nil"/>
                  </w:tcBorders>
                  <w:shd w:val="clear" w:color="auto" w:fill="auto"/>
                  <w:vAlign w:val="center"/>
                </w:tcPr>
                <w:p w14:paraId="7F58EAA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KB-6120</w:t>
                  </w:r>
                </w:p>
              </w:tc>
              <w:tc>
                <w:tcPr>
                  <w:tcW w:w="1102" w:type="dxa"/>
                  <w:tcBorders>
                    <w:tl2br w:val="nil"/>
                    <w:tr2bl w:val="nil"/>
                  </w:tcBorders>
                  <w:shd w:val="clear" w:color="auto" w:fill="auto"/>
                  <w:vAlign w:val="center"/>
                </w:tcPr>
                <w:p w14:paraId="318FD00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146" w:type="dxa"/>
                  <w:tcBorders>
                    <w:tl2br w:val="nil"/>
                    <w:tr2bl w:val="nil"/>
                  </w:tcBorders>
                  <w:shd w:val="clear" w:color="auto" w:fill="auto"/>
                  <w:vAlign w:val="center"/>
                </w:tcPr>
                <w:p w14:paraId="0B50ECF0">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2136E478">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879" w:type="dxa"/>
                  <w:tcBorders>
                    <w:tl2br w:val="nil"/>
                    <w:tr2bl w:val="nil"/>
                  </w:tcBorders>
                  <w:shd w:val="clear" w:color="auto" w:fill="auto"/>
                  <w:vAlign w:val="center"/>
                </w:tcPr>
                <w:p w14:paraId="21C50E4F">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3ECA15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62179D4C">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ACA2D3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智能恒流大气采样器</w:t>
                  </w:r>
                </w:p>
              </w:tc>
              <w:tc>
                <w:tcPr>
                  <w:tcW w:w="1320" w:type="dxa"/>
                  <w:tcBorders>
                    <w:tl2br w:val="nil"/>
                    <w:tr2bl w:val="nil"/>
                  </w:tcBorders>
                  <w:shd w:val="clear" w:color="auto" w:fill="auto"/>
                  <w:vAlign w:val="center"/>
                </w:tcPr>
                <w:p w14:paraId="6EFC8B38">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KB-2400</w:t>
                  </w:r>
                </w:p>
              </w:tc>
              <w:tc>
                <w:tcPr>
                  <w:tcW w:w="1102" w:type="dxa"/>
                  <w:tcBorders>
                    <w:tl2br w:val="nil"/>
                    <w:tr2bl w:val="nil"/>
                  </w:tcBorders>
                  <w:shd w:val="clear" w:color="auto" w:fill="auto"/>
                  <w:vAlign w:val="center"/>
                </w:tcPr>
                <w:p w14:paraId="36EDF1B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146" w:type="dxa"/>
                  <w:tcBorders>
                    <w:tl2br w:val="nil"/>
                    <w:tr2bl w:val="nil"/>
                  </w:tcBorders>
                  <w:shd w:val="clear" w:color="auto" w:fill="auto"/>
                  <w:vAlign w:val="center"/>
                </w:tcPr>
                <w:p w14:paraId="4CC26F42">
                  <w:pPr>
                    <w:jc w:val="center"/>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7186BE6C">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w:t>
                  </w:r>
                </w:p>
              </w:tc>
              <w:tc>
                <w:tcPr>
                  <w:tcW w:w="879" w:type="dxa"/>
                  <w:tcBorders>
                    <w:tl2br w:val="nil"/>
                    <w:tr2bl w:val="nil"/>
                  </w:tcBorders>
                  <w:shd w:val="clear" w:color="auto" w:fill="auto"/>
                  <w:vAlign w:val="center"/>
                </w:tcPr>
                <w:p w14:paraId="7BC9E722">
                  <w:pPr>
                    <w:keepNext w:val="0"/>
                    <w:keepLines w:val="0"/>
                    <w:widowControl/>
                    <w:suppressLineNumbers w:val="0"/>
                    <w:jc w:val="center"/>
                    <w:textAlignment w:val="center"/>
                    <w:rPr>
                      <w:rFonts w:hint="default" w:ascii="Times New Roman" w:hAnsi="Times New Roman" w:cs="Times New Roman"/>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3244F6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1C23881">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1ABDE2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综合大气采样器</w:t>
                  </w:r>
                </w:p>
              </w:tc>
              <w:tc>
                <w:tcPr>
                  <w:tcW w:w="1320" w:type="dxa"/>
                  <w:tcBorders>
                    <w:tl2br w:val="nil"/>
                    <w:tr2bl w:val="nil"/>
                  </w:tcBorders>
                  <w:shd w:val="clear" w:color="auto" w:fill="auto"/>
                  <w:vAlign w:val="center"/>
                </w:tcPr>
                <w:p w14:paraId="649E9DF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KB-6120-E</w:t>
                  </w:r>
                </w:p>
              </w:tc>
              <w:tc>
                <w:tcPr>
                  <w:tcW w:w="1102" w:type="dxa"/>
                  <w:tcBorders>
                    <w:tl2br w:val="nil"/>
                    <w:tr2bl w:val="nil"/>
                  </w:tcBorders>
                  <w:shd w:val="clear" w:color="auto" w:fill="auto"/>
                  <w:vAlign w:val="center"/>
                </w:tcPr>
                <w:p w14:paraId="4DD015E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1715535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1080" w:type="dxa"/>
                  <w:tcBorders>
                    <w:tl2br w:val="nil"/>
                    <w:tr2bl w:val="nil"/>
                  </w:tcBorders>
                  <w:shd w:val="clear" w:color="auto" w:fill="auto"/>
                  <w:vAlign w:val="center"/>
                </w:tcPr>
                <w:p w14:paraId="51A7FD61">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4</w:t>
                  </w:r>
                </w:p>
              </w:tc>
              <w:tc>
                <w:tcPr>
                  <w:tcW w:w="879" w:type="dxa"/>
                  <w:tcBorders>
                    <w:tl2br w:val="nil"/>
                    <w:tr2bl w:val="nil"/>
                  </w:tcBorders>
                  <w:shd w:val="clear" w:color="auto" w:fill="auto"/>
                  <w:vAlign w:val="center"/>
                </w:tcPr>
                <w:p w14:paraId="22AF014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420306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B8A4205">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570377E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综合大气采样器</w:t>
                  </w:r>
                </w:p>
              </w:tc>
              <w:tc>
                <w:tcPr>
                  <w:tcW w:w="1320" w:type="dxa"/>
                  <w:tcBorders>
                    <w:tl2br w:val="nil"/>
                    <w:tr2bl w:val="nil"/>
                  </w:tcBorders>
                  <w:shd w:val="clear" w:color="auto" w:fill="auto"/>
                  <w:vAlign w:val="center"/>
                </w:tcPr>
                <w:p w14:paraId="2CDAAC5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DL-6200</w:t>
                  </w:r>
                </w:p>
              </w:tc>
              <w:tc>
                <w:tcPr>
                  <w:tcW w:w="1102" w:type="dxa"/>
                  <w:tcBorders>
                    <w:tl2br w:val="nil"/>
                    <w:tr2bl w:val="nil"/>
                  </w:tcBorders>
                  <w:shd w:val="clear" w:color="auto" w:fill="auto"/>
                  <w:vAlign w:val="center"/>
                </w:tcPr>
                <w:p w14:paraId="7B424C1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51355F87">
                  <w:pPr>
                    <w:jc w:val="center"/>
                    <w:rPr>
                      <w:rFonts w:hint="default" w:ascii="Times New Roman" w:hAnsi="Times New Roman" w:cs="Times New Roman"/>
                      <w:color w:val="auto"/>
                      <w:kern w:val="0"/>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7077A6A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w:t>
                  </w:r>
                </w:p>
              </w:tc>
              <w:tc>
                <w:tcPr>
                  <w:tcW w:w="879" w:type="dxa"/>
                  <w:tcBorders>
                    <w:tl2br w:val="nil"/>
                    <w:tr2bl w:val="nil"/>
                  </w:tcBorders>
                  <w:shd w:val="clear" w:color="auto" w:fill="auto"/>
                  <w:vAlign w:val="center"/>
                </w:tcPr>
                <w:p w14:paraId="3458F59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仪器室</w:t>
                  </w:r>
                </w:p>
              </w:tc>
            </w:tr>
            <w:tr w14:paraId="55FBF4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A73BC76">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1C4CEC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机动车排放检测仪</w:t>
                  </w:r>
                </w:p>
              </w:tc>
              <w:tc>
                <w:tcPr>
                  <w:tcW w:w="1320" w:type="dxa"/>
                  <w:tcBorders>
                    <w:tl2br w:val="nil"/>
                    <w:tr2bl w:val="nil"/>
                  </w:tcBorders>
                  <w:shd w:val="clear" w:color="auto" w:fill="auto"/>
                  <w:vAlign w:val="center"/>
                </w:tcPr>
                <w:p w14:paraId="62B36CB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NHA-6000</w:t>
                  </w:r>
                </w:p>
              </w:tc>
              <w:tc>
                <w:tcPr>
                  <w:tcW w:w="1102" w:type="dxa"/>
                  <w:tcBorders>
                    <w:tl2br w:val="nil"/>
                    <w:tr2bl w:val="nil"/>
                  </w:tcBorders>
                  <w:shd w:val="clear" w:color="auto" w:fill="auto"/>
                  <w:vAlign w:val="center"/>
                </w:tcPr>
                <w:p w14:paraId="28446A03">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75A36636">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6C6A074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879" w:type="dxa"/>
                  <w:tcBorders>
                    <w:tl2br w:val="nil"/>
                    <w:tr2bl w:val="nil"/>
                  </w:tcBorders>
                  <w:shd w:val="clear" w:color="auto" w:fill="auto"/>
                  <w:vAlign w:val="center"/>
                </w:tcPr>
                <w:p w14:paraId="48656B0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6EAEFA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3BCD20B">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2EA1B7D">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新一代汽车智能分析系统（OBD）</w:t>
                  </w:r>
                </w:p>
              </w:tc>
              <w:tc>
                <w:tcPr>
                  <w:tcW w:w="1320" w:type="dxa"/>
                  <w:tcBorders>
                    <w:tl2br w:val="nil"/>
                    <w:tr2bl w:val="nil"/>
                  </w:tcBorders>
                  <w:shd w:val="clear" w:color="auto" w:fill="auto"/>
                  <w:vAlign w:val="center"/>
                </w:tcPr>
                <w:p w14:paraId="101E68F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MS906 BT</w:t>
                  </w:r>
                </w:p>
              </w:tc>
              <w:tc>
                <w:tcPr>
                  <w:tcW w:w="1102" w:type="dxa"/>
                  <w:tcBorders>
                    <w:tl2br w:val="nil"/>
                    <w:tr2bl w:val="nil"/>
                  </w:tcBorders>
                  <w:shd w:val="clear" w:color="auto" w:fill="auto"/>
                  <w:vAlign w:val="center"/>
                </w:tcPr>
                <w:p w14:paraId="3331B4A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598EF42B">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290645D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879" w:type="dxa"/>
                  <w:tcBorders>
                    <w:tl2br w:val="nil"/>
                    <w:tr2bl w:val="nil"/>
                  </w:tcBorders>
                  <w:shd w:val="clear" w:color="auto" w:fill="auto"/>
                  <w:vAlign w:val="center"/>
                </w:tcPr>
                <w:p w14:paraId="68DF3CE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797D93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196527F">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2F3402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多功能声级计（噪声分析仪）</w:t>
                  </w:r>
                </w:p>
              </w:tc>
              <w:tc>
                <w:tcPr>
                  <w:tcW w:w="1320" w:type="dxa"/>
                  <w:tcBorders>
                    <w:tl2br w:val="nil"/>
                    <w:tr2bl w:val="nil"/>
                  </w:tcBorders>
                  <w:shd w:val="clear" w:color="auto" w:fill="auto"/>
                  <w:vAlign w:val="center"/>
                </w:tcPr>
                <w:p w14:paraId="7F697B2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AWA6228+/“1</w:t>
                  </w:r>
                  <w:r>
                    <w:rPr>
                      <w:rFonts w:hint="eastAsia" w:ascii="宋体" w:hAnsi="宋体" w:eastAsia="宋体" w:cs="宋体"/>
                      <w:i w:val="0"/>
                      <w:iCs w:val="0"/>
                      <w:color w:val="000000"/>
                      <w:kern w:val="0"/>
                      <w:sz w:val="20"/>
                      <w:szCs w:val="20"/>
                      <w:u w:val="none"/>
                      <w:lang w:val="en-US" w:eastAsia="zh-CN" w:bidi="ar"/>
                    </w:rPr>
                    <w:t>级</w:t>
                  </w:r>
                  <w:r>
                    <w:rPr>
                      <w:rFonts w:hint="default" w:ascii="Times New Roman" w:hAnsi="Times New Roman" w:eastAsia="宋体" w:cs="Times New Roman"/>
                      <w:i w:val="0"/>
                      <w:iCs w:val="0"/>
                      <w:color w:val="000000"/>
                      <w:kern w:val="0"/>
                      <w:sz w:val="20"/>
                      <w:szCs w:val="20"/>
                      <w:u w:val="none"/>
                      <w:lang w:val="en-US" w:eastAsia="zh-CN" w:bidi="ar"/>
                    </w:rPr>
                    <w:t>”</w:t>
                  </w:r>
                </w:p>
              </w:tc>
              <w:tc>
                <w:tcPr>
                  <w:tcW w:w="1102" w:type="dxa"/>
                  <w:tcBorders>
                    <w:tl2br w:val="nil"/>
                    <w:tr2bl w:val="nil"/>
                  </w:tcBorders>
                  <w:shd w:val="clear" w:color="auto" w:fill="auto"/>
                  <w:vAlign w:val="center"/>
                </w:tcPr>
                <w:p w14:paraId="60E40C3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1B19F623">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2729D8F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2137877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0F35E0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1AE467F">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75420AC">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多功能声级计</w:t>
                  </w:r>
                </w:p>
              </w:tc>
              <w:tc>
                <w:tcPr>
                  <w:tcW w:w="1320" w:type="dxa"/>
                  <w:tcBorders>
                    <w:tl2br w:val="nil"/>
                    <w:tr2bl w:val="nil"/>
                  </w:tcBorders>
                  <w:shd w:val="clear" w:color="auto" w:fill="auto"/>
                  <w:vAlign w:val="center"/>
                </w:tcPr>
                <w:p w14:paraId="7C6EBD2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AWA5688/"2</w:t>
                  </w:r>
                  <w:r>
                    <w:rPr>
                      <w:rFonts w:hint="eastAsia" w:ascii="宋体" w:hAnsi="宋体" w:eastAsia="宋体" w:cs="宋体"/>
                      <w:i w:val="0"/>
                      <w:iCs w:val="0"/>
                      <w:color w:val="000000"/>
                      <w:kern w:val="0"/>
                      <w:sz w:val="20"/>
                      <w:szCs w:val="20"/>
                      <w:u w:val="none"/>
                      <w:lang w:val="en-US" w:eastAsia="zh-CN" w:bidi="ar"/>
                    </w:rPr>
                    <w:t>级</w:t>
                  </w:r>
                  <w:r>
                    <w:rPr>
                      <w:rFonts w:hint="default" w:ascii="Times New Roman" w:hAnsi="Times New Roman" w:eastAsia="宋体" w:cs="Times New Roman"/>
                      <w:i w:val="0"/>
                      <w:iCs w:val="0"/>
                      <w:color w:val="000000"/>
                      <w:kern w:val="0"/>
                      <w:sz w:val="20"/>
                      <w:szCs w:val="20"/>
                      <w:u w:val="none"/>
                      <w:lang w:val="en-US" w:eastAsia="zh-CN" w:bidi="ar"/>
                    </w:rPr>
                    <w:t>"</w:t>
                  </w:r>
                </w:p>
              </w:tc>
              <w:tc>
                <w:tcPr>
                  <w:tcW w:w="1102" w:type="dxa"/>
                  <w:tcBorders>
                    <w:tl2br w:val="nil"/>
                    <w:tr2bl w:val="nil"/>
                  </w:tcBorders>
                  <w:shd w:val="clear" w:color="auto" w:fill="auto"/>
                  <w:vAlign w:val="center"/>
                </w:tcPr>
                <w:p w14:paraId="414DA88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5982661A">
                  <w:pPr>
                    <w:jc w:val="center"/>
                    <w:rPr>
                      <w:rFonts w:hint="eastAsia"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0F0091B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73F4B4FE">
                  <w:pPr>
                    <w:keepNext w:val="0"/>
                    <w:keepLines w:val="0"/>
                    <w:widowControl/>
                    <w:suppressLineNumbers w:val="0"/>
                    <w:jc w:val="center"/>
                    <w:textAlignment w:val="center"/>
                    <w:rPr>
                      <w:rFonts w:hint="eastAsia"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754EC0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0A31C71E">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46E7E4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汽车排放气体测试仪</w:t>
                  </w:r>
                </w:p>
              </w:tc>
              <w:tc>
                <w:tcPr>
                  <w:tcW w:w="1320" w:type="dxa"/>
                  <w:tcBorders>
                    <w:tl2br w:val="nil"/>
                    <w:tr2bl w:val="nil"/>
                  </w:tcBorders>
                  <w:shd w:val="clear" w:color="auto" w:fill="auto"/>
                  <w:vAlign w:val="center"/>
                </w:tcPr>
                <w:p w14:paraId="345AB21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NHA-605</w:t>
                  </w:r>
                </w:p>
              </w:tc>
              <w:tc>
                <w:tcPr>
                  <w:tcW w:w="1102" w:type="dxa"/>
                  <w:tcBorders>
                    <w:tl2br w:val="nil"/>
                    <w:tr2bl w:val="nil"/>
                  </w:tcBorders>
                  <w:shd w:val="clear" w:color="auto" w:fill="auto"/>
                  <w:vAlign w:val="center"/>
                </w:tcPr>
                <w:p w14:paraId="6AA45A0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496D7746">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3904D21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604EF8F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338B75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60B1BC6C">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2B14C5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便携式不透光度计</w:t>
                  </w:r>
                </w:p>
              </w:tc>
              <w:tc>
                <w:tcPr>
                  <w:tcW w:w="1320" w:type="dxa"/>
                  <w:tcBorders>
                    <w:tl2br w:val="nil"/>
                    <w:tr2bl w:val="nil"/>
                  </w:tcBorders>
                  <w:shd w:val="clear" w:color="auto" w:fill="auto"/>
                  <w:vAlign w:val="center"/>
                </w:tcPr>
                <w:p w14:paraId="1CC4DAC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NHT-6</w:t>
                  </w:r>
                </w:p>
              </w:tc>
              <w:tc>
                <w:tcPr>
                  <w:tcW w:w="1102" w:type="dxa"/>
                  <w:tcBorders>
                    <w:tl2br w:val="nil"/>
                    <w:tr2bl w:val="nil"/>
                  </w:tcBorders>
                  <w:shd w:val="clear" w:color="auto" w:fill="auto"/>
                  <w:vAlign w:val="center"/>
                </w:tcPr>
                <w:p w14:paraId="260B67A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219C746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4413CD6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879" w:type="dxa"/>
                  <w:tcBorders>
                    <w:tl2br w:val="nil"/>
                    <w:tr2bl w:val="nil"/>
                  </w:tcBorders>
                  <w:shd w:val="clear" w:color="auto" w:fill="auto"/>
                  <w:vAlign w:val="center"/>
                </w:tcPr>
                <w:p w14:paraId="7B81729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095DCC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2FC743F">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2CE7361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便携式不透光度计</w:t>
                  </w:r>
                </w:p>
              </w:tc>
              <w:tc>
                <w:tcPr>
                  <w:tcW w:w="1320" w:type="dxa"/>
                  <w:tcBorders>
                    <w:tl2br w:val="nil"/>
                    <w:tr2bl w:val="nil"/>
                  </w:tcBorders>
                  <w:shd w:val="clear" w:color="auto" w:fill="auto"/>
                  <w:vAlign w:val="center"/>
                </w:tcPr>
                <w:p w14:paraId="4ED5CD6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Auto650</w:t>
                  </w:r>
                </w:p>
              </w:tc>
              <w:tc>
                <w:tcPr>
                  <w:tcW w:w="1102" w:type="dxa"/>
                  <w:tcBorders>
                    <w:tl2br w:val="nil"/>
                    <w:tr2bl w:val="nil"/>
                  </w:tcBorders>
                  <w:shd w:val="clear" w:color="auto" w:fill="auto"/>
                  <w:vAlign w:val="center"/>
                </w:tcPr>
                <w:p w14:paraId="561EBCAE">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0</w:t>
                  </w:r>
                </w:p>
              </w:tc>
              <w:tc>
                <w:tcPr>
                  <w:tcW w:w="1146" w:type="dxa"/>
                  <w:tcBorders>
                    <w:tl2br w:val="nil"/>
                    <w:tr2bl w:val="nil"/>
                  </w:tcBorders>
                  <w:shd w:val="clear" w:color="auto" w:fill="auto"/>
                  <w:vAlign w:val="center"/>
                </w:tcPr>
                <w:p w14:paraId="67E08C9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55F296B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7E9644D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5F3D16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30911264">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8420F91">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手持式微型自动气象站</w:t>
                  </w:r>
                </w:p>
              </w:tc>
              <w:tc>
                <w:tcPr>
                  <w:tcW w:w="1320" w:type="dxa"/>
                  <w:tcBorders>
                    <w:tl2br w:val="nil"/>
                    <w:tr2bl w:val="nil"/>
                  </w:tcBorders>
                  <w:shd w:val="clear" w:color="auto" w:fill="auto"/>
                  <w:vAlign w:val="center"/>
                </w:tcPr>
                <w:p w14:paraId="3266A5C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HY-DWS62</w:t>
                  </w:r>
                </w:p>
              </w:tc>
              <w:tc>
                <w:tcPr>
                  <w:tcW w:w="1102" w:type="dxa"/>
                  <w:tcBorders>
                    <w:tl2br w:val="nil"/>
                    <w:tr2bl w:val="nil"/>
                  </w:tcBorders>
                  <w:shd w:val="clear" w:color="auto" w:fill="auto"/>
                  <w:vAlign w:val="center"/>
                </w:tcPr>
                <w:p w14:paraId="137B6A2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16412C22">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5ED55CA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879" w:type="dxa"/>
                  <w:tcBorders>
                    <w:tl2br w:val="nil"/>
                    <w:tr2bl w:val="nil"/>
                  </w:tcBorders>
                  <w:shd w:val="clear" w:color="auto" w:fill="auto"/>
                  <w:vAlign w:val="center"/>
                </w:tcPr>
                <w:p w14:paraId="628665D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0780B6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0784E1A9">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23A2332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林格曼烟气浓度图</w:t>
                  </w:r>
                </w:p>
              </w:tc>
              <w:tc>
                <w:tcPr>
                  <w:tcW w:w="1320" w:type="dxa"/>
                  <w:tcBorders>
                    <w:tl2br w:val="nil"/>
                    <w:tr2bl w:val="nil"/>
                  </w:tcBorders>
                  <w:shd w:val="clear" w:color="auto" w:fill="auto"/>
                  <w:vAlign w:val="center"/>
                </w:tcPr>
                <w:p w14:paraId="5891816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HP-LG30</w:t>
                  </w:r>
                </w:p>
              </w:tc>
              <w:tc>
                <w:tcPr>
                  <w:tcW w:w="1102" w:type="dxa"/>
                  <w:tcBorders>
                    <w:tl2br w:val="nil"/>
                    <w:tr2bl w:val="nil"/>
                  </w:tcBorders>
                  <w:shd w:val="clear" w:color="auto" w:fill="auto"/>
                  <w:vAlign w:val="center"/>
                </w:tcPr>
                <w:p w14:paraId="3D8E619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5</w:t>
                  </w:r>
                </w:p>
              </w:tc>
              <w:tc>
                <w:tcPr>
                  <w:tcW w:w="1146" w:type="dxa"/>
                  <w:tcBorders>
                    <w:tl2br w:val="nil"/>
                    <w:tr2bl w:val="nil"/>
                  </w:tcBorders>
                  <w:shd w:val="clear" w:color="auto" w:fill="auto"/>
                  <w:vAlign w:val="center"/>
                </w:tcPr>
                <w:p w14:paraId="5002DCF5">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4E15AED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5</w:t>
                  </w:r>
                </w:p>
              </w:tc>
              <w:tc>
                <w:tcPr>
                  <w:tcW w:w="879" w:type="dxa"/>
                  <w:tcBorders>
                    <w:tl2br w:val="nil"/>
                    <w:tr2bl w:val="nil"/>
                  </w:tcBorders>
                  <w:shd w:val="clear" w:color="auto" w:fill="auto"/>
                  <w:vAlign w:val="center"/>
                </w:tcPr>
                <w:p w14:paraId="22837FF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1CC507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5158776C">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210B6F1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氮氧化物快速检测仪</w:t>
                  </w:r>
                </w:p>
              </w:tc>
              <w:tc>
                <w:tcPr>
                  <w:tcW w:w="1320" w:type="dxa"/>
                  <w:tcBorders>
                    <w:tl2br w:val="nil"/>
                    <w:tr2bl w:val="nil"/>
                  </w:tcBorders>
                  <w:shd w:val="clear" w:color="auto" w:fill="auto"/>
                  <w:vAlign w:val="center"/>
                </w:tcPr>
                <w:p w14:paraId="365F43B1">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TATCNO</w:t>
                  </w:r>
                  <w:r>
                    <w:rPr>
                      <w:rStyle w:val="54"/>
                      <w:rFonts w:eastAsia="宋体"/>
                      <w:lang w:val="en-US" w:eastAsia="zh-CN" w:bidi="ar"/>
                    </w:rPr>
                    <w:t>X</w:t>
                  </w:r>
                  <w:r>
                    <w:rPr>
                      <w:rFonts w:hint="default" w:ascii="Times New Roman" w:hAnsi="Times New Roman" w:eastAsia="宋体" w:cs="Times New Roman"/>
                      <w:i w:val="0"/>
                      <w:iCs w:val="0"/>
                      <w:color w:val="000000"/>
                      <w:kern w:val="0"/>
                      <w:sz w:val="20"/>
                      <w:szCs w:val="20"/>
                      <w:u w:val="none"/>
                      <w:lang w:val="en-US" w:eastAsia="zh-CN" w:bidi="ar"/>
                    </w:rPr>
                    <w:t>1801</w:t>
                  </w:r>
                </w:p>
              </w:tc>
              <w:tc>
                <w:tcPr>
                  <w:tcW w:w="1102" w:type="dxa"/>
                  <w:tcBorders>
                    <w:tl2br w:val="nil"/>
                    <w:tr2bl w:val="nil"/>
                  </w:tcBorders>
                  <w:shd w:val="clear" w:color="auto" w:fill="auto"/>
                  <w:vAlign w:val="center"/>
                </w:tcPr>
                <w:p w14:paraId="57D9747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43197FC1">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6883562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7AB0459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0E923E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23654EA">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D164AC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手持式林格曼黑度仪</w:t>
                  </w:r>
                </w:p>
              </w:tc>
              <w:tc>
                <w:tcPr>
                  <w:tcW w:w="1320" w:type="dxa"/>
                  <w:tcBorders>
                    <w:tl2br w:val="nil"/>
                    <w:tr2bl w:val="nil"/>
                  </w:tcBorders>
                  <w:shd w:val="clear" w:color="auto" w:fill="auto"/>
                  <w:vAlign w:val="center"/>
                </w:tcPr>
                <w:p w14:paraId="54D14DE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LJHN01</w:t>
                  </w:r>
                </w:p>
              </w:tc>
              <w:tc>
                <w:tcPr>
                  <w:tcW w:w="1102" w:type="dxa"/>
                  <w:tcBorders>
                    <w:tl2br w:val="nil"/>
                    <w:tr2bl w:val="nil"/>
                  </w:tcBorders>
                  <w:shd w:val="clear" w:color="auto" w:fill="auto"/>
                  <w:vAlign w:val="center"/>
                </w:tcPr>
                <w:p w14:paraId="3F3F84A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146" w:type="dxa"/>
                  <w:tcBorders>
                    <w:tl2br w:val="nil"/>
                    <w:tr2bl w:val="nil"/>
                  </w:tcBorders>
                  <w:shd w:val="clear" w:color="auto" w:fill="auto"/>
                  <w:vAlign w:val="center"/>
                </w:tcPr>
                <w:p w14:paraId="7D3777CA">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7964952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879" w:type="dxa"/>
                  <w:tcBorders>
                    <w:tl2br w:val="nil"/>
                    <w:tr2bl w:val="nil"/>
                  </w:tcBorders>
                  <w:shd w:val="clear" w:color="auto" w:fill="auto"/>
                  <w:vAlign w:val="center"/>
                </w:tcPr>
                <w:p w14:paraId="4024DCC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5F0208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9610013">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5345A0F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生化培养箱</w:t>
                  </w:r>
                </w:p>
              </w:tc>
              <w:tc>
                <w:tcPr>
                  <w:tcW w:w="1320" w:type="dxa"/>
                  <w:tcBorders>
                    <w:tl2br w:val="nil"/>
                    <w:tr2bl w:val="nil"/>
                  </w:tcBorders>
                  <w:shd w:val="clear" w:color="auto" w:fill="auto"/>
                  <w:vAlign w:val="center"/>
                </w:tcPr>
                <w:p w14:paraId="2830D13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SPX-250</w:t>
                  </w:r>
                </w:p>
              </w:tc>
              <w:tc>
                <w:tcPr>
                  <w:tcW w:w="1102" w:type="dxa"/>
                  <w:tcBorders>
                    <w:tl2br w:val="nil"/>
                    <w:tr2bl w:val="nil"/>
                  </w:tcBorders>
                  <w:shd w:val="clear" w:color="auto" w:fill="auto"/>
                  <w:vAlign w:val="center"/>
                </w:tcPr>
                <w:p w14:paraId="5F2FCEB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53F6474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080" w:type="dxa"/>
                  <w:tcBorders>
                    <w:tl2br w:val="nil"/>
                    <w:tr2bl w:val="nil"/>
                  </w:tcBorders>
                  <w:shd w:val="clear" w:color="auto" w:fill="auto"/>
                  <w:vAlign w:val="center"/>
                </w:tcPr>
                <w:p w14:paraId="318DF75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879" w:type="dxa"/>
                  <w:tcBorders>
                    <w:tl2br w:val="nil"/>
                    <w:tr2bl w:val="nil"/>
                  </w:tcBorders>
                  <w:shd w:val="clear" w:color="auto" w:fill="auto"/>
                  <w:vAlign w:val="center"/>
                </w:tcPr>
                <w:p w14:paraId="3801A85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1A1414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619A4D7A">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5AEF21F1">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挥发性有机气体分析仪</w:t>
                  </w:r>
                </w:p>
              </w:tc>
              <w:tc>
                <w:tcPr>
                  <w:tcW w:w="1320" w:type="dxa"/>
                  <w:tcBorders>
                    <w:tl2br w:val="nil"/>
                    <w:tr2bl w:val="nil"/>
                  </w:tcBorders>
                  <w:shd w:val="clear" w:color="auto" w:fill="auto"/>
                  <w:vAlign w:val="center"/>
                </w:tcPr>
                <w:p w14:paraId="57313E7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H5200</w:t>
                  </w:r>
                </w:p>
              </w:tc>
              <w:tc>
                <w:tcPr>
                  <w:tcW w:w="1102" w:type="dxa"/>
                  <w:tcBorders>
                    <w:tl2br w:val="nil"/>
                    <w:tr2bl w:val="nil"/>
                  </w:tcBorders>
                  <w:shd w:val="clear" w:color="auto" w:fill="auto"/>
                  <w:vAlign w:val="center"/>
                </w:tcPr>
                <w:p w14:paraId="748DEC7C">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555B0E9E">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3EA833D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6944FFC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2FA145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31015092">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BB6652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林格曼测烟望远镜</w:t>
                  </w:r>
                </w:p>
              </w:tc>
              <w:tc>
                <w:tcPr>
                  <w:tcW w:w="1320" w:type="dxa"/>
                  <w:tcBorders>
                    <w:tl2br w:val="nil"/>
                    <w:tr2bl w:val="nil"/>
                  </w:tcBorders>
                  <w:shd w:val="clear" w:color="auto" w:fill="auto"/>
                  <w:vAlign w:val="center"/>
                </w:tcPr>
                <w:p w14:paraId="6AED529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TC-LP</w:t>
                  </w:r>
                </w:p>
              </w:tc>
              <w:tc>
                <w:tcPr>
                  <w:tcW w:w="1102" w:type="dxa"/>
                  <w:tcBorders>
                    <w:tl2br w:val="nil"/>
                    <w:tr2bl w:val="nil"/>
                  </w:tcBorders>
                  <w:shd w:val="clear" w:color="auto" w:fill="auto"/>
                  <w:vAlign w:val="center"/>
                </w:tcPr>
                <w:p w14:paraId="1DC9B0A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03E14E5D">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6D3AE4C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0D9FF64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066501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25DE3098">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2016456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便携式溶解氧</w:t>
                  </w:r>
                </w:p>
              </w:tc>
              <w:tc>
                <w:tcPr>
                  <w:tcW w:w="1320" w:type="dxa"/>
                  <w:tcBorders>
                    <w:tl2br w:val="nil"/>
                    <w:tr2bl w:val="nil"/>
                  </w:tcBorders>
                  <w:shd w:val="clear" w:color="auto" w:fill="auto"/>
                  <w:vAlign w:val="center"/>
                </w:tcPr>
                <w:p w14:paraId="0844BBD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JPB-607A</w:t>
                  </w:r>
                </w:p>
              </w:tc>
              <w:tc>
                <w:tcPr>
                  <w:tcW w:w="1102" w:type="dxa"/>
                  <w:tcBorders>
                    <w:tl2br w:val="nil"/>
                    <w:tr2bl w:val="nil"/>
                  </w:tcBorders>
                  <w:shd w:val="clear" w:color="auto" w:fill="auto"/>
                  <w:vAlign w:val="center"/>
                </w:tcPr>
                <w:p w14:paraId="4C9438C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2C61485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15869FA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879" w:type="dxa"/>
                  <w:tcBorders>
                    <w:tl2br w:val="nil"/>
                    <w:tr2bl w:val="nil"/>
                  </w:tcBorders>
                  <w:shd w:val="clear" w:color="auto" w:fill="auto"/>
                  <w:vAlign w:val="center"/>
                </w:tcPr>
                <w:p w14:paraId="2FCEE5E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21F2C1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0FA982E7">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4BCBD39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多功能声级计</w:t>
                  </w:r>
                </w:p>
              </w:tc>
              <w:tc>
                <w:tcPr>
                  <w:tcW w:w="1320" w:type="dxa"/>
                  <w:tcBorders>
                    <w:tl2br w:val="nil"/>
                    <w:tr2bl w:val="nil"/>
                  </w:tcBorders>
                  <w:shd w:val="clear" w:color="auto" w:fill="auto"/>
                  <w:vAlign w:val="center"/>
                </w:tcPr>
                <w:p w14:paraId="29BAFFF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AWA6292</w:t>
                  </w:r>
                  <w:r>
                    <w:rPr>
                      <w:rFonts w:hint="eastAsia" w:ascii="宋体" w:hAnsi="宋体" w:eastAsia="宋体" w:cs="宋体"/>
                      <w:i w:val="0"/>
                      <w:iCs w:val="0"/>
                      <w:color w:val="000000"/>
                      <w:kern w:val="0"/>
                      <w:sz w:val="20"/>
                      <w:szCs w:val="20"/>
                      <w:u w:val="none"/>
                      <w:lang w:val="en-US" w:eastAsia="zh-CN" w:bidi="ar"/>
                    </w:rPr>
                    <w:t>型</w:t>
                  </w:r>
                  <w:r>
                    <w:rPr>
                      <w:rFonts w:hint="default" w:ascii="Times New Roman" w:hAnsi="Times New Roman" w:eastAsia="宋体" w:cs="Times New Roman"/>
                      <w:i w:val="0"/>
                      <w:iCs w:val="0"/>
                      <w:color w:val="000000"/>
                      <w:kern w:val="0"/>
                      <w:sz w:val="20"/>
                      <w:szCs w:val="20"/>
                      <w:u w:val="none"/>
                      <w:lang w:val="en-US" w:eastAsia="zh-CN" w:bidi="ar"/>
                    </w:rPr>
                    <w:t>/1</w:t>
                  </w:r>
                  <w:r>
                    <w:rPr>
                      <w:rFonts w:hint="eastAsia" w:ascii="宋体" w:hAnsi="宋体" w:eastAsia="宋体" w:cs="宋体"/>
                      <w:i w:val="0"/>
                      <w:iCs w:val="0"/>
                      <w:color w:val="000000"/>
                      <w:kern w:val="0"/>
                      <w:sz w:val="20"/>
                      <w:szCs w:val="20"/>
                      <w:u w:val="none"/>
                      <w:lang w:val="en-US" w:eastAsia="zh-CN" w:bidi="ar"/>
                    </w:rPr>
                    <w:t>级</w:t>
                  </w:r>
                </w:p>
              </w:tc>
              <w:tc>
                <w:tcPr>
                  <w:tcW w:w="1102" w:type="dxa"/>
                  <w:tcBorders>
                    <w:tl2br w:val="nil"/>
                    <w:tr2bl w:val="nil"/>
                  </w:tcBorders>
                  <w:shd w:val="clear" w:color="auto" w:fill="auto"/>
                  <w:vAlign w:val="center"/>
                </w:tcPr>
                <w:p w14:paraId="1FFD9355">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0</w:t>
                  </w:r>
                </w:p>
              </w:tc>
              <w:tc>
                <w:tcPr>
                  <w:tcW w:w="1146" w:type="dxa"/>
                  <w:tcBorders>
                    <w:tl2br w:val="nil"/>
                    <w:tr2bl w:val="nil"/>
                  </w:tcBorders>
                  <w:shd w:val="clear" w:color="auto" w:fill="auto"/>
                  <w:vAlign w:val="center"/>
                </w:tcPr>
                <w:p w14:paraId="508C6FF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1E7F2ABC">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5E737C6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53D891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35D6F4E4">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50C58A6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环境空气采样器</w:t>
                  </w:r>
                </w:p>
              </w:tc>
              <w:tc>
                <w:tcPr>
                  <w:tcW w:w="1320" w:type="dxa"/>
                  <w:tcBorders>
                    <w:tl2br w:val="nil"/>
                    <w:tr2bl w:val="nil"/>
                  </w:tcBorders>
                  <w:shd w:val="clear" w:color="auto" w:fill="auto"/>
                  <w:vAlign w:val="center"/>
                </w:tcPr>
                <w:p w14:paraId="27BD2D6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KB-100</w:t>
                  </w:r>
                  <w:r>
                    <w:rPr>
                      <w:rFonts w:hint="eastAsia" w:ascii="宋体" w:hAnsi="宋体" w:eastAsia="宋体" w:cs="宋体"/>
                      <w:i w:val="0"/>
                      <w:iCs w:val="0"/>
                      <w:color w:val="000000"/>
                      <w:kern w:val="0"/>
                      <w:sz w:val="20"/>
                      <w:szCs w:val="20"/>
                      <w:u w:val="none"/>
                      <w:lang w:val="en-US" w:eastAsia="zh-CN" w:bidi="ar"/>
                    </w:rPr>
                    <w:t>型</w:t>
                  </w:r>
                </w:p>
              </w:tc>
              <w:tc>
                <w:tcPr>
                  <w:tcW w:w="1102" w:type="dxa"/>
                  <w:tcBorders>
                    <w:tl2br w:val="nil"/>
                    <w:tr2bl w:val="nil"/>
                  </w:tcBorders>
                  <w:shd w:val="clear" w:color="auto" w:fill="auto"/>
                  <w:vAlign w:val="center"/>
                </w:tcPr>
                <w:p w14:paraId="0C5B581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4</w:t>
                  </w:r>
                </w:p>
              </w:tc>
              <w:tc>
                <w:tcPr>
                  <w:tcW w:w="1146" w:type="dxa"/>
                  <w:tcBorders>
                    <w:tl2br w:val="nil"/>
                    <w:tr2bl w:val="nil"/>
                  </w:tcBorders>
                  <w:shd w:val="clear" w:color="auto" w:fill="auto"/>
                  <w:vAlign w:val="center"/>
                </w:tcPr>
                <w:p w14:paraId="604E53F5">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655D975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879" w:type="dxa"/>
                  <w:tcBorders>
                    <w:tl2br w:val="nil"/>
                    <w:tr2bl w:val="nil"/>
                  </w:tcBorders>
                  <w:shd w:val="clear" w:color="auto" w:fill="auto"/>
                  <w:vAlign w:val="center"/>
                </w:tcPr>
                <w:p w14:paraId="76C8C26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462BCB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559CFAA">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57D68FB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便携式电导率仪</w:t>
                  </w:r>
                </w:p>
              </w:tc>
              <w:tc>
                <w:tcPr>
                  <w:tcW w:w="1320" w:type="dxa"/>
                  <w:tcBorders>
                    <w:tl2br w:val="nil"/>
                    <w:tr2bl w:val="nil"/>
                  </w:tcBorders>
                  <w:shd w:val="clear" w:color="auto" w:fill="auto"/>
                  <w:vAlign w:val="center"/>
                </w:tcPr>
                <w:p w14:paraId="5BED368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DDBJ-350F</w:t>
                  </w:r>
                </w:p>
              </w:tc>
              <w:tc>
                <w:tcPr>
                  <w:tcW w:w="1102" w:type="dxa"/>
                  <w:tcBorders>
                    <w:tl2br w:val="nil"/>
                    <w:tr2bl w:val="nil"/>
                  </w:tcBorders>
                  <w:shd w:val="clear" w:color="auto" w:fill="auto"/>
                  <w:vAlign w:val="center"/>
                </w:tcPr>
                <w:p w14:paraId="0EE2C38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03B5DBDE">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720E7A9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879" w:type="dxa"/>
                  <w:tcBorders>
                    <w:tl2br w:val="nil"/>
                    <w:tr2bl w:val="nil"/>
                  </w:tcBorders>
                  <w:shd w:val="clear" w:color="auto" w:fill="auto"/>
                  <w:vAlign w:val="center"/>
                </w:tcPr>
                <w:p w14:paraId="1DBCA82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5D2E06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2DC397C5">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ACF108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数字皂膜</w:t>
                  </w:r>
                  <w:r>
                    <w:rPr>
                      <w:rFonts w:hint="default" w:ascii="Times New Roman" w:hAnsi="Times New Roman" w:eastAsia="宋体" w:cs="Times New Roman"/>
                      <w:i w:val="0"/>
                      <w:iCs w:val="0"/>
                      <w:color w:val="000000"/>
                      <w:kern w:val="0"/>
                      <w:sz w:val="20"/>
                      <w:szCs w:val="20"/>
                      <w:u w:val="none"/>
                      <w:lang w:val="en-US" w:eastAsia="zh-CN" w:bidi="ar"/>
                    </w:rPr>
                    <w:t>/</w:t>
                  </w:r>
                  <w:r>
                    <w:rPr>
                      <w:rFonts w:hint="eastAsia" w:ascii="宋体" w:hAnsi="宋体" w:eastAsia="宋体" w:cs="宋体"/>
                      <w:i w:val="0"/>
                      <w:iCs w:val="0"/>
                      <w:color w:val="000000"/>
                      <w:kern w:val="0"/>
                      <w:sz w:val="20"/>
                      <w:szCs w:val="20"/>
                      <w:u w:val="none"/>
                      <w:lang w:val="en-US" w:eastAsia="zh-CN" w:bidi="ar"/>
                    </w:rPr>
                    <w:t>液体流量计</w:t>
                  </w:r>
                </w:p>
              </w:tc>
              <w:tc>
                <w:tcPr>
                  <w:tcW w:w="1320" w:type="dxa"/>
                  <w:tcBorders>
                    <w:tl2br w:val="nil"/>
                    <w:tr2bl w:val="nil"/>
                  </w:tcBorders>
                  <w:shd w:val="clear" w:color="auto" w:fill="auto"/>
                  <w:vAlign w:val="center"/>
                </w:tcPr>
                <w:p w14:paraId="068A65F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GL-102B</w:t>
                  </w:r>
                </w:p>
              </w:tc>
              <w:tc>
                <w:tcPr>
                  <w:tcW w:w="1102" w:type="dxa"/>
                  <w:tcBorders>
                    <w:tl2br w:val="nil"/>
                    <w:tr2bl w:val="nil"/>
                  </w:tcBorders>
                  <w:shd w:val="clear" w:color="auto" w:fill="auto"/>
                  <w:vAlign w:val="center"/>
                </w:tcPr>
                <w:p w14:paraId="2C8D664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29A0EEA2">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37D65B5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879" w:type="dxa"/>
                  <w:tcBorders>
                    <w:tl2br w:val="nil"/>
                    <w:tr2bl w:val="nil"/>
                  </w:tcBorders>
                  <w:shd w:val="clear" w:color="auto" w:fill="auto"/>
                  <w:vAlign w:val="center"/>
                </w:tcPr>
                <w:p w14:paraId="5AD92E7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7C6B08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0539A72">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7C63EC3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智能孔口流量校准器</w:t>
                  </w:r>
                </w:p>
              </w:tc>
              <w:tc>
                <w:tcPr>
                  <w:tcW w:w="1320" w:type="dxa"/>
                  <w:tcBorders>
                    <w:tl2br w:val="nil"/>
                    <w:tr2bl w:val="nil"/>
                  </w:tcBorders>
                  <w:shd w:val="clear" w:color="auto" w:fill="auto"/>
                  <w:vAlign w:val="center"/>
                </w:tcPr>
                <w:p w14:paraId="7876BC6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 xml:space="preserve">KYD-100 </w:t>
                  </w:r>
                </w:p>
              </w:tc>
              <w:tc>
                <w:tcPr>
                  <w:tcW w:w="1102" w:type="dxa"/>
                  <w:tcBorders>
                    <w:tl2br w:val="nil"/>
                    <w:tr2bl w:val="nil"/>
                  </w:tcBorders>
                  <w:shd w:val="clear" w:color="auto" w:fill="auto"/>
                  <w:vAlign w:val="center"/>
                </w:tcPr>
                <w:p w14:paraId="049E793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1E5A82A4">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47A90D2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058E4C9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仪器室</w:t>
                  </w:r>
                </w:p>
              </w:tc>
            </w:tr>
            <w:tr w14:paraId="5981BC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5A33FEEC">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1FB1020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双人净化工作台</w:t>
                  </w:r>
                </w:p>
              </w:tc>
              <w:tc>
                <w:tcPr>
                  <w:tcW w:w="1320" w:type="dxa"/>
                  <w:tcBorders>
                    <w:tl2br w:val="nil"/>
                    <w:tr2bl w:val="nil"/>
                  </w:tcBorders>
                  <w:shd w:val="clear" w:color="auto" w:fill="auto"/>
                  <w:vAlign w:val="center"/>
                </w:tcPr>
                <w:p w14:paraId="03A0647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SW-CJ-2D</w:t>
                  </w:r>
                </w:p>
              </w:tc>
              <w:tc>
                <w:tcPr>
                  <w:tcW w:w="1102" w:type="dxa"/>
                  <w:tcBorders>
                    <w:tl2br w:val="nil"/>
                    <w:tr2bl w:val="nil"/>
                  </w:tcBorders>
                  <w:shd w:val="clear" w:color="auto" w:fill="auto"/>
                  <w:vAlign w:val="center"/>
                </w:tcPr>
                <w:p w14:paraId="5B56732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58F0BE98">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097DC5B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3689842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微生物室</w:t>
                  </w:r>
                </w:p>
              </w:tc>
            </w:tr>
            <w:tr w14:paraId="21C814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893E266">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57ABD08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生化培养箱</w:t>
                  </w:r>
                </w:p>
              </w:tc>
              <w:tc>
                <w:tcPr>
                  <w:tcW w:w="1320" w:type="dxa"/>
                  <w:tcBorders>
                    <w:tl2br w:val="nil"/>
                    <w:tr2bl w:val="nil"/>
                  </w:tcBorders>
                  <w:shd w:val="clear" w:color="auto" w:fill="auto"/>
                  <w:vAlign w:val="center"/>
                </w:tcPr>
                <w:p w14:paraId="3801D0A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SPX-250B</w:t>
                  </w:r>
                </w:p>
              </w:tc>
              <w:tc>
                <w:tcPr>
                  <w:tcW w:w="1102" w:type="dxa"/>
                  <w:tcBorders>
                    <w:tl2br w:val="nil"/>
                    <w:tr2bl w:val="nil"/>
                  </w:tcBorders>
                  <w:shd w:val="clear" w:color="auto" w:fill="auto"/>
                  <w:vAlign w:val="center"/>
                </w:tcPr>
                <w:p w14:paraId="6FC5EB9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5E75FA53">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5BF47FF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879" w:type="dxa"/>
                  <w:tcBorders>
                    <w:tl2br w:val="nil"/>
                    <w:tr2bl w:val="nil"/>
                  </w:tcBorders>
                  <w:shd w:val="clear" w:color="auto" w:fill="auto"/>
                  <w:vAlign w:val="center"/>
                </w:tcPr>
                <w:p w14:paraId="3A815FC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微生物室</w:t>
                  </w:r>
                </w:p>
              </w:tc>
            </w:tr>
            <w:tr w14:paraId="189BFA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7B8CE0E">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019DBDC">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不锈钢手提式压力蒸汽灭菌器</w:t>
                  </w:r>
                </w:p>
              </w:tc>
              <w:tc>
                <w:tcPr>
                  <w:tcW w:w="1320" w:type="dxa"/>
                  <w:tcBorders>
                    <w:tl2br w:val="nil"/>
                    <w:tr2bl w:val="nil"/>
                  </w:tcBorders>
                  <w:shd w:val="clear" w:color="auto" w:fill="auto"/>
                  <w:vAlign w:val="center"/>
                </w:tcPr>
                <w:p w14:paraId="0F5D3CF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YX-280D</w:t>
                  </w:r>
                  <w:r>
                    <w:rPr>
                      <w:rFonts w:hint="eastAsia" w:ascii="宋体" w:hAnsi="宋体" w:eastAsia="宋体" w:cs="宋体"/>
                      <w:i w:val="0"/>
                      <w:iCs w:val="0"/>
                      <w:color w:val="000000"/>
                      <w:kern w:val="0"/>
                      <w:sz w:val="20"/>
                      <w:szCs w:val="20"/>
                      <w:u w:val="none"/>
                      <w:lang w:val="en-US" w:eastAsia="zh-CN" w:bidi="ar"/>
                    </w:rPr>
                    <w:t>（</w:t>
                  </w:r>
                  <w:r>
                    <w:rPr>
                      <w:rFonts w:hint="default" w:ascii="Times New Roman" w:hAnsi="Times New Roman" w:eastAsia="宋体" w:cs="Times New Roman"/>
                      <w:i w:val="0"/>
                      <w:iCs w:val="0"/>
                      <w:color w:val="000000"/>
                      <w:kern w:val="0"/>
                      <w:sz w:val="20"/>
                      <w:szCs w:val="20"/>
                      <w:u w:val="none"/>
                      <w:lang w:val="en-US" w:eastAsia="zh-CN" w:bidi="ar"/>
                    </w:rPr>
                    <w:t>2.5</w:t>
                  </w:r>
                  <w:r>
                    <w:rPr>
                      <w:rFonts w:hint="eastAsia" w:ascii="宋体" w:hAnsi="宋体" w:eastAsia="宋体" w:cs="宋体"/>
                      <w:i w:val="0"/>
                      <w:iCs w:val="0"/>
                      <w:color w:val="000000"/>
                      <w:kern w:val="0"/>
                      <w:sz w:val="20"/>
                      <w:szCs w:val="20"/>
                      <w:u w:val="none"/>
                      <w:lang w:val="en-US" w:eastAsia="zh-CN" w:bidi="ar"/>
                    </w:rPr>
                    <w:t>级）</w:t>
                  </w:r>
                </w:p>
              </w:tc>
              <w:tc>
                <w:tcPr>
                  <w:tcW w:w="1102" w:type="dxa"/>
                  <w:tcBorders>
                    <w:tl2br w:val="nil"/>
                    <w:tr2bl w:val="nil"/>
                  </w:tcBorders>
                  <w:shd w:val="clear" w:color="auto" w:fill="auto"/>
                  <w:vAlign w:val="center"/>
                </w:tcPr>
                <w:p w14:paraId="232A031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6D04CACD">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7715E6C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879" w:type="dxa"/>
                  <w:tcBorders>
                    <w:tl2br w:val="nil"/>
                    <w:tr2bl w:val="nil"/>
                  </w:tcBorders>
                  <w:shd w:val="clear" w:color="auto" w:fill="auto"/>
                  <w:vAlign w:val="center"/>
                </w:tcPr>
                <w:p w14:paraId="572D685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微生物室</w:t>
                  </w:r>
                </w:p>
              </w:tc>
            </w:tr>
            <w:tr w14:paraId="152FAB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B878090">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608ECE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生化培养箱</w:t>
                  </w:r>
                </w:p>
              </w:tc>
              <w:tc>
                <w:tcPr>
                  <w:tcW w:w="1320" w:type="dxa"/>
                  <w:tcBorders>
                    <w:tl2br w:val="nil"/>
                    <w:tr2bl w:val="nil"/>
                  </w:tcBorders>
                  <w:shd w:val="clear" w:color="auto" w:fill="auto"/>
                  <w:vAlign w:val="center"/>
                </w:tcPr>
                <w:p w14:paraId="1B4C98F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SPX-80B</w:t>
                  </w:r>
                </w:p>
              </w:tc>
              <w:tc>
                <w:tcPr>
                  <w:tcW w:w="1102" w:type="dxa"/>
                  <w:tcBorders>
                    <w:tl2br w:val="nil"/>
                    <w:tr2bl w:val="nil"/>
                  </w:tcBorders>
                  <w:shd w:val="clear" w:color="auto" w:fill="auto"/>
                  <w:vAlign w:val="center"/>
                </w:tcPr>
                <w:p w14:paraId="182D12EC">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1C0D28C0">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3BCCCA0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223511D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微生物室</w:t>
                  </w:r>
                </w:p>
              </w:tc>
            </w:tr>
            <w:tr w14:paraId="2FB7E4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6E34BBF8">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70CC18A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红外分光测油仪</w:t>
                  </w:r>
                </w:p>
              </w:tc>
              <w:tc>
                <w:tcPr>
                  <w:tcW w:w="1320" w:type="dxa"/>
                  <w:tcBorders>
                    <w:tl2br w:val="nil"/>
                    <w:tr2bl w:val="nil"/>
                  </w:tcBorders>
                  <w:shd w:val="clear" w:color="auto" w:fill="auto"/>
                  <w:vAlign w:val="center"/>
                </w:tcPr>
                <w:p w14:paraId="64B518E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SYT700</w:t>
                  </w:r>
                  <w:r>
                    <w:rPr>
                      <w:rFonts w:hint="eastAsia" w:ascii="宋体" w:hAnsi="宋体" w:eastAsia="宋体" w:cs="宋体"/>
                      <w:i w:val="0"/>
                      <w:iCs w:val="0"/>
                      <w:color w:val="000000"/>
                      <w:kern w:val="0"/>
                      <w:sz w:val="20"/>
                      <w:szCs w:val="20"/>
                      <w:u w:val="none"/>
                      <w:lang w:val="en-US" w:eastAsia="zh-CN" w:bidi="ar"/>
                    </w:rPr>
                    <w:t>型</w:t>
                  </w:r>
                </w:p>
              </w:tc>
              <w:tc>
                <w:tcPr>
                  <w:tcW w:w="1102" w:type="dxa"/>
                  <w:tcBorders>
                    <w:tl2br w:val="nil"/>
                    <w:tr2bl w:val="nil"/>
                  </w:tcBorders>
                  <w:shd w:val="clear" w:color="auto" w:fill="auto"/>
                  <w:vAlign w:val="center"/>
                </w:tcPr>
                <w:p w14:paraId="6EB3DE1C">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2A1DFAB2">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1B74B38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0364160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化分室</w:t>
                  </w:r>
                </w:p>
              </w:tc>
            </w:tr>
            <w:tr w14:paraId="7DEBE1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5E316DE6">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626A61A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紫外可见分光光度计</w:t>
                  </w:r>
                </w:p>
              </w:tc>
              <w:tc>
                <w:tcPr>
                  <w:tcW w:w="1320" w:type="dxa"/>
                  <w:tcBorders>
                    <w:tl2br w:val="nil"/>
                    <w:tr2bl w:val="nil"/>
                  </w:tcBorders>
                  <w:shd w:val="clear" w:color="auto" w:fill="auto"/>
                  <w:vAlign w:val="center"/>
                </w:tcPr>
                <w:p w14:paraId="1839DF8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L5S</w:t>
                  </w:r>
                </w:p>
              </w:tc>
              <w:tc>
                <w:tcPr>
                  <w:tcW w:w="1102" w:type="dxa"/>
                  <w:tcBorders>
                    <w:tl2br w:val="nil"/>
                    <w:tr2bl w:val="nil"/>
                  </w:tcBorders>
                  <w:shd w:val="clear" w:color="auto" w:fill="auto"/>
                  <w:vAlign w:val="center"/>
                </w:tcPr>
                <w:p w14:paraId="1D84CB01">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71A08622">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1A51BFC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3C5103A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分光室</w:t>
                  </w:r>
                </w:p>
              </w:tc>
            </w:tr>
            <w:tr w14:paraId="24EE6F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0FFB8C32">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63CEA96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红外分光测油仪</w:t>
                  </w:r>
                </w:p>
              </w:tc>
              <w:tc>
                <w:tcPr>
                  <w:tcW w:w="1320" w:type="dxa"/>
                  <w:tcBorders>
                    <w:tl2br w:val="nil"/>
                    <w:tr2bl w:val="nil"/>
                  </w:tcBorders>
                  <w:shd w:val="clear" w:color="auto" w:fill="auto"/>
                  <w:vAlign w:val="center"/>
                </w:tcPr>
                <w:p w14:paraId="26353B3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JLBG-121u</w:t>
                  </w:r>
                </w:p>
              </w:tc>
              <w:tc>
                <w:tcPr>
                  <w:tcW w:w="1102" w:type="dxa"/>
                  <w:tcBorders>
                    <w:tl2br w:val="nil"/>
                    <w:tr2bl w:val="nil"/>
                  </w:tcBorders>
                  <w:shd w:val="clear" w:color="auto" w:fill="auto"/>
                  <w:vAlign w:val="center"/>
                </w:tcPr>
                <w:p w14:paraId="1414DD68">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0"/>
                      <w:sz w:val="21"/>
                      <w:szCs w:val="21"/>
                      <w:highlight w:val="none"/>
                      <w:lang w:val="en-US" w:eastAsia="zh-CN"/>
                    </w:rPr>
                    <w:t>0</w:t>
                  </w:r>
                </w:p>
              </w:tc>
              <w:tc>
                <w:tcPr>
                  <w:tcW w:w="1146" w:type="dxa"/>
                  <w:tcBorders>
                    <w:tl2br w:val="nil"/>
                    <w:tr2bl w:val="nil"/>
                  </w:tcBorders>
                  <w:shd w:val="clear" w:color="auto" w:fill="auto"/>
                  <w:vAlign w:val="center"/>
                </w:tcPr>
                <w:p w14:paraId="4D25177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1</w:t>
                  </w:r>
                </w:p>
              </w:tc>
              <w:tc>
                <w:tcPr>
                  <w:tcW w:w="1080" w:type="dxa"/>
                  <w:tcBorders>
                    <w:tl2br w:val="nil"/>
                    <w:tr2bl w:val="nil"/>
                  </w:tcBorders>
                  <w:shd w:val="clear" w:color="auto" w:fill="auto"/>
                  <w:vAlign w:val="center"/>
                </w:tcPr>
                <w:p w14:paraId="1241C82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4AF56AA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分光室</w:t>
                  </w:r>
                </w:p>
              </w:tc>
            </w:tr>
            <w:tr w14:paraId="761DEA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07758E9">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23644D51">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分光光度计</w:t>
                  </w:r>
                </w:p>
              </w:tc>
              <w:tc>
                <w:tcPr>
                  <w:tcW w:w="1320" w:type="dxa"/>
                  <w:tcBorders>
                    <w:tl2br w:val="nil"/>
                    <w:tr2bl w:val="nil"/>
                  </w:tcBorders>
                  <w:shd w:val="clear" w:color="auto" w:fill="auto"/>
                  <w:vAlign w:val="center"/>
                </w:tcPr>
                <w:p w14:paraId="7CB157B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722N</w:t>
                  </w:r>
                </w:p>
              </w:tc>
              <w:tc>
                <w:tcPr>
                  <w:tcW w:w="1102" w:type="dxa"/>
                  <w:tcBorders>
                    <w:tl2br w:val="nil"/>
                    <w:tr2bl w:val="nil"/>
                  </w:tcBorders>
                  <w:shd w:val="clear" w:color="auto" w:fill="auto"/>
                  <w:vAlign w:val="center"/>
                </w:tcPr>
                <w:p w14:paraId="76E4B3D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5CFAFA24">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7D2908E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7AEEE8E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分光室</w:t>
                  </w:r>
                </w:p>
              </w:tc>
            </w:tr>
            <w:tr w14:paraId="3F65D7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A07B7C0">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2C59720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可见分光光度计</w:t>
                  </w:r>
                </w:p>
              </w:tc>
              <w:tc>
                <w:tcPr>
                  <w:tcW w:w="1320" w:type="dxa"/>
                  <w:tcBorders>
                    <w:tl2br w:val="nil"/>
                    <w:tr2bl w:val="nil"/>
                  </w:tcBorders>
                  <w:shd w:val="clear" w:color="auto" w:fill="auto"/>
                  <w:vAlign w:val="center"/>
                </w:tcPr>
                <w:p w14:paraId="26B0B20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VIS-7220</w:t>
                  </w:r>
                </w:p>
              </w:tc>
              <w:tc>
                <w:tcPr>
                  <w:tcW w:w="1102" w:type="dxa"/>
                  <w:tcBorders>
                    <w:tl2br w:val="nil"/>
                    <w:tr2bl w:val="nil"/>
                  </w:tcBorders>
                  <w:shd w:val="clear" w:color="auto" w:fill="auto"/>
                  <w:vAlign w:val="center"/>
                </w:tcPr>
                <w:p w14:paraId="21385ED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71BA802A">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4A9F94A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7E14357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化分室</w:t>
                  </w:r>
                </w:p>
              </w:tc>
            </w:tr>
            <w:tr w14:paraId="2AC73B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023A03C4">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7E25CC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电子天平</w:t>
                  </w:r>
                </w:p>
              </w:tc>
              <w:tc>
                <w:tcPr>
                  <w:tcW w:w="1320" w:type="dxa"/>
                  <w:tcBorders>
                    <w:tl2br w:val="nil"/>
                    <w:tr2bl w:val="nil"/>
                  </w:tcBorders>
                  <w:shd w:val="clear" w:color="auto" w:fill="auto"/>
                  <w:vAlign w:val="center"/>
                </w:tcPr>
                <w:p w14:paraId="3FA786D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JA502</w:t>
                  </w:r>
                </w:p>
              </w:tc>
              <w:tc>
                <w:tcPr>
                  <w:tcW w:w="1102" w:type="dxa"/>
                  <w:tcBorders>
                    <w:tl2br w:val="nil"/>
                    <w:tr2bl w:val="nil"/>
                  </w:tcBorders>
                  <w:shd w:val="clear" w:color="auto" w:fill="auto"/>
                  <w:vAlign w:val="center"/>
                </w:tcPr>
                <w:p w14:paraId="39249A1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1BE1EC77">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1CE93EC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21F4541A">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土壤制备间</w:t>
                  </w:r>
                </w:p>
              </w:tc>
            </w:tr>
            <w:tr w14:paraId="1B288D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429C2674">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49BC9B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箱式电阻炉</w:t>
                  </w:r>
                </w:p>
              </w:tc>
              <w:tc>
                <w:tcPr>
                  <w:tcW w:w="1320" w:type="dxa"/>
                  <w:tcBorders>
                    <w:tl2br w:val="nil"/>
                    <w:tr2bl w:val="nil"/>
                  </w:tcBorders>
                  <w:shd w:val="clear" w:color="auto" w:fill="auto"/>
                  <w:vAlign w:val="center"/>
                </w:tcPr>
                <w:p w14:paraId="65BFFC0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SX2-4-10A</w:t>
                  </w:r>
                </w:p>
              </w:tc>
              <w:tc>
                <w:tcPr>
                  <w:tcW w:w="1102" w:type="dxa"/>
                  <w:tcBorders>
                    <w:tl2br w:val="nil"/>
                    <w:tr2bl w:val="nil"/>
                  </w:tcBorders>
                  <w:shd w:val="clear" w:color="auto" w:fill="auto"/>
                  <w:vAlign w:val="center"/>
                </w:tcPr>
                <w:p w14:paraId="6F89AC9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79CA6FB5">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430E152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393AEDA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高温室</w:t>
                  </w:r>
                </w:p>
              </w:tc>
            </w:tr>
            <w:tr w14:paraId="0F8601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7145C385">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35BE72A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电热鼓风干燥箱</w:t>
                  </w:r>
                </w:p>
              </w:tc>
              <w:tc>
                <w:tcPr>
                  <w:tcW w:w="1320" w:type="dxa"/>
                  <w:tcBorders>
                    <w:tl2br w:val="nil"/>
                    <w:tr2bl w:val="nil"/>
                  </w:tcBorders>
                  <w:shd w:val="clear" w:color="auto" w:fill="auto"/>
                  <w:vAlign w:val="center"/>
                </w:tcPr>
                <w:p w14:paraId="0C1D862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101-1A</w:t>
                  </w:r>
                </w:p>
              </w:tc>
              <w:tc>
                <w:tcPr>
                  <w:tcW w:w="1102" w:type="dxa"/>
                  <w:tcBorders>
                    <w:tl2br w:val="nil"/>
                    <w:tr2bl w:val="nil"/>
                  </w:tcBorders>
                  <w:shd w:val="clear" w:color="auto" w:fill="auto"/>
                  <w:vAlign w:val="center"/>
                </w:tcPr>
                <w:p w14:paraId="4072CEBC">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293E796B">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48152FC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879" w:type="dxa"/>
                  <w:tcBorders>
                    <w:tl2br w:val="nil"/>
                    <w:tr2bl w:val="nil"/>
                  </w:tcBorders>
                  <w:shd w:val="clear" w:color="auto" w:fill="auto"/>
                  <w:vAlign w:val="center"/>
                </w:tcPr>
                <w:p w14:paraId="27DC48E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高温室</w:t>
                  </w:r>
                </w:p>
              </w:tc>
            </w:tr>
            <w:tr w14:paraId="18F77B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0C95C009">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415C963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不锈钢手提式压力蒸汽灭菌器</w:t>
                  </w:r>
                </w:p>
              </w:tc>
              <w:tc>
                <w:tcPr>
                  <w:tcW w:w="1320" w:type="dxa"/>
                  <w:tcBorders>
                    <w:tl2br w:val="nil"/>
                    <w:tr2bl w:val="nil"/>
                  </w:tcBorders>
                  <w:shd w:val="clear" w:color="auto" w:fill="auto"/>
                  <w:vAlign w:val="center"/>
                </w:tcPr>
                <w:p w14:paraId="58F074F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YX-280D</w:t>
                  </w:r>
                  <w:r>
                    <w:rPr>
                      <w:rFonts w:hint="eastAsia" w:ascii="宋体" w:hAnsi="宋体" w:eastAsia="宋体" w:cs="宋体"/>
                      <w:i w:val="0"/>
                      <w:iCs w:val="0"/>
                      <w:color w:val="000000"/>
                      <w:kern w:val="0"/>
                      <w:sz w:val="20"/>
                      <w:szCs w:val="20"/>
                      <w:u w:val="none"/>
                      <w:lang w:val="en-US" w:eastAsia="zh-CN" w:bidi="ar"/>
                    </w:rPr>
                    <w:t>（</w:t>
                  </w:r>
                  <w:r>
                    <w:rPr>
                      <w:rFonts w:hint="default" w:ascii="Times New Roman" w:hAnsi="Times New Roman" w:eastAsia="宋体" w:cs="Times New Roman"/>
                      <w:i w:val="0"/>
                      <w:iCs w:val="0"/>
                      <w:color w:val="000000"/>
                      <w:kern w:val="0"/>
                      <w:sz w:val="20"/>
                      <w:szCs w:val="20"/>
                      <w:u w:val="none"/>
                      <w:lang w:val="en-US" w:eastAsia="zh-CN" w:bidi="ar"/>
                    </w:rPr>
                    <w:t>2.5</w:t>
                  </w:r>
                  <w:r>
                    <w:rPr>
                      <w:rFonts w:hint="eastAsia" w:ascii="宋体" w:hAnsi="宋体" w:eastAsia="宋体" w:cs="宋体"/>
                      <w:i w:val="0"/>
                      <w:iCs w:val="0"/>
                      <w:color w:val="000000"/>
                      <w:kern w:val="0"/>
                      <w:sz w:val="20"/>
                      <w:szCs w:val="20"/>
                      <w:u w:val="none"/>
                      <w:lang w:val="en-US" w:eastAsia="zh-CN" w:bidi="ar"/>
                    </w:rPr>
                    <w:t>级）</w:t>
                  </w:r>
                </w:p>
              </w:tc>
              <w:tc>
                <w:tcPr>
                  <w:tcW w:w="1102" w:type="dxa"/>
                  <w:tcBorders>
                    <w:tl2br w:val="nil"/>
                    <w:tr2bl w:val="nil"/>
                  </w:tcBorders>
                  <w:shd w:val="clear" w:color="auto" w:fill="auto"/>
                  <w:vAlign w:val="center"/>
                </w:tcPr>
                <w:p w14:paraId="7D42205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498656D8">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36412BD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2</w:t>
                  </w:r>
                </w:p>
              </w:tc>
              <w:tc>
                <w:tcPr>
                  <w:tcW w:w="879" w:type="dxa"/>
                  <w:tcBorders>
                    <w:tl2br w:val="nil"/>
                    <w:tr2bl w:val="nil"/>
                  </w:tcBorders>
                  <w:shd w:val="clear" w:color="auto" w:fill="auto"/>
                  <w:vAlign w:val="center"/>
                </w:tcPr>
                <w:p w14:paraId="53D0DB5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前处理室</w:t>
                  </w:r>
                </w:p>
              </w:tc>
            </w:tr>
            <w:tr w14:paraId="0F5133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5BCEDF1A">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5F2AB01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恒温油浴锅</w:t>
                  </w:r>
                </w:p>
              </w:tc>
              <w:tc>
                <w:tcPr>
                  <w:tcW w:w="1320" w:type="dxa"/>
                  <w:tcBorders>
                    <w:tl2br w:val="nil"/>
                    <w:tr2bl w:val="nil"/>
                  </w:tcBorders>
                  <w:shd w:val="clear" w:color="auto" w:fill="auto"/>
                  <w:vAlign w:val="center"/>
                </w:tcPr>
                <w:p w14:paraId="1B349EF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HH-S</w:t>
                  </w:r>
                </w:p>
              </w:tc>
              <w:tc>
                <w:tcPr>
                  <w:tcW w:w="1102" w:type="dxa"/>
                  <w:tcBorders>
                    <w:tl2br w:val="nil"/>
                    <w:tr2bl w:val="nil"/>
                  </w:tcBorders>
                  <w:shd w:val="clear" w:color="auto" w:fill="auto"/>
                  <w:vAlign w:val="center"/>
                </w:tcPr>
                <w:p w14:paraId="60D7FD1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42169837">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717EAEB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296DE9C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前处理室</w:t>
                  </w:r>
                </w:p>
              </w:tc>
            </w:tr>
            <w:tr w14:paraId="263E4A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58E3AB9C">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1F52E8DC">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电子天平</w:t>
                  </w:r>
                </w:p>
              </w:tc>
              <w:tc>
                <w:tcPr>
                  <w:tcW w:w="1320" w:type="dxa"/>
                  <w:tcBorders>
                    <w:tl2br w:val="nil"/>
                    <w:tr2bl w:val="nil"/>
                  </w:tcBorders>
                  <w:shd w:val="clear" w:color="auto" w:fill="auto"/>
                  <w:vAlign w:val="center"/>
                </w:tcPr>
                <w:p w14:paraId="76CAC5E1">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CPA225D</w:t>
                  </w:r>
                </w:p>
              </w:tc>
              <w:tc>
                <w:tcPr>
                  <w:tcW w:w="1102" w:type="dxa"/>
                  <w:tcBorders>
                    <w:tl2br w:val="nil"/>
                    <w:tr2bl w:val="nil"/>
                  </w:tcBorders>
                  <w:shd w:val="clear" w:color="auto" w:fill="auto"/>
                  <w:vAlign w:val="center"/>
                </w:tcPr>
                <w:p w14:paraId="0461BDE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6CC25349">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07F326B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513101A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天平室</w:t>
                  </w:r>
                </w:p>
              </w:tc>
            </w:tr>
            <w:tr w14:paraId="6880F4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47894B6F">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F5FD10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电子天平</w:t>
                  </w:r>
                </w:p>
              </w:tc>
              <w:tc>
                <w:tcPr>
                  <w:tcW w:w="1320" w:type="dxa"/>
                  <w:tcBorders>
                    <w:tl2br w:val="nil"/>
                    <w:tr2bl w:val="nil"/>
                  </w:tcBorders>
                  <w:shd w:val="clear" w:color="auto" w:fill="auto"/>
                  <w:vAlign w:val="center"/>
                </w:tcPr>
                <w:p w14:paraId="5103429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AUY120</w:t>
                  </w:r>
                </w:p>
              </w:tc>
              <w:tc>
                <w:tcPr>
                  <w:tcW w:w="1102" w:type="dxa"/>
                  <w:tcBorders>
                    <w:tl2br w:val="nil"/>
                    <w:tr2bl w:val="nil"/>
                  </w:tcBorders>
                  <w:shd w:val="clear" w:color="auto" w:fill="auto"/>
                  <w:vAlign w:val="center"/>
                </w:tcPr>
                <w:p w14:paraId="3E5A8CC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3693D08B">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370DDC5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49041A5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天平室</w:t>
                  </w:r>
                </w:p>
              </w:tc>
            </w:tr>
            <w:tr w14:paraId="14C5DA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17E9C511">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11A73ADD">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滤膜自动称重系统</w:t>
                  </w:r>
                </w:p>
              </w:tc>
              <w:tc>
                <w:tcPr>
                  <w:tcW w:w="1320" w:type="dxa"/>
                  <w:tcBorders>
                    <w:tl2br w:val="nil"/>
                    <w:tr2bl w:val="nil"/>
                  </w:tcBorders>
                  <w:shd w:val="clear" w:color="auto" w:fill="auto"/>
                  <w:vAlign w:val="center"/>
                </w:tcPr>
                <w:p w14:paraId="4BE1E9A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BTPM-AWS1</w:t>
                  </w:r>
                </w:p>
              </w:tc>
              <w:tc>
                <w:tcPr>
                  <w:tcW w:w="1102" w:type="dxa"/>
                  <w:tcBorders>
                    <w:tl2br w:val="nil"/>
                    <w:tr2bl w:val="nil"/>
                  </w:tcBorders>
                  <w:shd w:val="clear" w:color="auto" w:fill="auto"/>
                  <w:vAlign w:val="center"/>
                </w:tcPr>
                <w:p w14:paraId="64180C7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1146" w:type="dxa"/>
                  <w:tcBorders>
                    <w:tl2br w:val="nil"/>
                    <w:tr2bl w:val="nil"/>
                  </w:tcBorders>
                  <w:shd w:val="clear" w:color="auto" w:fill="auto"/>
                  <w:vAlign w:val="center"/>
                </w:tcPr>
                <w:p w14:paraId="5306CE7D">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0A1EEC4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1</w:t>
                  </w:r>
                </w:p>
              </w:tc>
              <w:tc>
                <w:tcPr>
                  <w:tcW w:w="879" w:type="dxa"/>
                  <w:tcBorders>
                    <w:tl2br w:val="nil"/>
                    <w:tr2bl w:val="nil"/>
                  </w:tcBorders>
                  <w:shd w:val="clear" w:color="auto" w:fill="auto"/>
                  <w:vAlign w:val="center"/>
                </w:tcPr>
                <w:p w14:paraId="0EB8391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天平室</w:t>
                  </w:r>
                </w:p>
              </w:tc>
            </w:tr>
            <w:tr w14:paraId="7FB651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68E5B270">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235FF987">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电子天平</w:t>
                  </w:r>
                </w:p>
              </w:tc>
              <w:tc>
                <w:tcPr>
                  <w:tcW w:w="1320" w:type="dxa"/>
                  <w:tcBorders>
                    <w:tl2br w:val="nil"/>
                    <w:tr2bl w:val="nil"/>
                  </w:tcBorders>
                  <w:shd w:val="clear" w:color="auto" w:fill="auto"/>
                  <w:vAlign w:val="center"/>
                </w:tcPr>
                <w:p w14:paraId="595CEB0E">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JJ500A</w:t>
                  </w:r>
                </w:p>
              </w:tc>
              <w:tc>
                <w:tcPr>
                  <w:tcW w:w="1102" w:type="dxa"/>
                  <w:tcBorders>
                    <w:tl2br w:val="nil"/>
                    <w:tr2bl w:val="nil"/>
                  </w:tcBorders>
                  <w:shd w:val="clear" w:color="auto" w:fill="auto"/>
                  <w:vAlign w:val="center"/>
                </w:tcPr>
                <w:p w14:paraId="74C175F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3</w:t>
                  </w:r>
                </w:p>
              </w:tc>
              <w:tc>
                <w:tcPr>
                  <w:tcW w:w="1146" w:type="dxa"/>
                  <w:tcBorders>
                    <w:tl2br w:val="nil"/>
                    <w:tr2bl w:val="nil"/>
                  </w:tcBorders>
                  <w:shd w:val="clear" w:color="auto" w:fill="auto"/>
                  <w:vAlign w:val="center"/>
                </w:tcPr>
                <w:p w14:paraId="06B91AC4">
                  <w:pPr>
                    <w:jc w:val="center"/>
                    <w:rPr>
                      <w:rFonts w:hint="default" w:ascii="Times New Roman" w:hAnsi="Times New Roman" w:cs="Times New Roman"/>
                      <w:color w:val="auto"/>
                      <w:kern w:val="0"/>
                      <w:sz w:val="21"/>
                      <w:szCs w:val="21"/>
                      <w:highlight w:val="none"/>
                      <w:lang w:val="en-US" w:eastAsia="zh-CN"/>
                    </w:rPr>
                  </w:pPr>
                  <w:r>
                    <w:rPr>
                      <w:rFonts w:hint="eastAsia" w:ascii="Times New Roman" w:hAnsi="Times New Roman" w:cs="Times New Roman"/>
                      <w:color w:val="auto"/>
                      <w:kern w:val="2"/>
                      <w:sz w:val="21"/>
                      <w:szCs w:val="21"/>
                      <w:highlight w:val="none"/>
                      <w:lang w:val="en-US" w:eastAsia="zh-CN" w:bidi="ar-SA"/>
                    </w:rPr>
                    <w:t>0</w:t>
                  </w:r>
                </w:p>
              </w:tc>
              <w:tc>
                <w:tcPr>
                  <w:tcW w:w="1080" w:type="dxa"/>
                  <w:tcBorders>
                    <w:tl2br w:val="nil"/>
                    <w:tr2bl w:val="nil"/>
                  </w:tcBorders>
                  <w:shd w:val="clear" w:color="auto" w:fill="auto"/>
                  <w:vAlign w:val="center"/>
                </w:tcPr>
                <w:p w14:paraId="001D807B">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3</w:t>
                  </w:r>
                </w:p>
              </w:tc>
              <w:tc>
                <w:tcPr>
                  <w:tcW w:w="879" w:type="dxa"/>
                  <w:tcBorders>
                    <w:tl2br w:val="nil"/>
                    <w:tr2bl w:val="nil"/>
                  </w:tcBorders>
                  <w:shd w:val="clear" w:color="auto" w:fill="auto"/>
                  <w:vAlign w:val="center"/>
                </w:tcPr>
                <w:p w14:paraId="3760AA4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天平室</w:t>
                  </w:r>
                </w:p>
              </w:tc>
            </w:tr>
            <w:tr w14:paraId="7CB3E1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2C8BB8B7">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7D3D2BCF">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展款柜冰箱</w:t>
                  </w:r>
                </w:p>
              </w:tc>
              <w:tc>
                <w:tcPr>
                  <w:tcW w:w="1320" w:type="dxa"/>
                  <w:tcBorders>
                    <w:tl2br w:val="nil"/>
                    <w:tr2bl w:val="nil"/>
                  </w:tcBorders>
                  <w:shd w:val="clear" w:color="auto" w:fill="auto"/>
                  <w:vAlign w:val="center"/>
                </w:tcPr>
                <w:p w14:paraId="6E1482E2">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w:t>
                  </w:r>
                </w:p>
              </w:tc>
              <w:tc>
                <w:tcPr>
                  <w:tcW w:w="1102" w:type="dxa"/>
                  <w:tcBorders>
                    <w:tl2br w:val="nil"/>
                    <w:tr2bl w:val="nil"/>
                  </w:tcBorders>
                  <w:shd w:val="clear" w:color="auto" w:fill="auto"/>
                  <w:vAlign w:val="center"/>
                </w:tcPr>
                <w:p w14:paraId="1B3EF986">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1146" w:type="dxa"/>
                  <w:tcBorders>
                    <w:tl2br w:val="nil"/>
                    <w:tr2bl w:val="nil"/>
                  </w:tcBorders>
                  <w:shd w:val="clear" w:color="auto" w:fill="auto"/>
                  <w:vAlign w:val="center"/>
                </w:tcPr>
                <w:p w14:paraId="20D078C9">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2</w:t>
                  </w:r>
                </w:p>
              </w:tc>
              <w:tc>
                <w:tcPr>
                  <w:tcW w:w="1080" w:type="dxa"/>
                  <w:tcBorders>
                    <w:tl2br w:val="nil"/>
                    <w:tr2bl w:val="nil"/>
                  </w:tcBorders>
                  <w:shd w:val="clear" w:color="auto" w:fill="auto"/>
                  <w:vAlign w:val="center"/>
                </w:tcPr>
                <w:p w14:paraId="3038B248">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4</w:t>
                  </w:r>
                </w:p>
              </w:tc>
              <w:tc>
                <w:tcPr>
                  <w:tcW w:w="879" w:type="dxa"/>
                  <w:tcBorders>
                    <w:tl2br w:val="nil"/>
                    <w:tr2bl w:val="nil"/>
                  </w:tcBorders>
                  <w:shd w:val="clear" w:color="auto" w:fill="auto"/>
                  <w:vAlign w:val="center"/>
                </w:tcPr>
                <w:p w14:paraId="0DF62F5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样品室</w:t>
                  </w:r>
                </w:p>
              </w:tc>
            </w:tr>
            <w:tr w14:paraId="48B5E2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30" w:type="dxa"/>
                  <w:tcBorders>
                    <w:tl2br w:val="nil"/>
                    <w:tr2bl w:val="nil"/>
                  </w:tcBorders>
                  <w:vAlign w:val="center"/>
                </w:tcPr>
                <w:p w14:paraId="083336D7">
                  <w:pPr>
                    <w:numPr>
                      <w:ilvl w:val="0"/>
                      <w:numId w:val="1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810" w:type="dxa"/>
                  <w:tcBorders>
                    <w:tl2br w:val="nil"/>
                    <w:tr2bl w:val="nil"/>
                  </w:tcBorders>
                  <w:shd w:val="clear" w:color="auto" w:fill="auto"/>
                  <w:vAlign w:val="center"/>
                </w:tcPr>
                <w:p w14:paraId="061955A1">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普通冰箱</w:t>
                  </w:r>
                </w:p>
              </w:tc>
              <w:tc>
                <w:tcPr>
                  <w:tcW w:w="1320" w:type="dxa"/>
                  <w:tcBorders>
                    <w:tl2br w:val="nil"/>
                    <w:tr2bl w:val="nil"/>
                  </w:tcBorders>
                  <w:shd w:val="clear" w:color="auto" w:fill="auto"/>
                  <w:vAlign w:val="center"/>
                </w:tcPr>
                <w:p w14:paraId="299A0403">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w:t>
                  </w:r>
                </w:p>
              </w:tc>
              <w:tc>
                <w:tcPr>
                  <w:tcW w:w="1102" w:type="dxa"/>
                  <w:tcBorders>
                    <w:tl2br w:val="nil"/>
                    <w:tr2bl w:val="nil"/>
                  </w:tcBorders>
                  <w:shd w:val="clear" w:color="auto" w:fill="auto"/>
                  <w:vAlign w:val="center"/>
                </w:tcPr>
                <w:p w14:paraId="1D8FC0B4">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4</w:t>
                  </w:r>
                </w:p>
              </w:tc>
              <w:tc>
                <w:tcPr>
                  <w:tcW w:w="1146" w:type="dxa"/>
                  <w:tcBorders>
                    <w:tl2br w:val="nil"/>
                    <w:tr2bl w:val="nil"/>
                  </w:tcBorders>
                  <w:shd w:val="clear" w:color="auto" w:fill="auto"/>
                  <w:vAlign w:val="center"/>
                </w:tcPr>
                <w:p w14:paraId="11EE7430">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2</w:t>
                  </w:r>
                </w:p>
              </w:tc>
              <w:tc>
                <w:tcPr>
                  <w:tcW w:w="1080" w:type="dxa"/>
                  <w:tcBorders>
                    <w:tl2br w:val="nil"/>
                    <w:tr2bl w:val="nil"/>
                  </w:tcBorders>
                  <w:shd w:val="clear" w:color="auto" w:fill="auto"/>
                  <w:vAlign w:val="center"/>
                </w:tcPr>
                <w:p w14:paraId="54BE105C">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6</w:t>
                  </w:r>
                </w:p>
              </w:tc>
              <w:tc>
                <w:tcPr>
                  <w:tcW w:w="879" w:type="dxa"/>
                  <w:tcBorders>
                    <w:tl2br w:val="nil"/>
                    <w:tr2bl w:val="nil"/>
                  </w:tcBorders>
                  <w:shd w:val="clear" w:color="auto" w:fill="auto"/>
                  <w:vAlign w:val="center"/>
                </w:tcPr>
                <w:p w14:paraId="51266EB5">
                  <w:pPr>
                    <w:keepNext w:val="0"/>
                    <w:keepLines w:val="0"/>
                    <w:widowControl/>
                    <w:suppressLineNumbers w:val="0"/>
                    <w:jc w:val="center"/>
                    <w:textAlignment w:val="center"/>
                    <w:rPr>
                      <w:rFonts w:hint="default" w:ascii="Times New Roman" w:hAnsi="Times New Roman" w:cs="Times New Roman"/>
                      <w:color w:val="auto"/>
                      <w:kern w:val="0"/>
                      <w:sz w:val="21"/>
                      <w:szCs w:val="21"/>
                      <w:highlight w:val="none"/>
                      <w:lang w:val="en-US" w:eastAsia="zh-CN"/>
                    </w:rPr>
                  </w:pPr>
                  <w:r>
                    <w:rPr>
                      <w:rFonts w:hint="eastAsia" w:ascii="宋体" w:hAnsi="宋体" w:eastAsia="宋体" w:cs="宋体"/>
                      <w:i w:val="0"/>
                      <w:iCs w:val="0"/>
                      <w:color w:val="000000"/>
                      <w:kern w:val="0"/>
                      <w:sz w:val="20"/>
                      <w:szCs w:val="20"/>
                      <w:u w:val="none"/>
                      <w:lang w:val="en-US" w:eastAsia="zh-CN" w:bidi="ar"/>
                    </w:rPr>
                    <w:t>样品室</w:t>
                  </w:r>
                </w:p>
              </w:tc>
            </w:tr>
          </w:tbl>
          <w:p w14:paraId="3B8C984B">
            <w:pPr>
              <w:numPr>
                <w:ilvl w:val="0"/>
                <w:numId w:val="1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主要原辅材料</w:t>
            </w:r>
          </w:p>
          <w:p w14:paraId="1BBB4113">
            <w:pPr>
              <w:adjustRightInd w:val="0"/>
              <w:snapToGrid w:val="0"/>
              <w:spacing w:line="360" w:lineRule="auto"/>
              <w:ind w:firstLine="480" w:firstLineChars="200"/>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4"/>
                <w:highlight w:val="none"/>
              </w:rPr>
              <w:t>项目</w:t>
            </w:r>
            <w:r>
              <w:rPr>
                <w:rFonts w:hint="eastAsia" w:cs="Times New Roman"/>
                <w:color w:val="auto"/>
                <w:sz w:val="24"/>
                <w:highlight w:val="none"/>
                <w:lang w:val="en-US" w:eastAsia="zh-CN"/>
              </w:rPr>
              <w:t>迁建后</w:t>
            </w:r>
            <w:r>
              <w:rPr>
                <w:rFonts w:hint="default" w:ascii="Times New Roman" w:hAnsi="Times New Roman" w:eastAsia="宋体" w:cs="Times New Roman"/>
                <w:color w:val="auto"/>
                <w:sz w:val="24"/>
                <w:highlight w:val="none"/>
              </w:rPr>
              <w:t>主要原辅材料</w:t>
            </w:r>
            <w:r>
              <w:rPr>
                <w:rFonts w:hint="eastAsia" w:cs="Times New Roman"/>
                <w:color w:val="auto"/>
                <w:sz w:val="24"/>
                <w:highlight w:val="none"/>
                <w:lang w:val="en-US" w:eastAsia="zh-CN"/>
              </w:rPr>
              <w:t>使用情况</w:t>
            </w:r>
            <w:r>
              <w:rPr>
                <w:rFonts w:hint="default" w:ascii="Times New Roman" w:hAnsi="Times New Roman" w:eastAsia="宋体" w:cs="Times New Roman"/>
                <w:color w:val="auto"/>
                <w:sz w:val="24"/>
                <w:highlight w:val="none"/>
              </w:rPr>
              <w:t>详见下表。</w:t>
            </w:r>
          </w:p>
          <w:p w14:paraId="79BC48D8">
            <w:pPr>
              <w:numPr>
                <w:ilvl w:val="0"/>
                <w:numId w:val="12"/>
              </w:numPr>
              <w:adjustRightInd w:val="0"/>
              <w:snapToGrid w:val="0"/>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项目主要原辅材料使用情况一览表</w:t>
            </w:r>
          </w:p>
          <w:tbl>
            <w:tblPr>
              <w:tblStyle w:val="24"/>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323"/>
              <w:gridCol w:w="1388"/>
              <w:gridCol w:w="1445"/>
              <w:gridCol w:w="1487"/>
              <w:gridCol w:w="1487"/>
            </w:tblGrid>
            <w:tr w14:paraId="37C654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2FD3E026">
                  <w:pPr>
                    <w:numPr>
                      <w:ilvl w:val="0"/>
                      <w:numId w:val="0"/>
                    </w:numPr>
                    <w:spacing w:line="240" w:lineRule="auto"/>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1323" w:type="dxa"/>
                  <w:tcBorders>
                    <w:tl2br w:val="nil"/>
                    <w:tr2bl w:val="nil"/>
                  </w:tcBorders>
                  <w:vAlign w:val="center"/>
                </w:tcPr>
                <w:p w14:paraId="52A9C727">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名称</w:t>
                  </w:r>
                </w:p>
              </w:tc>
              <w:tc>
                <w:tcPr>
                  <w:tcW w:w="1388" w:type="dxa"/>
                  <w:tcBorders>
                    <w:tl2br w:val="nil"/>
                    <w:tr2bl w:val="nil"/>
                  </w:tcBorders>
                  <w:vAlign w:val="center"/>
                </w:tcPr>
                <w:p w14:paraId="03CFF830">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规格</w:t>
                  </w:r>
                </w:p>
              </w:tc>
              <w:tc>
                <w:tcPr>
                  <w:tcW w:w="1445" w:type="dxa"/>
                  <w:tcBorders>
                    <w:tl2br w:val="nil"/>
                    <w:tr2bl w:val="nil"/>
                  </w:tcBorders>
                  <w:shd w:val="clear" w:color="auto" w:fill="auto"/>
                  <w:vAlign w:val="center"/>
                </w:tcPr>
                <w:p w14:paraId="08D4846D">
                  <w:pPr>
                    <w:numPr>
                      <w:ilvl w:val="0"/>
                      <w:numId w:val="0"/>
                    </w:numPr>
                    <w:spacing w:line="240" w:lineRule="auto"/>
                    <w:ind w:left="0" w:leftChars="0" w:firstLine="0" w:firstLineChars="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年使用量</w:t>
                  </w:r>
                </w:p>
              </w:tc>
              <w:tc>
                <w:tcPr>
                  <w:tcW w:w="1487" w:type="dxa"/>
                  <w:tcBorders>
                    <w:tl2br w:val="nil"/>
                    <w:tr2bl w:val="nil"/>
                  </w:tcBorders>
                  <w:vAlign w:val="center"/>
                </w:tcPr>
                <w:p w14:paraId="5E5ED50C">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最大贮存量</w:t>
                  </w:r>
                </w:p>
              </w:tc>
              <w:tc>
                <w:tcPr>
                  <w:tcW w:w="1487" w:type="dxa"/>
                  <w:tcBorders>
                    <w:tl2br w:val="nil"/>
                    <w:tr2bl w:val="nil"/>
                  </w:tcBorders>
                  <w:vAlign w:val="center"/>
                </w:tcPr>
                <w:p w14:paraId="6CD1831A">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贮存位置</w:t>
                  </w:r>
                </w:p>
              </w:tc>
            </w:tr>
            <w:tr w14:paraId="1BFB7C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tcBorders>
                    <w:tl2br w:val="nil"/>
                    <w:tr2bl w:val="nil"/>
                  </w:tcBorders>
                  <w:vAlign w:val="center"/>
                </w:tcPr>
                <w:p w14:paraId="08AC1E8A">
                  <w:pPr>
                    <w:numPr>
                      <w:ilvl w:val="0"/>
                      <w:numId w:val="14"/>
                    </w:numPr>
                    <w:spacing w:line="240" w:lineRule="auto"/>
                    <w:ind w:left="425" w:leftChars="0" w:hanging="425" w:firstLineChars="0"/>
                    <w:jc w:val="both"/>
                    <w:rPr>
                      <w:rFonts w:hint="default" w:ascii="Times New Roman" w:hAnsi="Times New Roman" w:eastAsia="宋体" w:cs="Times New Roman"/>
                      <w:b w:val="0"/>
                      <w:bCs w:val="0"/>
                      <w:color w:val="auto"/>
                      <w:sz w:val="21"/>
                      <w:szCs w:val="21"/>
                      <w:highlight w:val="none"/>
                      <w:vertAlign w:val="baseline"/>
                      <w:lang w:val="en-US"/>
                    </w:rPr>
                  </w:pPr>
                </w:p>
              </w:tc>
              <w:tc>
                <w:tcPr>
                  <w:tcW w:w="1323" w:type="dxa"/>
                  <w:tcBorders>
                    <w:tl2br w:val="nil"/>
                    <w:tr2bl w:val="nil"/>
                  </w:tcBorders>
                  <w:shd w:val="clear" w:color="auto" w:fill="auto"/>
                  <w:vAlign w:val="center"/>
                </w:tcPr>
                <w:p w14:paraId="538F711E">
                  <w:pPr>
                    <w:jc w:val="center"/>
                    <w:rPr>
                      <w:rFonts w:hint="default" w:ascii="Times New Roman" w:hAnsi="Times New Roman" w:eastAsia="宋体" w:cs="Times New Roman"/>
                      <w:kern w:val="2"/>
                      <w:sz w:val="21"/>
                      <w:szCs w:val="24"/>
                      <w:lang w:val="en-US" w:eastAsia="zh-CN" w:bidi="ar-SA"/>
                    </w:rPr>
                  </w:pPr>
                  <w:r>
                    <w:rPr>
                      <w:rFonts w:hint="eastAsia"/>
                    </w:rPr>
                    <w:t>甲醇</w:t>
                  </w:r>
                </w:p>
              </w:tc>
              <w:tc>
                <w:tcPr>
                  <w:tcW w:w="1388" w:type="dxa"/>
                  <w:tcBorders>
                    <w:tl2br w:val="nil"/>
                    <w:tr2bl w:val="nil"/>
                  </w:tcBorders>
                  <w:shd w:val="clear" w:color="auto" w:fill="auto"/>
                  <w:vAlign w:val="center"/>
                </w:tcPr>
                <w:p w14:paraId="74269251">
                  <w:pPr>
                    <w:jc w:val="center"/>
                    <w:rPr>
                      <w:rFonts w:hint="default" w:ascii="Times New Roman" w:hAnsi="Times New Roman" w:eastAsia="宋体" w:cs="Times New Roman"/>
                      <w:kern w:val="2"/>
                      <w:sz w:val="21"/>
                      <w:szCs w:val="24"/>
                      <w:lang w:val="en-US" w:eastAsia="zh-CN" w:bidi="ar-SA"/>
                    </w:rPr>
                  </w:pPr>
                  <w:r>
                    <w:rPr>
                      <w:rFonts w:hint="eastAsia"/>
                    </w:rPr>
                    <w:t>500ml</w:t>
                  </w:r>
                </w:p>
              </w:tc>
              <w:tc>
                <w:tcPr>
                  <w:tcW w:w="1445" w:type="dxa"/>
                  <w:tcBorders>
                    <w:tl2br w:val="nil"/>
                    <w:tr2bl w:val="nil"/>
                  </w:tcBorders>
                  <w:shd w:val="clear" w:color="auto" w:fill="auto"/>
                  <w:vAlign w:val="center"/>
                </w:tcPr>
                <w:p w14:paraId="6C49E1A3">
                  <w:pPr>
                    <w:jc w:val="center"/>
                    <w:rPr>
                      <w:rFonts w:hint="default" w:ascii="Times New Roman" w:hAnsi="Times New Roman" w:eastAsia="宋体" w:cs="Times New Roman"/>
                      <w:kern w:val="2"/>
                      <w:sz w:val="21"/>
                      <w:szCs w:val="24"/>
                      <w:lang w:val="en-US" w:eastAsia="zh-CN" w:bidi="ar-SA"/>
                    </w:rPr>
                  </w:pPr>
                  <w:r>
                    <w:rPr>
                      <w:rFonts w:hint="eastAsia"/>
                    </w:rPr>
                    <w:t>350ml</w:t>
                  </w:r>
                </w:p>
              </w:tc>
              <w:tc>
                <w:tcPr>
                  <w:tcW w:w="1487" w:type="dxa"/>
                  <w:tcBorders>
                    <w:tl2br w:val="nil"/>
                    <w:tr2bl w:val="nil"/>
                  </w:tcBorders>
                  <w:shd w:val="clear" w:color="auto" w:fill="auto"/>
                  <w:vAlign w:val="center"/>
                </w:tcPr>
                <w:p w14:paraId="63099B2D">
                  <w:pPr>
                    <w:jc w:val="center"/>
                    <w:rPr>
                      <w:rFonts w:hint="default" w:ascii="Times New Roman" w:hAnsi="Times New Roman" w:eastAsia="宋体" w:cs="Times New Roman"/>
                      <w:kern w:val="2"/>
                      <w:sz w:val="21"/>
                      <w:szCs w:val="24"/>
                      <w:lang w:val="en-US" w:eastAsia="zh-CN" w:bidi="ar-SA"/>
                    </w:rPr>
                  </w:pPr>
                  <w:r>
                    <w:rPr>
                      <w:rFonts w:hint="eastAsia"/>
                      <w:lang w:val="en-US" w:eastAsia="zh-CN"/>
                    </w:rPr>
                    <w:t>0.5L</w:t>
                  </w:r>
                </w:p>
              </w:tc>
              <w:tc>
                <w:tcPr>
                  <w:tcW w:w="1487" w:type="dxa"/>
                  <w:tcBorders>
                    <w:tl2br w:val="nil"/>
                    <w:tr2bl w:val="nil"/>
                  </w:tcBorders>
                  <w:shd w:val="clear" w:color="auto" w:fill="auto"/>
                  <w:vAlign w:val="center"/>
                </w:tcPr>
                <w:p w14:paraId="699CDED7">
                  <w:pPr>
                    <w:jc w:val="center"/>
                    <w:rPr>
                      <w:rFonts w:hint="default"/>
                      <w:lang w:val="en-US" w:eastAsia="zh-CN"/>
                    </w:rPr>
                  </w:pPr>
                  <w:r>
                    <w:rPr>
                      <w:rFonts w:hint="eastAsia"/>
                      <w:lang w:val="en-US" w:eastAsia="zh-CN"/>
                    </w:rPr>
                    <w:t>试剂室</w:t>
                  </w:r>
                </w:p>
              </w:tc>
            </w:tr>
            <w:tr w14:paraId="7F0CFA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0A74ACB">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345069A">
                  <w:pPr>
                    <w:jc w:val="center"/>
                    <w:rPr>
                      <w:rFonts w:hint="default" w:ascii="Times New Roman" w:hAnsi="Times New Roman" w:eastAsia="宋体" w:cs="Times New Roman"/>
                      <w:kern w:val="2"/>
                      <w:sz w:val="21"/>
                      <w:szCs w:val="24"/>
                      <w:lang w:val="en-US" w:eastAsia="zh-CN" w:bidi="ar-SA"/>
                    </w:rPr>
                  </w:pPr>
                  <w:r>
                    <w:rPr>
                      <w:rFonts w:hint="eastAsia"/>
                    </w:rPr>
                    <w:t>乙醇</w:t>
                  </w:r>
                </w:p>
              </w:tc>
              <w:tc>
                <w:tcPr>
                  <w:tcW w:w="1388" w:type="dxa"/>
                  <w:tcBorders>
                    <w:tl2br w:val="nil"/>
                    <w:tr2bl w:val="nil"/>
                  </w:tcBorders>
                  <w:shd w:val="clear" w:color="auto" w:fill="auto"/>
                  <w:vAlign w:val="center"/>
                </w:tcPr>
                <w:p w14:paraId="1F415BF5">
                  <w:pPr>
                    <w:jc w:val="center"/>
                    <w:rPr>
                      <w:rFonts w:hint="default" w:ascii="Times New Roman" w:hAnsi="Times New Roman" w:eastAsia="宋体" w:cs="Times New Roman"/>
                      <w:kern w:val="2"/>
                      <w:sz w:val="21"/>
                      <w:szCs w:val="24"/>
                      <w:lang w:val="en-US" w:eastAsia="zh-CN" w:bidi="ar-SA"/>
                    </w:rPr>
                  </w:pPr>
                  <w:r>
                    <w:rPr>
                      <w:rFonts w:hint="eastAsia"/>
                    </w:rPr>
                    <w:t>500ml</w:t>
                  </w:r>
                </w:p>
              </w:tc>
              <w:tc>
                <w:tcPr>
                  <w:tcW w:w="1445" w:type="dxa"/>
                  <w:tcBorders>
                    <w:tl2br w:val="nil"/>
                    <w:tr2bl w:val="nil"/>
                  </w:tcBorders>
                  <w:shd w:val="clear" w:color="auto" w:fill="auto"/>
                  <w:vAlign w:val="center"/>
                </w:tcPr>
                <w:p w14:paraId="4B240E28">
                  <w:pPr>
                    <w:jc w:val="center"/>
                    <w:rPr>
                      <w:rFonts w:hint="default"/>
                      <w:lang w:val="en-US" w:eastAsia="zh-CN"/>
                    </w:rPr>
                  </w:pPr>
                  <w:r>
                    <w:rPr>
                      <w:rFonts w:hint="eastAsia"/>
                    </w:rPr>
                    <w:t>4L</w:t>
                  </w:r>
                </w:p>
              </w:tc>
              <w:tc>
                <w:tcPr>
                  <w:tcW w:w="1487" w:type="dxa"/>
                  <w:tcBorders>
                    <w:tl2br w:val="nil"/>
                    <w:tr2bl w:val="nil"/>
                  </w:tcBorders>
                  <w:shd w:val="clear" w:color="auto" w:fill="auto"/>
                  <w:vAlign w:val="center"/>
                </w:tcPr>
                <w:p w14:paraId="5D201D23">
                  <w:pPr>
                    <w:jc w:val="center"/>
                    <w:rPr>
                      <w:rFonts w:hint="default"/>
                      <w:lang w:val="en-US" w:eastAsia="zh-CN"/>
                    </w:rPr>
                  </w:pPr>
                  <w:r>
                    <w:rPr>
                      <w:rFonts w:hint="eastAsia"/>
                      <w:lang w:val="en-US" w:eastAsia="zh-CN"/>
                    </w:rPr>
                    <w:t>2.5L</w:t>
                  </w:r>
                </w:p>
              </w:tc>
              <w:tc>
                <w:tcPr>
                  <w:tcW w:w="1487" w:type="dxa"/>
                  <w:tcBorders>
                    <w:tl2br w:val="nil"/>
                    <w:tr2bl w:val="nil"/>
                  </w:tcBorders>
                  <w:shd w:val="clear" w:color="auto" w:fill="auto"/>
                  <w:vAlign w:val="center"/>
                </w:tcPr>
                <w:p w14:paraId="7F93F638">
                  <w:pPr>
                    <w:jc w:val="center"/>
                    <w:rPr>
                      <w:rFonts w:hint="eastAsia"/>
                      <w:lang w:val="en-US" w:eastAsia="zh-CN"/>
                    </w:rPr>
                  </w:pPr>
                  <w:r>
                    <w:rPr>
                      <w:rFonts w:hint="eastAsia"/>
                      <w:lang w:val="en-US" w:eastAsia="zh-CN"/>
                    </w:rPr>
                    <w:t>试剂室</w:t>
                  </w:r>
                </w:p>
              </w:tc>
            </w:tr>
            <w:tr w14:paraId="4FF9B2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0B48C73">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4989A887">
                  <w:pPr>
                    <w:jc w:val="center"/>
                    <w:rPr>
                      <w:rFonts w:hint="default" w:ascii="Times New Roman" w:hAnsi="Times New Roman" w:eastAsia="宋体" w:cs="Times New Roman"/>
                      <w:kern w:val="2"/>
                      <w:sz w:val="21"/>
                      <w:szCs w:val="24"/>
                      <w:lang w:val="en-US" w:eastAsia="zh-CN" w:bidi="ar-SA"/>
                    </w:rPr>
                  </w:pPr>
                  <w:r>
                    <w:rPr>
                      <w:rFonts w:hint="eastAsia"/>
                    </w:rPr>
                    <w:t>异丙酮</w:t>
                  </w:r>
                </w:p>
              </w:tc>
              <w:tc>
                <w:tcPr>
                  <w:tcW w:w="1388" w:type="dxa"/>
                  <w:tcBorders>
                    <w:tl2br w:val="nil"/>
                    <w:tr2bl w:val="nil"/>
                  </w:tcBorders>
                  <w:shd w:val="clear" w:color="auto" w:fill="auto"/>
                  <w:vAlign w:val="center"/>
                </w:tcPr>
                <w:p w14:paraId="74CB0383">
                  <w:pPr>
                    <w:jc w:val="center"/>
                    <w:rPr>
                      <w:rFonts w:hint="eastAsia" w:ascii="Times New Roman" w:hAnsi="Times New Roman" w:eastAsia="宋体" w:cs="Times New Roman"/>
                      <w:kern w:val="2"/>
                      <w:sz w:val="21"/>
                      <w:szCs w:val="24"/>
                      <w:lang w:val="en-US" w:eastAsia="zh-CN" w:bidi="ar-SA"/>
                    </w:rPr>
                  </w:pPr>
                  <w:r>
                    <w:rPr>
                      <w:rFonts w:hint="eastAsia"/>
                    </w:rPr>
                    <w:t>500ml</w:t>
                  </w:r>
                </w:p>
              </w:tc>
              <w:tc>
                <w:tcPr>
                  <w:tcW w:w="1445" w:type="dxa"/>
                  <w:tcBorders>
                    <w:tl2br w:val="nil"/>
                    <w:tr2bl w:val="nil"/>
                  </w:tcBorders>
                  <w:shd w:val="clear" w:color="auto" w:fill="auto"/>
                  <w:vAlign w:val="center"/>
                </w:tcPr>
                <w:p w14:paraId="2AE82CA3">
                  <w:pPr>
                    <w:jc w:val="center"/>
                    <w:rPr>
                      <w:rFonts w:hint="eastAsia"/>
                      <w:lang w:val="en-US" w:eastAsia="zh-CN"/>
                    </w:rPr>
                  </w:pPr>
                  <w:r>
                    <w:rPr>
                      <w:rFonts w:hint="eastAsia"/>
                    </w:rPr>
                    <w:t>1L</w:t>
                  </w:r>
                </w:p>
              </w:tc>
              <w:tc>
                <w:tcPr>
                  <w:tcW w:w="1487" w:type="dxa"/>
                  <w:tcBorders>
                    <w:tl2br w:val="nil"/>
                    <w:tr2bl w:val="nil"/>
                  </w:tcBorders>
                  <w:shd w:val="clear" w:color="auto" w:fill="auto"/>
                  <w:vAlign w:val="center"/>
                </w:tcPr>
                <w:p w14:paraId="28C61731">
                  <w:pPr>
                    <w:jc w:val="center"/>
                    <w:rPr>
                      <w:rFonts w:hint="default"/>
                      <w:lang w:val="en-US" w:eastAsia="zh-CN"/>
                    </w:rPr>
                  </w:pPr>
                  <w:r>
                    <w:rPr>
                      <w:rFonts w:hint="eastAsia"/>
                      <w:lang w:val="en-US" w:eastAsia="zh-CN"/>
                    </w:rPr>
                    <w:t>1L</w:t>
                  </w:r>
                </w:p>
              </w:tc>
              <w:tc>
                <w:tcPr>
                  <w:tcW w:w="1487" w:type="dxa"/>
                  <w:tcBorders>
                    <w:tl2br w:val="nil"/>
                    <w:tr2bl w:val="nil"/>
                  </w:tcBorders>
                  <w:shd w:val="clear" w:color="auto" w:fill="auto"/>
                  <w:vAlign w:val="center"/>
                </w:tcPr>
                <w:p w14:paraId="06A351CB">
                  <w:pPr>
                    <w:jc w:val="center"/>
                    <w:rPr>
                      <w:rFonts w:hint="eastAsia"/>
                      <w:lang w:val="en-US" w:eastAsia="zh-CN"/>
                    </w:rPr>
                  </w:pPr>
                  <w:r>
                    <w:rPr>
                      <w:rFonts w:hint="eastAsia"/>
                      <w:lang w:val="en-US" w:eastAsia="zh-CN"/>
                    </w:rPr>
                    <w:t>试剂室</w:t>
                  </w:r>
                </w:p>
              </w:tc>
            </w:tr>
            <w:tr w14:paraId="2107B7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420CA99">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12C12E38">
                  <w:pPr>
                    <w:jc w:val="center"/>
                    <w:rPr>
                      <w:rFonts w:hint="default" w:ascii="Times New Roman" w:hAnsi="Times New Roman" w:eastAsia="宋体" w:cs="Times New Roman"/>
                      <w:kern w:val="2"/>
                      <w:sz w:val="21"/>
                      <w:szCs w:val="24"/>
                      <w:lang w:val="en-US" w:eastAsia="zh-CN" w:bidi="ar-SA"/>
                    </w:rPr>
                  </w:pPr>
                  <w:r>
                    <w:rPr>
                      <w:rFonts w:hint="eastAsia"/>
                    </w:rPr>
                    <w:t>丙酮</w:t>
                  </w:r>
                </w:p>
              </w:tc>
              <w:tc>
                <w:tcPr>
                  <w:tcW w:w="1388" w:type="dxa"/>
                  <w:tcBorders>
                    <w:tl2br w:val="nil"/>
                    <w:tr2bl w:val="nil"/>
                  </w:tcBorders>
                  <w:shd w:val="clear" w:color="auto" w:fill="auto"/>
                  <w:vAlign w:val="center"/>
                </w:tcPr>
                <w:p w14:paraId="5EE21738">
                  <w:pPr>
                    <w:jc w:val="center"/>
                    <w:rPr>
                      <w:rFonts w:hint="eastAsia" w:ascii="Times New Roman" w:hAnsi="Times New Roman" w:eastAsia="宋体" w:cs="Times New Roman"/>
                      <w:kern w:val="2"/>
                      <w:sz w:val="21"/>
                      <w:szCs w:val="24"/>
                      <w:lang w:val="en-US" w:eastAsia="zh-CN" w:bidi="ar-SA"/>
                    </w:rPr>
                  </w:pPr>
                  <w:r>
                    <w:rPr>
                      <w:rFonts w:hint="eastAsia"/>
                    </w:rPr>
                    <w:t>500ml</w:t>
                  </w:r>
                </w:p>
              </w:tc>
              <w:tc>
                <w:tcPr>
                  <w:tcW w:w="1445" w:type="dxa"/>
                  <w:tcBorders>
                    <w:tl2br w:val="nil"/>
                    <w:tr2bl w:val="nil"/>
                  </w:tcBorders>
                  <w:shd w:val="clear" w:color="auto" w:fill="auto"/>
                  <w:vAlign w:val="center"/>
                </w:tcPr>
                <w:p w14:paraId="0A614337">
                  <w:pPr>
                    <w:jc w:val="center"/>
                    <w:rPr>
                      <w:rFonts w:hint="eastAsia" w:ascii="Times New Roman" w:hAnsi="Times New Roman" w:eastAsia="宋体" w:cs="Times New Roman"/>
                      <w:kern w:val="2"/>
                      <w:sz w:val="21"/>
                      <w:szCs w:val="24"/>
                      <w:lang w:val="en-US" w:eastAsia="zh-CN" w:bidi="ar-SA"/>
                    </w:rPr>
                  </w:pPr>
                  <w:r>
                    <w:rPr>
                      <w:rFonts w:hint="eastAsia"/>
                    </w:rPr>
                    <w:t>5L</w:t>
                  </w:r>
                </w:p>
              </w:tc>
              <w:tc>
                <w:tcPr>
                  <w:tcW w:w="1487" w:type="dxa"/>
                  <w:tcBorders>
                    <w:tl2br w:val="nil"/>
                    <w:tr2bl w:val="nil"/>
                  </w:tcBorders>
                  <w:shd w:val="clear" w:color="auto" w:fill="auto"/>
                  <w:vAlign w:val="center"/>
                </w:tcPr>
                <w:p w14:paraId="4D31B5BD">
                  <w:pPr>
                    <w:jc w:val="center"/>
                    <w:rPr>
                      <w:rFonts w:hint="default" w:ascii="Times New Roman" w:hAnsi="Times New Roman" w:eastAsia="宋体" w:cs="Times New Roman"/>
                      <w:kern w:val="2"/>
                      <w:sz w:val="21"/>
                      <w:szCs w:val="24"/>
                      <w:lang w:val="en-US" w:eastAsia="zh-CN" w:bidi="ar-SA"/>
                    </w:rPr>
                  </w:pPr>
                  <w:r>
                    <w:rPr>
                      <w:rFonts w:hint="eastAsia"/>
                    </w:rPr>
                    <w:t>5L</w:t>
                  </w:r>
                </w:p>
              </w:tc>
              <w:tc>
                <w:tcPr>
                  <w:tcW w:w="1487" w:type="dxa"/>
                  <w:tcBorders>
                    <w:tl2br w:val="nil"/>
                    <w:tr2bl w:val="nil"/>
                  </w:tcBorders>
                  <w:shd w:val="clear" w:color="auto" w:fill="auto"/>
                  <w:vAlign w:val="center"/>
                </w:tcPr>
                <w:p w14:paraId="751A8CDC">
                  <w:pPr>
                    <w:jc w:val="center"/>
                    <w:rPr>
                      <w:rFonts w:hint="eastAsia"/>
                    </w:rPr>
                  </w:pPr>
                  <w:r>
                    <w:rPr>
                      <w:rFonts w:hint="eastAsia"/>
                      <w:lang w:val="en-US" w:eastAsia="zh-CN"/>
                    </w:rPr>
                    <w:t>易制毒制爆室</w:t>
                  </w:r>
                </w:p>
              </w:tc>
            </w:tr>
            <w:tr w14:paraId="25411F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6709D37C">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609B0D9D">
                  <w:pPr>
                    <w:jc w:val="center"/>
                    <w:rPr>
                      <w:rFonts w:hint="default" w:ascii="Times New Roman" w:hAnsi="Times New Roman" w:eastAsia="宋体" w:cs="Times New Roman"/>
                      <w:kern w:val="2"/>
                      <w:sz w:val="21"/>
                      <w:szCs w:val="24"/>
                      <w:lang w:val="en-US" w:eastAsia="zh-CN" w:bidi="ar-SA"/>
                    </w:rPr>
                  </w:pPr>
                  <w:r>
                    <w:rPr>
                      <w:rFonts w:hint="eastAsia"/>
                    </w:rPr>
                    <w:t>正己烷</w:t>
                  </w:r>
                </w:p>
              </w:tc>
              <w:tc>
                <w:tcPr>
                  <w:tcW w:w="1388" w:type="dxa"/>
                  <w:tcBorders>
                    <w:tl2br w:val="nil"/>
                    <w:tr2bl w:val="nil"/>
                  </w:tcBorders>
                  <w:shd w:val="clear" w:color="auto" w:fill="auto"/>
                  <w:vAlign w:val="center"/>
                </w:tcPr>
                <w:p w14:paraId="6C3FE9E0">
                  <w:pPr>
                    <w:jc w:val="center"/>
                    <w:rPr>
                      <w:rFonts w:hint="default" w:ascii="Times New Roman" w:hAnsi="Times New Roman" w:eastAsia="宋体" w:cs="Times New Roman"/>
                      <w:kern w:val="2"/>
                      <w:sz w:val="21"/>
                      <w:szCs w:val="24"/>
                      <w:lang w:val="en-US" w:eastAsia="zh-CN" w:bidi="ar-SA"/>
                    </w:rPr>
                  </w:pPr>
                  <w:r>
                    <w:rPr>
                      <w:rFonts w:hint="eastAsia"/>
                    </w:rPr>
                    <w:t>500ml</w:t>
                  </w:r>
                </w:p>
              </w:tc>
              <w:tc>
                <w:tcPr>
                  <w:tcW w:w="1445" w:type="dxa"/>
                  <w:tcBorders>
                    <w:tl2br w:val="nil"/>
                    <w:tr2bl w:val="nil"/>
                  </w:tcBorders>
                  <w:shd w:val="clear" w:color="auto" w:fill="auto"/>
                  <w:vAlign w:val="center"/>
                </w:tcPr>
                <w:p w14:paraId="2193A3B2">
                  <w:pPr>
                    <w:jc w:val="center"/>
                    <w:rPr>
                      <w:rFonts w:hint="default" w:ascii="Times New Roman" w:hAnsi="Times New Roman" w:eastAsia="宋体" w:cs="Times New Roman"/>
                      <w:kern w:val="2"/>
                      <w:sz w:val="21"/>
                      <w:szCs w:val="24"/>
                      <w:lang w:val="en-US" w:eastAsia="zh-CN" w:bidi="ar-SA"/>
                    </w:rPr>
                  </w:pPr>
                  <w:r>
                    <w:rPr>
                      <w:rFonts w:hint="eastAsia"/>
                    </w:rPr>
                    <w:t>5L</w:t>
                  </w:r>
                </w:p>
              </w:tc>
              <w:tc>
                <w:tcPr>
                  <w:tcW w:w="1487" w:type="dxa"/>
                  <w:tcBorders>
                    <w:tl2br w:val="nil"/>
                    <w:tr2bl w:val="nil"/>
                  </w:tcBorders>
                  <w:shd w:val="clear" w:color="auto" w:fill="auto"/>
                  <w:vAlign w:val="center"/>
                </w:tcPr>
                <w:p w14:paraId="44F5860D">
                  <w:pPr>
                    <w:jc w:val="center"/>
                    <w:rPr>
                      <w:rFonts w:hint="default" w:ascii="Times New Roman" w:hAnsi="Times New Roman" w:eastAsia="宋体" w:cs="Times New Roman"/>
                      <w:kern w:val="2"/>
                      <w:sz w:val="21"/>
                      <w:szCs w:val="24"/>
                      <w:lang w:val="en-US" w:eastAsia="zh-CN" w:bidi="ar-SA"/>
                    </w:rPr>
                  </w:pPr>
                  <w:r>
                    <w:rPr>
                      <w:rFonts w:hint="eastAsia"/>
                    </w:rPr>
                    <w:t>5L</w:t>
                  </w:r>
                </w:p>
              </w:tc>
              <w:tc>
                <w:tcPr>
                  <w:tcW w:w="1487" w:type="dxa"/>
                  <w:tcBorders>
                    <w:tl2br w:val="nil"/>
                    <w:tr2bl w:val="nil"/>
                  </w:tcBorders>
                  <w:shd w:val="clear" w:color="auto" w:fill="auto"/>
                  <w:vAlign w:val="center"/>
                </w:tcPr>
                <w:p w14:paraId="0E448CA8">
                  <w:pPr>
                    <w:jc w:val="center"/>
                    <w:rPr>
                      <w:rFonts w:hint="eastAsia"/>
                    </w:rPr>
                  </w:pPr>
                  <w:r>
                    <w:rPr>
                      <w:rFonts w:hint="eastAsia"/>
                      <w:lang w:val="en-US" w:eastAsia="zh-CN"/>
                    </w:rPr>
                    <w:t>试剂室</w:t>
                  </w:r>
                </w:p>
              </w:tc>
            </w:tr>
            <w:tr w14:paraId="60553F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1B32C687">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43A0324E">
                  <w:pPr>
                    <w:jc w:val="center"/>
                    <w:rPr>
                      <w:rFonts w:hint="eastAsia" w:ascii="Times New Roman" w:hAnsi="Times New Roman" w:eastAsia="宋体" w:cs="Times New Roman"/>
                      <w:kern w:val="2"/>
                      <w:sz w:val="21"/>
                      <w:szCs w:val="24"/>
                      <w:lang w:val="en-US" w:eastAsia="zh-CN" w:bidi="ar-SA"/>
                    </w:rPr>
                  </w:pPr>
                  <w:r>
                    <w:rPr>
                      <w:rFonts w:hint="eastAsia"/>
                    </w:rPr>
                    <w:t>冰醋酸</w:t>
                  </w:r>
                </w:p>
              </w:tc>
              <w:tc>
                <w:tcPr>
                  <w:tcW w:w="1388" w:type="dxa"/>
                  <w:tcBorders>
                    <w:tl2br w:val="nil"/>
                    <w:tr2bl w:val="nil"/>
                  </w:tcBorders>
                  <w:shd w:val="clear" w:color="auto" w:fill="auto"/>
                  <w:vAlign w:val="center"/>
                </w:tcPr>
                <w:p w14:paraId="4925C06E">
                  <w:pPr>
                    <w:jc w:val="center"/>
                    <w:rPr>
                      <w:rFonts w:hint="eastAsia" w:ascii="Times New Roman" w:hAnsi="Times New Roman" w:eastAsia="宋体" w:cs="Times New Roman"/>
                      <w:kern w:val="2"/>
                      <w:sz w:val="21"/>
                      <w:szCs w:val="24"/>
                      <w:lang w:val="en-US" w:eastAsia="zh-CN" w:bidi="ar-SA"/>
                    </w:rPr>
                  </w:pPr>
                  <w:r>
                    <w:rPr>
                      <w:rFonts w:hint="eastAsia"/>
                    </w:rPr>
                    <w:t>500ml</w:t>
                  </w:r>
                </w:p>
              </w:tc>
              <w:tc>
                <w:tcPr>
                  <w:tcW w:w="1445" w:type="dxa"/>
                  <w:tcBorders>
                    <w:tl2br w:val="nil"/>
                    <w:tr2bl w:val="nil"/>
                  </w:tcBorders>
                  <w:shd w:val="clear" w:color="auto" w:fill="auto"/>
                  <w:vAlign w:val="center"/>
                </w:tcPr>
                <w:p w14:paraId="384F74DA">
                  <w:pPr>
                    <w:jc w:val="center"/>
                    <w:rPr>
                      <w:rFonts w:hint="eastAsia" w:ascii="Times New Roman" w:hAnsi="Times New Roman" w:eastAsia="宋体" w:cs="Times New Roman"/>
                      <w:kern w:val="2"/>
                      <w:sz w:val="21"/>
                      <w:szCs w:val="24"/>
                      <w:lang w:val="en-US" w:eastAsia="zh-CN" w:bidi="ar-SA"/>
                    </w:rPr>
                  </w:pPr>
                  <w:r>
                    <w:rPr>
                      <w:rFonts w:hint="eastAsia"/>
                    </w:rPr>
                    <w:t>5L</w:t>
                  </w:r>
                </w:p>
              </w:tc>
              <w:tc>
                <w:tcPr>
                  <w:tcW w:w="1487" w:type="dxa"/>
                  <w:tcBorders>
                    <w:tl2br w:val="nil"/>
                    <w:tr2bl w:val="nil"/>
                  </w:tcBorders>
                  <w:shd w:val="clear" w:color="auto" w:fill="auto"/>
                  <w:vAlign w:val="center"/>
                </w:tcPr>
                <w:p w14:paraId="06494E6B">
                  <w:pPr>
                    <w:jc w:val="center"/>
                    <w:rPr>
                      <w:rFonts w:hint="eastAsia" w:ascii="Times New Roman" w:hAnsi="Times New Roman" w:eastAsia="宋体" w:cs="Times New Roman"/>
                      <w:kern w:val="2"/>
                      <w:sz w:val="21"/>
                      <w:szCs w:val="24"/>
                      <w:lang w:val="en-US" w:eastAsia="zh-CN" w:bidi="ar-SA"/>
                    </w:rPr>
                  </w:pPr>
                  <w:r>
                    <w:rPr>
                      <w:rFonts w:hint="eastAsia"/>
                      <w:lang w:val="en-US" w:eastAsia="zh-CN"/>
                    </w:rPr>
                    <w:t>5L</w:t>
                  </w:r>
                </w:p>
              </w:tc>
              <w:tc>
                <w:tcPr>
                  <w:tcW w:w="1487" w:type="dxa"/>
                  <w:tcBorders>
                    <w:tl2br w:val="nil"/>
                    <w:tr2bl w:val="nil"/>
                  </w:tcBorders>
                  <w:shd w:val="clear" w:color="auto" w:fill="auto"/>
                  <w:vAlign w:val="center"/>
                </w:tcPr>
                <w:p w14:paraId="7929F370">
                  <w:pPr>
                    <w:jc w:val="center"/>
                    <w:rPr>
                      <w:rFonts w:hint="eastAsia"/>
                      <w:lang w:val="en-US" w:eastAsia="zh-CN"/>
                    </w:rPr>
                  </w:pPr>
                  <w:r>
                    <w:rPr>
                      <w:rFonts w:hint="eastAsia"/>
                      <w:lang w:val="en-US" w:eastAsia="zh-CN"/>
                    </w:rPr>
                    <w:t>试剂室</w:t>
                  </w:r>
                </w:p>
              </w:tc>
            </w:tr>
            <w:tr w14:paraId="534A2B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3C96056A">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071637BB">
                  <w:pPr>
                    <w:jc w:val="center"/>
                    <w:rPr>
                      <w:rFonts w:hint="default" w:ascii="Times New Roman" w:hAnsi="Times New Roman" w:eastAsia="宋体" w:cs="Times New Roman"/>
                      <w:kern w:val="2"/>
                      <w:sz w:val="21"/>
                      <w:szCs w:val="24"/>
                      <w:lang w:val="en-US" w:eastAsia="zh-CN" w:bidi="ar-SA"/>
                    </w:rPr>
                  </w:pPr>
                  <w:r>
                    <w:rPr>
                      <w:rFonts w:hint="eastAsia"/>
                    </w:rPr>
                    <w:t>抗坏血酸</w:t>
                  </w:r>
                </w:p>
              </w:tc>
              <w:tc>
                <w:tcPr>
                  <w:tcW w:w="1388" w:type="dxa"/>
                  <w:tcBorders>
                    <w:tl2br w:val="nil"/>
                    <w:tr2bl w:val="nil"/>
                  </w:tcBorders>
                  <w:shd w:val="clear" w:color="auto" w:fill="auto"/>
                  <w:vAlign w:val="center"/>
                </w:tcPr>
                <w:p w14:paraId="17E3D292">
                  <w:pPr>
                    <w:jc w:val="center"/>
                    <w:rPr>
                      <w:rFonts w:hint="eastAsia" w:ascii="Times New Roman" w:hAnsi="Times New Roman" w:eastAsia="宋体" w:cs="Times New Roman"/>
                      <w:kern w:val="2"/>
                      <w:sz w:val="21"/>
                      <w:szCs w:val="24"/>
                      <w:lang w:val="en-US" w:eastAsia="zh-CN" w:bidi="ar-SA"/>
                    </w:rPr>
                  </w:pPr>
                  <w:r>
                    <w:rPr>
                      <w:rFonts w:hint="eastAsia"/>
                    </w:rPr>
                    <w:t>100g</w:t>
                  </w:r>
                </w:p>
              </w:tc>
              <w:tc>
                <w:tcPr>
                  <w:tcW w:w="1445" w:type="dxa"/>
                  <w:tcBorders>
                    <w:tl2br w:val="nil"/>
                    <w:tr2bl w:val="nil"/>
                  </w:tcBorders>
                  <w:shd w:val="clear" w:color="auto" w:fill="auto"/>
                  <w:vAlign w:val="center"/>
                </w:tcPr>
                <w:p w14:paraId="60EBF7DC">
                  <w:pPr>
                    <w:jc w:val="center"/>
                    <w:rPr>
                      <w:rFonts w:hint="default" w:ascii="Times New Roman" w:hAnsi="Times New Roman" w:eastAsia="宋体" w:cs="Times New Roman"/>
                      <w:kern w:val="2"/>
                      <w:sz w:val="21"/>
                      <w:szCs w:val="24"/>
                      <w:lang w:val="en-US" w:eastAsia="zh-CN" w:bidi="ar-SA"/>
                    </w:rPr>
                  </w:pPr>
                  <w:r>
                    <w:rPr>
                      <w:rFonts w:hint="eastAsia"/>
                    </w:rPr>
                    <w:t>600g</w:t>
                  </w:r>
                </w:p>
              </w:tc>
              <w:tc>
                <w:tcPr>
                  <w:tcW w:w="1487" w:type="dxa"/>
                  <w:tcBorders>
                    <w:tl2br w:val="nil"/>
                    <w:tr2bl w:val="nil"/>
                  </w:tcBorders>
                  <w:shd w:val="clear" w:color="auto" w:fill="auto"/>
                  <w:vAlign w:val="center"/>
                </w:tcPr>
                <w:p w14:paraId="61EB5C7A">
                  <w:pPr>
                    <w:jc w:val="center"/>
                    <w:rPr>
                      <w:rFonts w:hint="default" w:ascii="Times New Roman" w:hAnsi="Times New Roman" w:eastAsia="宋体" w:cs="Times New Roman"/>
                      <w:kern w:val="2"/>
                      <w:sz w:val="21"/>
                      <w:szCs w:val="24"/>
                      <w:lang w:val="en-US" w:eastAsia="zh-CN" w:bidi="ar-SA"/>
                    </w:rPr>
                  </w:pPr>
                  <w:r>
                    <w:rPr>
                      <w:rFonts w:hint="eastAsia"/>
                      <w:lang w:val="en-US" w:eastAsia="zh-CN"/>
                    </w:rPr>
                    <w:t>0.6kg</w:t>
                  </w:r>
                </w:p>
              </w:tc>
              <w:tc>
                <w:tcPr>
                  <w:tcW w:w="1487" w:type="dxa"/>
                  <w:tcBorders>
                    <w:tl2br w:val="nil"/>
                    <w:tr2bl w:val="nil"/>
                  </w:tcBorders>
                  <w:shd w:val="clear" w:color="auto" w:fill="auto"/>
                  <w:vAlign w:val="center"/>
                </w:tcPr>
                <w:p w14:paraId="240D2102">
                  <w:pPr>
                    <w:jc w:val="center"/>
                    <w:rPr>
                      <w:rFonts w:hint="eastAsia"/>
                      <w:lang w:val="en-US" w:eastAsia="zh-CN"/>
                    </w:rPr>
                  </w:pPr>
                  <w:r>
                    <w:rPr>
                      <w:rFonts w:hint="eastAsia"/>
                      <w:lang w:val="en-US" w:eastAsia="zh-CN"/>
                    </w:rPr>
                    <w:t>试剂室</w:t>
                  </w:r>
                </w:p>
              </w:tc>
            </w:tr>
            <w:tr w14:paraId="29CBAE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9ACF05F">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10ECBA60">
                  <w:pPr>
                    <w:jc w:val="center"/>
                    <w:rPr>
                      <w:rFonts w:hint="default" w:ascii="Times New Roman" w:hAnsi="Times New Roman" w:eastAsia="宋体" w:cs="Times New Roman"/>
                      <w:kern w:val="2"/>
                      <w:sz w:val="21"/>
                      <w:szCs w:val="24"/>
                      <w:lang w:val="en-US" w:eastAsia="zh-CN" w:bidi="ar-SA"/>
                    </w:rPr>
                  </w:pPr>
                  <w:r>
                    <w:rPr>
                      <w:rFonts w:hint="eastAsia"/>
                    </w:rPr>
                    <w:t>氯化钠</w:t>
                  </w:r>
                </w:p>
              </w:tc>
              <w:tc>
                <w:tcPr>
                  <w:tcW w:w="1388" w:type="dxa"/>
                  <w:tcBorders>
                    <w:tl2br w:val="nil"/>
                    <w:tr2bl w:val="nil"/>
                  </w:tcBorders>
                  <w:shd w:val="clear" w:color="auto" w:fill="auto"/>
                  <w:vAlign w:val="center"/>
                </w:tcPr>
                <w:p w14:paraId="46263B0F">
                  <w:pPr>
                    <w:jc w:val="center"/>
                    <w:rPr>
                      <w:rFonts w:hint="eastAsia" w:ascii="Times New Roman" w:hAnsi="Times New Roman" w:eastAsia="宋体" w:cs="Times New Roman"/>
                      <w:kern w:val="2"/>
                      <w:sz w:val="21"/>
                      <w:szCs w:val="24"/>
                      <w:lang w:val="en-US" w:eastAsia="zh-CN" w:bidi="ar-SA"/>
                    </w:rPr>
                  </w:pPr>
                  <w:r>
                    <w:rPr>
                      <w:rFonts w:hint="eastAsia"/>
                    </w:rPr>
                    <w:t>500g</w:t>
                  </w:r>
                </w:p>
              </w:tc>
              <w:tc>
                <w:tcPr>
                  <w:tcW w:w="1445" w:type="dxa"/>
                  <w:tcBorders>
                    <w:tl2br w:val="nil"/>
                    <w:tr2bl w:val="nil"/>
                  </w:tcBorders>
                  <w:shd w:val="clear" w:color="auto" w:fill="auto"/>
                  <w:vAlign w:val="center"/>
                </w:tcPr>
                <w:p w14:paraId="6EB62F65">
                  <w:pPr>
                    <w:jc w:val="center"/>
                    <w:rPr>
                      <w:rFonts w:hint="default" w:ascii="Times New Roman" w:hAnsi="Times New Roman" w:eastAsia="宋体" w:cs="Times New Roman"/>
                      <w:kern w:val="2"/>
                      <w:sz w:val="21"/>
                      <w:szCs w:val="24"/>
                      <w:lang w:val="en-US" w:eastAsia="zh-CN" w:bidi="ar-SA"/>
                    </w:rPr>
                  </w:pPr>
                  <w:r>
                    <w:rPr>
                      <w:rFonts w:hint="eastAsia"/>
                    </w:rPr>
                    <w:t>1kg</w:t>
                  </w:r>
                </w:p>
              </w:tc>
              <w:tc>
                <w:tcPr>
                  <w:tcW w:w="1487" w:type="dxa"/>
                  <w:tcBorders>
                    <w:tl2br w:val="nil"/>
                    <w:tr2bl w:val="nil"/>
                  </w:tcBorders>
                  <w:shd w:val="clear" w:color="auto" w:fill="auto"/>
                  <w:vAlign w:val="center"/>
                </w:tcPr>
                <w:p w14:paraId="75748E13">
                  <w:pPr>
                    <w:jc w:val="center"/>
                    <w:rPr>
                      <w:rFonts w:hint="default" w:ascii="Times New Roman" w:hAnsi="Times New Roman" w:eastAsia="宋体" w:cs="Times New Roman"/>
                      <w:kern w:val="2"/>
                      <w:sz w:val="21"/>
                      <w:szCs w:val="24"/>
                      <w:lang w:val="en-US" w:eastAsia="zh-CN" w:bidi="ar-SA"/>
                    </w:rPr>
                  </w:pPr>
                  <w:r>
                    <w:rPr>
                      <w:rFonts w:hint="eastAsia"/>
                      <w:lang w:val="en-US" w:eastAsia="zh-CN"/>
                    </w:rPr>
                    <w:t>1.5kg</w:t>
                  </w:r>
                </w:p>
              </w:tc>
              <w:tc>
                <w:tcPr>
                  <w:tcW w:w="1487" w:type="dxa"/>
                  <w:tcBorders>
                    <w:tl2br w:val="nil"/>
                    <w:tr2bl w:val="nil"/>
                  </w:tcBorders>
                  <w:shd w:val="clear" w:color="auto" w:fill="auto"/>
                  <w:vAlign w:val="center"/>
                </w:tcPr>
                <w:p w14:paraId="32DB139F">
                  <w:pPr>
                    <w:jc w:val="center"/>
                    <w:rPr>
                      <w:rFonts w:hint="eastAsia"/>
                      <w:lang w:val="en-US" w:eastAsia="zh-CN"/>
                    </w:rPr>
                  </w:pPr>
                  <w:r>
                    <w:rPr>
                      <w:rFonts w:hint="eastAsia"/>
                      <w:lang w:val="en-US" w:eastAsia="zh-CN"/>
                    </w:rPr>
                    <w:t>试剂室</w:t>
                  </w:r>
                </w:p>
              </w:tc>
            </w:tr>
            <w:tr w14:paraId="7EB464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6716C58A">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6B727961">
                  <w:pPr>
                    <w:jc w:val="center"/>
                    <w:rPr>
                      <w:rFonts w:hint="default" w:ascii="Times New Roman" w:hAnsi="Times New Roman" w:eastAsia="宋体" w:cs="Times New Roman"/>
                      <w:kern w:val="2"/>
                      <w:sz w:val="21"/>
                      <w:szCs w:val="24"/>
                      <w:lang w:val="en-US" w:eastAsia="zh-CN" w:bidi="ar-SA"/>
                    </w:rPr>
                  </w:pPr>
                  <w:r>
                    <w:rPr>
                      <w:rFonts w:hint="eastAsia"/>
                    </w:rPr>
                    <w:t>氢氧化钾</w:t>
                  </w:r>
                </w:p>
              </w:tc>
              <w:tc>
                <w:tcPr>
                  <w:tcW w:w="1388" w:type="dxa"/>
                  <w:tcBorders>
                    <w:tl2br w:val="nil"/>
                    <w:tr2bl w:val="nil"/>
                  </w:tcBorders>
                  <w:shd w:val="clear" w:color="auto" w:fill="auto"/>
                  <w:vAlign w:val="center"/>
                </w:tcPr>
                <w:p w14:paraId="084D8B13">
                  <w:pPr>
                    <w:jc w:val="center"/>
                    <w:rPr>
                      <w:rFonts w:hint="eastAsia" w:ascii="Times New Roman" w:hAnsi="Times New Roman" w:eastAsia="宋体" w:cs="Times New Roman"/>
                      <w:kern w:val="2"/>
                      <w:sz w:val="21"/>
                      <w:szCs w:val="24"/>
                      <w:lang w:val="en-US" w:eastAsia="zh-CN" w:bidi="ar-SA"/>
                    </w:rPr>
                  </w:pPr>
                  <w:r>
                    <w:rPr>
                      <w:rFonts w:hint="eastAsia"/>
                    </w:rPr>
                    <w:t>500g</w:t>
                  </w:r>
                </w:p>
              </w:tc>
              <w:tc>
                <w:tcPr>
                  <w:tcW w:w="1445" w:type="dxa"/>
                  <w:tcBorders>
                    <w:tl2br w:val="nil"/>
                    <w:tr2bl w:val="nil"/>
                  </w:tcBorders>
                  <w:shd w:val="clear" w:color="auto" w:fill="auto"/>
                  <w:vAlign w:val="center"/>
                </w:tcPr>
                <w:p w14:paraId="00C2C368">
                  <w:pPr>
                    <w:jc w:val="center"/>
                    <w:rPr>
                      <w:rFonts w:hint="default" w:ascii="Times New Roman" w:hAnsi="Times New Roman" w:eastAsia="宋体" w:cs="Times New Roman"/>
                      <w:kern w:val="2"/>
                      <w:sz w:val="21"/>
                      <w:szCs w:val="24"/>
                      <w:lang w:val="en-US" w:eastAsia="zh-CN" w:bidi="ar-SA"/>
                    </w:rPr>
                  </w:pPr>
                  <w:r>
                    <w:rPr>
                      <w:rFonts w:hint="eastAsia"/>
                    </w:rPr>
                    <w:t>9.6kg</w:t>
                  </w:r>
                </w:p>
              </w:tc>
              <w:tc>
                <w:tcPr>
                  <w:tcW w:w="1487" w:type="dxa"/>
                  <w:tcBorders>
                    <w:tl2br w:val="nil"/>
                    <w:tr2bl w:val="nil"/>
                  </w:tcBorders>
                  <w:shd w:val="clear" w:color="auto" w:fill="auto"/>
                  <w:vAlign w:val="center"/>
                </w:tcPr>
                <w:p w14:paraId="601CF39E">
                  <w:pPr>
                    <w:jc w:val="center"/>
                    <w:rPr>
                      <w:rFonts w:hint="default" w:ascii="Times New Roman" w:hAnsi="Times New Roman" w:eastAsia="宋体" w:cs="Times New Roman"/>
                      <w:kern w:val="2"/>
                      <w:sz w:val="21"/>
                      <w:szCs w:val="24"/>
                      <w:lang w:val="en-US" w:eastAsia="zh-CN" w:bidi="ar-SA"/>
                    </w:rPr>
                  </w:pPr>
                  <w:r>
                    <w:rPr>
                      <w:rFonts w:hint="eastAsia"/>
                      <w:lang w:val="en-US" w:eastAsia="zh-CN"/>
                    </w:rPr>
                    <w:t>10kg</w:t>
                  </w:r>
                </w:p>
              </w:tc>
              <w:tc>
                <w:tcPr>
                  <w:tcW w:w="1487" w:type="dxa"/>
                  <w:tcBorders>
                    <w:tl2br w:val="nil"/>
                    <w:tr2bl w:val="nil"/>
                  </w:tcBorders>
                  <w:shd w:val="clear" w:color="auto" w:fill="auto"/>
                  <w:vAlign w:val="center"/>
                </w:tcPr>
                <w:p w14:paraId="6C193DCD">
                  <w:pPr>
                    <w:jc w:val="center"/>
                    <w:rPr>
                      <w:rFonts w:hint="eastAsia"/>
                      <w:lang w:val="en-US" w:eastAsia="zh-CN"/>
                    </w:rPr>
                  </w:pPr>
                  <w:r>
                    <w:rPr>
                      <w:rFonts w:hint="eastAsia"/>
                      <w:lang w:val="en-US" w:eastAsia="zh-CN"/>
                    </w:rPr>
                    <w:t>试剂室</w:t>
                  </w:r>
                </w:p>
              </w:tc>
            </w:tr>
            <w:tr w14:paraId="4C20D5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50A6A8A3">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55F48D0D">
                  <w:pPr>
                    <w:jc w:val="center"/>
                    <w:rPr>
                      <w:rFonts w:hint="default" w:ascii="Times New Roman" w:hAnsi="Times New Roman" w:eastAsia="宋体" w:cs="Times New Roman"/>
                      <w:kern w:val="2"/>
                      <w:sz w:val="21"/>
                      <w:szCs w:val="24"/>
                      <w:lang w:val="en-US" w:eastAsia="zh-CN" w:bidi="ar-SA"/>
                    </w:rPr>
                  </w:pPr>
                  <w:r>
                    <w:rPr>
                      <w:rFonts w:hint="eastAsia"/>
                    </w:rPr>
                    <w:t>氢氧化钠</w:t>
                  </w:r>
                </w:p>
              </w:tc>
              <w:tc>
                <w:tcPr>
                  <w:tcW w:w="1388" w:type="dxa"/>
                  <w:tcBorders>
                    <w:tl2br w:val="nil"/>
                    <w:tr2bl w:val="nil"/>
                  </w:tcBorders>
                  <w:shd w:val="clear" w:color="auto" w:fill="auto"/>
                  <w:vAlign w:val="center"/>
                </w:tcPr>
                <w:p w14:paraId="2521CB73">
                  <w:pPr>
                    <w:jc w:val="center"/>
                    <w:rPr>
                      <w:rFonts w:hint="eastAsia" w:ascii="Times New Roman" w:hAnsi="Times New Roman" w:eastAsia="宋体" w:cs="Times New Roman"/>
                      <w:kern w:val="2"/>
                      <w:sz w:val="21"/>
                      <w:szCs w:val="24"/>
                      <w:lang w:val="en-US" w:eastAsia="zh-CN" w:bidi="ar-SA"/>
                    </w:rPr>
                  </w:pPr>
                  <w:r>
                    <w:rPr>
                      <w:rFonts w:hint="eastAsia"/>
                    </w:rPr>
                    <w:t>500g</w:t>
                  </w:r>
                </w:p>
              </w:tc>
              <w:tc>
                <w:tcPr>
                  <w:tcW w:w="1445" w:type="dxa"/>
                  <w:tcBorders>
                    <w:tl2br w:val="nil"/>
                    <w:tr2bl w:val="nil"/>
                  </w:tcBorders>
                  <w:shd w:val="clear" w:color="auto" w:fill="auto"/>
                  <w:vAlign w:val="center"/>
                </w:tcPr>
                <w:p w14:paraId="0AC02E88">
                  <w:pPr>
                    <w:jc w:val="center"/>
                    <w:rPr>
                      <w:rFonts w:hint="default" w:ascii="Times New Roman" w:hAnsi="Times New Roman" w:eastAsia="宋体" w:cs="Times New Roman"/>
                      <w:kern w:val="2"/>
                      <w:sz w:val="21"/>
                      <w:szCs w:val="24"/>
                      <w:lang w:val="en-US" w:eastAsia="zh-CN" w:bidi="ar-SA"/>
                    </w:rPr>
                  </w:pPr>
                  <w:r>
                    <w:rPr>
                      <w:rFonts w:hint="eastAsia"/>
                    </w:rPr>
                    <w:t>30kg</w:t>
                  </w:r>
                </w:p>
              </w:tc>
              <w:tc>
                <w:tcPr>
                  <w:tcW w:w="1487" w:type="dxa"/>
                  <w:tcBorders>
                    <w:tl2br w:val="nil"/>
                    <w:tr2bl w:val="nil"/>
                  </w:tcBorders>
                  <w:shd w:val="clear" w:color="auto" w:fill="auto"/>
                  <w:vAlign w:val="center"/>
                </w:tcPr>
                <w:p w14:paraId="5E76D7A5">
                  <w:pPr>
                    <w:jc w:val="center"/>
                    <w:rPr>
                      <w:rFonts w:hint="default" w:ascii="Times New Roman" w:hAnsi="Times New Roman" w:eastAsia="宋体" w:cs="Times New Roman"/>
                      <w:kern w:val="2"/>
                      <w:sz w:val="21"/>
                      <w:szCs w:val="24"/>
                      <w:lang w:val="en-US" w:eastAsia="zh-CN" w:bidi="ar-SA"/>
                    </w:rPr>
                  </w:pPr>
                  <w:r>
                    <w:rPr>
                      <w:rFonts w:hint="eastAsia"/>
                      <w:lang w:val="en-US" w:eastAsia="zh-CN"/>
                    </w:rPr>
                    <w:t>2kg</w:t>
                  </w:r>
                </w:p>
              </w:tc>
              <w:tc>
                <w:tcPr>
                  <w:tcW w:w="1487" w:type="dxa"/>
                  <w:tcBorders>
                    <w:tl2br w:val="nil"/>
                    <w:tr2bl w:val="nil"/>
                  </w:tcBorders>
                  <w:shd w:val="clear" w:color="auto" w:fill="auto"/>
                  <w:vAlign w:val="center"/>
                </w:tcPr>
                <w:p w14:paraId="6A107544">
                  <w:pPr>
                    <w:jc w:val="center"/>
                    <w:rPr>
                      <w:rFonts w:hint="eastAsia"/>
                      <w:lang w:val="en-US" w:eastAsia="zh-CN"/>
                    </w:rPr>
                  </w:pPr>
                  <w:r>
                    <w:rPr>
                      <w:rFonts w:hint="eastAsia"/>
                      <w:lang w:val="en-US" w:eastAsia="zh-CN"/>
                    </w:rPr>
                    <w:t>试剂室</w:t>
                  </w:r>
                </w:p>
              </w:tc>
            </w:tr>
            <w:tr w14:paraId="4A29D1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971AD83">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1C17956">
                  <w:pPr>
                    <w:jc w:val="center"/>
                    <w:rPr>
                      <w:rFonts w:hint="default" w:ascii="Times New Roman" w:hAnsi="Times New Roman" w:eastAsia="宋体" w:cs="Times New Roman"/>
                      <w:kern w:val="2"/>
                      <w:sz w:val="21"/>
                      <w:szCs w:val="24"/>
                      <w:lang w:val="en-US" w:eastAsia="zh-CN" w:bidi="ar-SA"/>
                    </w:rPr>
                  </w:pPr>
                  <w:r>
                    <w:rPr>
                      <w:rFonts w:hint="eastAsia"/>
                    </w:rPr>
                    <w:t>高锰酸钾</w:t>
                  </w:r>
                </w:p>
              </w:tc>
              <w:tc>
                <w:tcPr>
                  <w:tcW w:w="1388" w:type="dxa"/>
                  <w:tcBorders>
                    <w:tl2br w:val="nil"/>
                    <w:tr2bl w:val="nil"/>
                  </w:tcBorders>
                  <w:shd w:val="clear" w:color="auto" w:fill="auto"/>
                  <w:vAlign w:val="center"/>
                </w:tcPr>
                <w:p w14:paraId="579C4C5B">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500g</w:t>
                  </w:r>
                </w:p>
              </w:tc>
              <w:tc>
                <w:tcPr>
                  <w:tcW w:w="1445" w:type="dxa"/>
                  <w:tcBorders>
                    <w:tl2br w:val="nil"/>
                    <w:tr2bl w:val="nil"/>
                  </w:tcBorders>
                  <w:shd w:val="clear" w:color="auto" w:fill="auto"/>
                  <w:vAlign w:val="center"/>
                </w:tcPr>
                <w:p w14:paraId="3B0A99BA">
                  <w:pPr>
                    <w:jc w:val="center"/>
                    <w:rPr>
                      <w:rFonts w:hint="default" w:ascii="Times New Roman" w:hAnsi="Times New Roman" w:eastAsia="宋体" w:cs="Times New Roman"/>
                      <w:kern w:val="2"/>
                      <w:sz w:val="21"/>
                      <w:szCs w:val="24"/>
                      <w:lang w:val="en-US" w:eastAsia="zh-CN" w:bidi="ar-SA"/>
                    </w:rPr>
                  </w:pPr>
                  <w:r>
                    <w:rPr>
                      <w:rFonts w:hint="eastAsia"/>
                    </w:rPr>
                    <w:t>1kg</w:t>
                  </w:r>
                </w:p>
              </w:tc>
              <w:tc>
                <w:tcPr>
                  <w:tcW w:w="1487" w:type="dxa"/>
                  <w:tcBorders>
                    <w:tl2br w:val="nil"/>
                    <w:tr2bl w:val="nil"/>
                  </w:tcBorders>
                  <w:shd w:val="clear" w:color="auto" w:fill="auto"/>
                  <w:vAlign w:val="center"/>
                </w:tcPr>
                <w:p w14:paraId="1B02600D">
                  <w:pPr>
                    <w:jc w:val="center"/>
                    <w:rPr>
                      <w:rFonts w:hint="default" w:ascii="Times New Roman" w:hAnsi="Times New Roman" w:eastAsia="宋体" w:cs="Times New Roman"/>
                      <w:kern w:val="2"/>
                      <w:sz w:val="21"/>
                      <w:szCs w:val="24"/>
                      <w:lang w:val="en-US" w:eastAsia="zh-CN" w:bidi="ar-SA"/>
                    </w:rPr>
                  </w:pPr>
                  <w:r>
                    <w:rPr>
                      <w:rFonts w:hint="eastAsia"/>
                      <w:lang w:val="en-US" w:eastAsia="zh-CN"/>
                    </w:rPr>
                    <w:t>1kg</w:t>
                  </w:r>
                </w:p>
              </w:tc>
              <w:tc>
                <w:tcPr>
                  <w:tcW w:w="1487" w:type="dxa"/>
                  <w:tcBorders>
                    <w:tl2br w:val="nil"/>
                    <w:tr2bl w:val="nil"/>
                  </w:tcBorders>
                  <w:shd w:val="clear" w:color="auto" w:fill="auto"/>
                  <w:vAlign w:val="center"/>
                </w:tcPr>
                <w:p w14:paraId="58788413">
                  <w:pPr>
                    <w:jc w:val="center"/>
                    <w:rPr>
                      <w:rFonts w:hint="eastAsia" w:ascii="Times New Roman" w:hAnsi="Times New Roman" w:eastAsia="宋体" w:cs="Times New Roman"/>
                      <w:kern w:val="2"/>
                      <w:sz w:val="21"/>
                      <w:szCs w:val="24"/>
                      <w:lang w:val="en-US" w:eastAsia="zh-CN" w:bidi="ar-SA"/>
                    </w:rPr>
                  </w:pPr>
                  <w:r>
                    <w:rPr>
                      <w:rFonts w:hint="eastAsia"/>
                      <w:lang w:val="en-US" w:eastAsia="zh-CN"/>
                    </w:rPr>
                    <w:t>易制毒制爆室</w:t>
                  </w:r>
                </w:p>
              </w:tc>
            </w:tr>
            <w:tr w14:paraId="652B79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1007F297">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5A83AAD8">
                  <w:pPr>
                    <w:jc w:val="center"/>
                    <w:rPr>
                      <w:rFonts w:hint="default" w:ascii="Times New Roman" w:hAnsi="Times New Roman" w:eastAsia="宋体" w:cs="Times New Roman"/>
                      <w:kern w:val="2"/>
                      <w:sz w:val="21"/>
                      <w:szCs w:val="24"/>
                      <w:lang w:val="en-US" w:eastAsia="zh-CN" w:bidi="ar-SA"/>
                    </w:rPr>
                  </w:pPr>
                  <w:r>
                    <w:rPr>
                      <w:rFonts w:hint="eastAsia"/>
                    </w:rPr>
                    <w:t>过氧化氢</w:t>
                  </w:r>
                </w:p>
              </w:tc>
              <w:tc>
                <w:tcPr>
                  <w:tcW w:w="1388" w:type="dxa"/>
                  <w:tcBorders>
                    <w:tl2br w:val="nil"/>
                    <w:tr2bl w:val="nil"/>
                  </w:tcBorders>
                  <w:shd w:val="clear" w:color="auto" w:fill="auto"/>
                  <w:vAlign w:val="center"/>
                </w:tcPr>
                <w:p w14:paraId="117B89DC">
                  <w:pPr>
                    <w:jc w:val="center"/>
                    <w:rPr>
                      <w:rFonts w:hint="default" w:ascii="Times New Roman" w:hAnsi="Times New Roman" w:eastAsia="宋体" w:cs="Times New Roman"/>
                      <w:kern w:val="2"/>
                      <w:sz w:val="21"/>
                      <w:szCs w:val="24"/>
                      <w:lang w:val="en-US" w:eastAsia="zh-CN" w:bidi="ar-SA"/>
                    </w:rPr>
                  </w:pPr>
                  <w:r>
                    <w:rPr>
                      <w:rFonts w:hint="eastAsia"/>
                    </w:rPr>
                    <w:t>500ml</w:t>
                  </w:r>
                </w:p>
              </w:tc>
              <w:tc>
                <w:tcPr>
                  <w:tcW w:w="1445" w:type="dxa"/>
                  <w:tcBorders>
                    <w:tl2br w:val="nil"/>
                    <w:tr2bl w:val="nil"/>
                  </w:tcBorders>
                  <w:shd w:val="clear" w:color="auto" w:fill="auto"/>
                  <w:vAlign w:val="center"/>
                </w:tcPr>
                <w:p w14:paraId="73692AE9">
                  <w:pPr>
                    <w:jc w:val="center"/>
                    <w:rPr>
                      <w:rFonts w:hint="default" w:ascii="Times New Roman" w:hAnsi="Times New Roman" w:eastAsia="宋体" w:cs="Times New Roman"/>
                      <w:kern w:val="2"/>
                      <w:sz w:val="21"/>
                      <w:szCs w:val="24"/>
                      <w:lang w:val="en-US" w:eastAsia="zh-CN" w:bidi="ar-SA"/>
                    </w:rPr>
                  </w:pPr>
                  <w:r>
                    <w:rPr>
                      <w:rFonts w:hint="eastAsia"/>
                    </w:rPr>
                    <w:t>3L</w:t>
                  </w:r>
                </w:p>
              </w:tc>
              <w:tc>
                <w:tcPr>
                  <w:tcW w:w="1487" w:type="dxa"/>
                  <w:tcBorders>
                    <w:tl2br w:val="nil"/>
                    <w:tr2bl w:val="nil"/>
                  </w:tcBorders>
                  <w:shd w:val="clear" w:color="auto" w:fill="auto"/>
                  <w:vAlign w:val="center"/>
                </w:tcPr>
                <w:p w14:paraId="54BBDE19">
                  <w:pPr>
                    <w:jc w:val="center"/>
                    <w:rPr>
                      <w:rFonts w:hint="default" w:ascii="Times New Roman" w:hAnsi="Times New Roman" w:eastAsia="宋体" w:cs="Times New Roman"/>
                      <w:kern w:val="2"/>
                      <w:sz w:val="21"/>
                      <w:szCs w:val="24"/>
                      <w:lang w:val="en-US" w:eastAsia="zh-CN" w:bidi="ar-SA"/>
                    </w:rPr>
                  </w:pPr>
                  <w:r>
                    <w:rPr>
                      <w:rFonts w:hint="eastAsia"/>
                      <w:lang w:val="en-US" w:eastAsia="zh-CN"/>
                    </w:rPr>
                    <w:t>3L</w:t>
                  </w:r>
                </w:p>
              </w:tc>
              <w:tc>
                <w:tcPr>
                  <w:tcW w:w="1487" w:type="dxa"/>
                  <w:tcBorders>
                    <w:tl2br w:val="nil"/>
                    <w:tr2bl w:val="nil"/>
                  </w:tcBorders>
                  <w:shd w:val="clear" w:color="auto" w:fill="auto"/>
                  <w:vAlign w:val="center"/>
                </w:tcPr>
                <w:p w14:paraId="2B2F8B10">
                  <w:pPr>
                    <w:jc w:val="center"/>
                    <w:rPr>
                      <w:rFonts w:hint="eastAsia"/>
                      <w:lang w:val="en-US" w:eastAsia="zh-CN"/>
                    </w:rPr>
                  </w:pPr>
                  <w:r>
                    <w:rPr>
                      <w:rFonts w:hint="eastAsia"/>
                      <w:lang w:val="en-US" w:eastAsia="zh-CN"/>
                    </w:rPr>
                    <w:t>试剂室</w:t>
                  </w:r>
                </w:p>
              </w:tc>
            </w:tr>
            <w:tr w14:paraId="2524F0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3E25A6D8">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790C321B">
                  <w:pPr>
                    <w:jc w:val="center"/>
                    <w:rPr>
                      <w:rFonts w:hint="default" w:ascii="Times New Roman" w:hAnsi="Times New Roman" w:eastAsia="宋体" w:cs="Times New Roman"/>
                      <w:kern w:val="2"/>
                      <w:sz w:val="21"/>
                      <w:szCs w:val="24"/>
                      <w:lang w:val="en-US" w:eastAsia="zh-CN" w:bidi="ar-SA"/>
                    </w:rPr>
                  </w:pPr>
                  <w:r>
                    <w:rPr>
                      <w:rFonts w:hint="eastAsia"/>
                    </w:rPr>
                    <w:t>铬酸钾</w:t>
                  </w:r>
                </w:p>
              </w:tc>
              <w:tc>
                <w:tcPr>
                  <w:tcW w:w="1388" w:type="dxa"/>
                  <w:tcBorders>
                    <w:tl2br w:val="nil"/>
                    <w:tr2bl w:val="nil"/>
                  </w:tcBorders>
                  <w:shd w:val="clear" w:color="auto" w:fill="auto"/>
                  <w:vAlign w:val="center"/>
                </w:tcPr>
                <w:p w14:paraId="012B1942">
                  <w:pPr>
                    <w:jc w:val="center"/>
                    <w:rPr>
                      <w:rFonts w:hint="default" w:ascii="Times New Roman" w:hAnsi="Times New Roman" w:eastAsia="宋体" w:cs="Times New Roman"/>
                      <w:kern w:val="2"/>
                      <w:sz w:val="21"/>
                      <w:szCs w:val="24"/>
                      <w:lang w:val="en-US" w:eastAsia="zh-CN" w:bidi="ar-SA"/>
                    </w:rPr>
                  </w:pPr>
                  <w:r>
                    <w:rPr>
                      <w:rFonts w:hint="eastAsia"/>
                    </w:rPr>
                    <w:t>500g</w:t>
                  </w:r>
                </w:p>
              </w:tc>
              <w:tc>
                <w:tcPr>
                  <w:tcW w:w="1445" w:type="dxa"/>
                  <w:tcBorders>
                    <w:tl2br w:val="nil"/>
                    <w:tr2bl w:val="nil"/>
                  </w:tcBorders>
                  <w:shd w:val="clear" w:color="auto" w:fill="auto"/>
                  <w:vAlign w:val="center"/>
                </w:tcPr>
                <w:p w14:paraId="4E8DC97E">
                  <w:pPr>
                    <w:jc w:val="center"/>
                    <w:rPr>
                      <w:rFonts w:hint="default" w:ascii="Times New Roman" w:hAnsi="Times New Roman" w:eastAsia="宋体" w:cs="Times New Roman"/>
                      <w:kern w:val="2"/>
                      <w:sz w:val="21"/>
                      <w:szCs w:val="24"/>
                      <w:lang w:val="en-US" w:eastAsia="zh-CN" w:bidi="ar-SA"/>
                    </w:rPr>
                  </w:pPr>
                  <w:r>
                    <w:rPr>
                      <w:rFonts w:hint="eastAsia"/>
                    </w:rPr>
                    <w:t>3kg</w:t>
                  </w:r>
                </w:p>
              </w:tc>
              <w:tc>
                <w:tcPr>
                  <w:tcW w:w="1487" w:type="dxa"/>
                  <w:tcBorders>
                    <w:tl2br w:val="nil"/>
                    <w:tr2bl w:val="nil"/>
                  </w:tcBorders>
                  <w:shd w:val="clear" w:color="auto" w:fill="auto"/>
                  <w:vAlign w:val="center"/>
                </w:tcPr>
                <w:p w14:paraId="77C6FF9A">
                  <w:pPr>
                    <w:jc w:val="center"/>
                    <w:rPr>
                      <w:rFonts w:hint="default" w:ascii="Times New Roman" w:hAnsi="Times New Roman" w:eastAsia="宋体" w:cs="Times New Roman"/>
                      <w:kern w:val="2"/>
                      <w:sz w:val="21"/>
                      <w:szCs w:val="24"/>
                      <w:lang w:val="en-US" w:eastAsia="zh-CN" w:bidi="ar-SA"/>
                    </w:rPr>
                  </w:pPr>
                  <w:r>
                    <w:rPr>
                      <w:rFonts w:hint="eastAsia"/>
                    </w:rPr>
                    <w:t>1瓶</w:t>
                  </w:r>
                </w:p>
              </w:tc>
              <w:tc>
                <w:tcPr>
                  <w:tcW w:w="1487" w:type="dxa"/>
                  <w:tcBorders>
                    <w:tl2br w:val="nil"/>
                    <w:tr2bl w:val="nil"/>
                  </w:tcBorders>
                  <w:shd w:val="clear" w:color="auto" w:fill="auto"/>
                  <w:vAlign w:val="center"/>
                </w:tcPr>
                <w:p w14:paraId="21511678">
                  <w:pPr>
                    <w:jc w:val="center"/>
                    <w:rPr>
                      <w:rFonts w:hint="eastAsia"/>
                    </w:rPr>
                  </w:pPr>
                  <w:r>
                    <w:rPr>
                      <w:rFonts w:hint="eastAsia"/>
                      <w:lang w:val="en-US" w:eastAsia="zh-CN"/>
                    </w:rPr>
                    <w:t>试剂室</w:t>
                  </w:r>
                </w:p>
              </w:tc>
            </w:tr>
            <w:tr w14:paraId="2FAC8A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tcBorders>
                    <w:tl2br w:val="nil"/>
                    <w:tr2bl w:val="nil"/>
                  </w:tcBorders>
                  <w:vAlign w:val="center"/>
                </w:tcPr>
                <w:p w14:paraId="1AB0BC6C">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401D29DC">
                  <w:pPr>
                    <w:jc w:val="center"/>
                    <w:rPr>
                      <w:rFonts w:hint="default" w:ascii="Times New Roman" w:hAnsi="Times New Roman" w:eastAsia="宋体" w:cs="Times New Roman"/>
                      <w:kern w:val="2"/>
                      <w:sz w:val="21"/>
                      <w:szCs w:val="24"/>
                      <w:lang w:val="en-US" w:eastAsia="zh-CN" w:bidi="ar-SA"/>
                    </w:rPr>
                  </w:pPr>
                  <w:r>
                    <w:rPr>
                      <w:rFonts w:hint="eastAsia"/>
                    </w:rPr>
                    <w:t>酚酞</w:t>
                  </w:r>
                </w:p>
              </w:tc>
              <w:tc>
                <w:tcPr>
                  <w:tcW w:w="1388" w:type="dxa"/>
                  <w:tcBorders>
                    <w:tl2br w:val="nil"/>
                    <w:tr2bl w:val="nil"/>
                  </w:tcBorders>
                  <w:shd w:val="clear" w:color="auto" w:fill="auto"/>
                  <w:vAlign w:val="center"/>
                </w:tcPr>
                <w:p w14:paraId="071890E2">
                  <w:pPr>
                    <w:jc w:val="center"/>
                    <w:rPr>
                      <w:rFonts w:hint="default" w:ascii="Times New Roman" w:hAnsi="Times New Roman" w:eastAsia="宋体" w:cs="Times New Roman"/>
                      <w:kern w:val="2"/>
                      <w:sz w:val="21"/>
                      <w:szCs w:val="24"/>
                      <w:lang w:val="en-US" w:eastAsia="zh-CN" w:bidi="ar-SA"/>
                    </w:rPr>
                  </w:pPr>
                  <w:r>
                    <w:rPr>
                      <w:rFonts w:hint="eastAsia"/>
                    </w:rPr>
                    <w:t>50g</w:t>
                  </w:r>
                </w:p>
              </w:tc>
              <w:tc>
                <w:tcPr>
                  <w:tcW w:w="1445" w:type="dxa"/>
                  <w:tcBorders>
                    <w:tl2br w:val="nil"/>
                    <w:tr2bl w:val="nil"/>
                  </w:tcBorders>
                  <w:shd w:val="clear" w:color="auto" w:fill="auto"/>
                  <w:vAlign w:val="center"/>
                </w:tcPr>
                <w:p w14:paraId="759DB6C9">
                  <w:pPr>
                    <w:jc w:val="center"/>
                    <w:rPr>
                      <w:rFonts w:hint="default" w:ascii="Times New Roman" w:hAnsi="Times New Roman" w:eastAsia="宋体" w:cs="Times New Roman"/>
                      <w:kern w:val="2"/>
                      <w:sz w:val="21"/>
                      <w:szCs w:val="24"/>
                      <w:lang w:val="en-US" w:eastAsia="zh-CN" w:bidi="ar-SA"/>
                    </w:rPr>
                  </w:pPr>
                  <w:r>
                    <w:rPr>
                      <w:rFonts w:hint="eastAsia"/>
                    </w:rPr>
                    <w:t>100g</w:t>
                  </w:r>
                </w:p>
              </w:tc>
              <w:tc>
                <w:tcPr>
                  <w:tcW w:w="1487" w:type="dxa"/>
                  <w:tcBorders>
                    <w:tl2br w:val="nil"/>
                    <w:tr2bl w:val="nil"/>
                  </w:tcBorders>
                  <w:shd w:val="clear" w:color="auto" w:fill="auto"/>
                  <w:vAlign w:val="center"/>
                </w:tcPr>
                <w:p w14:paraId="552A1A82">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0.1kg</w:t>
                  </w:r>
                </w:p>
              </w:tc>
              <w:tc>
                <w:tcPr>
                  <w:tcW w:w="1487" w:type="dxa"/>
                  <w:tcBorders>
                    <w:tl2br w:val="nil"/>
                    <w:tr2bl w:val="nil"/>
                  </w:tcBorders>
                  <w:shd w:val="clear" w:color="auto" w:fill="auto"/>
                  <w:vAlign w:val="center"/>
                </w:tcPr>
                <w:p w14:paraId="0B8A0562">
                  <w:pPr>
                    <w:jc w:val="center"/>
                    <w:rPr>
                      <w:rFonts w:hint="eastAsia" w:cs="Times New Roman"/>
                      <w:kern w:val="2"/>
                      <w:sz w:val="21"/>
                      <w:szCs w:val="24"/>
                      <w:lang w:val="en-US" w:eastAsia="zh-CN" w:bidi="ar-SA"/>
                    </w:rPr>
                  </w:pPr>
                  <w:r>
                    <w:rPr>
                      <w:rFonts w:hint="eastAsia"/>
                      <w:lang w:val="en-US" w:eastAsia="zh-CN"/>
                    </w:rPr>
                    <w:t>试剂室</w:t>
                  </w:r>
                </w:p>
              </w:tc>
            </w:tr>
            <w:tr w14:paraId="368228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4F94D8C">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74782969">
                  <w:pPr>
                    <w:jc w:val="center"/>
                    <w:rPr>
                      <w:rFonts w:hint="default" w:ascii="Times New Roman" w:hAnsi="Times New Roman" w:eastAsia="宋体" w:cs="Times New Roman"/>
                      <w:kern w:val="2"/>
                      <w:sz w:val="21"/>
                      <w:szCs w:val="24"/>
                      <w:lang w:val="en-US" w:eastAsia="zh-CN" w:bidi="ar-SA"/>
                    </w:rPr>
                  </w:pPr>
                  <w:r>
                    <w:rPr>
                      <w:rFonts w:hint="eastAsia"/>
                    </w:rPr>
                    <w:t>硝酸银</w:t>
                  </w:r>
                </w:p>
              </w:tc>
              <w:tc>
                <w:tcPr>
                  <w:tcW w:w="1388" w:type="dxa"/>
                  <w:tcBorders>
                    <w:tl2br w:val="nil"/>
                    <w:tr2bl w:val="nil"/>
                  </w:tcBorders>
                  <w:shd w:val="clear" w:color="auto" w:fill="auto"/>
                  <w:vAlign w:val="center"/>
                </w:tcPr>
                <w:p w14:paraId="5E1F31F2">
                  <w:pPr>
                    <w:jc w:val="center"/>
                    <w:rPr>
                      <w:rFonts w:hint="default" w:ascii="Times New Roman" w:hAnsi="Times New Roman" w:eastAsia="宋体" w:cs="Times New Roman"/>
                      <w:kern w:val="2"/>
                      <w:sz w:val="21"/>
                      <w:szCs w:val="24"/>
                      <w:lang w:val="en-US" w:eastAsia="zh-CN" w:bidi="ar-SA"/>
                    </w:rPr>
                  </w:pPr>
                  <w:r>
                    <w:rPr>
                      <w:rFonts w:hint="eastAsia"/>
                    </w:rPr>
                    <w:t>50g</w:t>
                  </w:r>
                </w:p>
              </w:tc>
              <w:tc>
                <w:tcPr>
                  <w:tcW w:w="1445" w:type="dxa"/>
                  <w:tcBorders>
                    <w:tl2br w:val="nil"/>
                    <w:tr2bl w:val="nil"/>
                  </w:tcBorders>
                  <w:shd w:val="clear" w:color="auto" w:fill="auto"/>
                  <w:vAlign w:val="center"/>
                </w:tcPr>
                <w:p w14:paraId="312458A0">
                  <w:pPr>
                    <w:jc w:val="center"/>
                    <w:rPr>
                      <w:rFonts w:hint="default" w:ascii="Times New Roman" w:hAnsi="Times New Roman" w:eastAsia="宋体" w:cs="Times New Roman"/>
                      <w:kern w:val="2"/>
                      <w:sz w:val="21"/>
                      <w:szCs w:val="24"/>
                      <w:lang w:val="en-US" w:eastAsia="zh-CN" w:bidi="ar-SA"/>
                    </w:rPr>
                  </w:pPr>
                  <w:r>
                    <w:rPr>
                      <w:rFonts w:hint="eastAsia"/>
                    </w:rPr>
                    <w:t>500g</w:t>
                  </w:r>
                </w:p>
              </w:tc>
              <w:tc>
                <w:tcPr>
                  <w:tcW w:w="1487" w:type="dxa"/>
                  <w:tcBorders>
                    <w:tl2br w:val="nil"/>
                    <w:tr2bl w:val="nil"/>
                  </w:tcBorders>
                  <w:shd w:val="clear" w:color="auto" w:fill="auto"/>
                  <w:vAlign w:val="center"/>
                </w:tcPr>
                <w:p w14:paraId="30BF4983">
                  <w:pPr>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0.1kg</w:t>
                  </w:r>
                </w:p>
              </w:tc>
              <w:tc>
                <w:tcPr>
                  <w:tcW w:w="1487" w:type="dxa"/>
                  <w:tcBorders>
                    <w:tl2br w:val="nil"/>
                    <w:tr2bl w:val="nil"/>
                  </w:tcBorders>
                  <w:shd w:val="clear" w:color="auto" w:fill="auto"/>
                  <w:vAlign w:val="center"/>
                </w:tcPr>
                <w:p w14:paraId="3A04363E">
                  <w:pPr>
                    <w:jc w:val="center"/>
                    <w:rPr>
                      <w:rFonts w:hint="eastAsia" w:cs="Times New Roman"/>
                      <w:kern w:val="2"/>
                      <w:sz w:val="21"/>
                      <w:szCs w:val="24"/>
                      <w:lang w:val="en-US" w:eastAsia="zh-CN" w:bidi="ar-SA"/>
                    </w:rPr>
                  </w:pPr>
                  <w:r>
                    <w:rPr>
                      <w:rFonts w:hint="eastAsia"/>
                      <w:lang w:val="en-US" w:eastAsia="zh-CN"/>
                    </w:rPr>
                    <w:t>试剂室</w:t>
                  </w:r>
                </w:p>
              </w:tc>
            </w:tr>
            <w:tr w14:paraId="7E3B6F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4" w:type="dxa"/>
                  <w:tcBorders>
                    <w:tl2br w:val="nil"/>
                    <w:tr2bl w:val="nil"/>
                  </w:tcBorders>
                  <w:vAlign w:val="center"/>
                </w:tcPr>
                <w:p w14:paraId="28F82037">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2FD01EC">
                  <w:pPr>
                    <w:jc w:val="center"/>
                    <w:rPr>
                      <w:rFonts w:hint="default" w:ascii="Times New Roman" w:hAnsi="Times New Roman" w:eastAsia="宋体" w:cs="Times New Roman"/>
                      <w:kern w:val="2"/>
                      <w:sz w:val="21"/>
                      <w:szCs w:val="24"/>
                      <w:lang w:val="en-US" w:eastAsia="zh-CN" w:bidi="ar-SA"/>
                    </w:rPr>
                  </w:pPr>
                  <w:r>
                    <w:rPr>
                      <w:rFonts w:hint="eastAsia"/>
                    </w:rPr>
                    <w:t>碳酸钠</w:t>
                  </w:r>
                </w:p>
              </w:tc>
              <w:tc>
                <w:tcPr>
                  <w:tcW w:w="1388" w:type="dxa"/>
                  <w:tcBorders>
                    <w:tl2br w:val="nil"/>
                    <w:tr2bl w:val="nil"/>
                  </w:tcBorders>
                  <w:shd w:val="clear" w:color="auto" w:fill="auto"/>
                  <w:vAlign w:val="center"/>
                </w:tcPr>
                <w:p w14:paraId="240DCDC6">
                  <w:pPr>
                    <w:jc w:val="center"/>
                    <w:rPr>
                      <w:rFonts w:hint="default" w:ascii="Times New Roman" w:hAnsi="Times New Roman" w:eastAsia="宋体" w:cs="Times New Roman"/>
                      <w:kern w:val="2"/>
                      <w:sz w:val="21"/>
                      <w:szCs w:val="24"/>
                      <w:lang w:val="en-US" w:eastAsia="zh-CN" w:bidi="ar-SA"/>
                    </w:rPr>
                  </w:pPr>
                  <w:r>
                    <w:rPr>
                      <w:rFonts w:hint="eastAsia"/>
                    </w:rPr>
                    <w:t>500g</w:t>
                  </w:r>
                </w:p>
              </w:tc>
              <w:tc>
                <w:tcPr>
                  <w:tcW w:w="1445" w:type="dxa"/>
                  <w:tcBorders>
                    <w:tl2br w:val="nil"/>
                    <w:tr2bl w:val="nil"/>
                  </w:tcBorders>
                  <w:shd w:val="clear" w:color="auto" w:fill="auto"/>
                  <w:vAlign w:val="center"/>
                </w:tcPr>
                <w:p w14:paraId="02BD50EA">
                  <w:pPr>
                    <w:jc w:val="center"/>
                    <w:rPr>
                      <w:rFonts w:hint="default" w:ascii="Times New Roman" w:hAnsi="Times New Roman" w:eastAsia="宋体" w:cs="Times New Roman"/>
                      <w:kern w:val="2"/>
                      <w:sz w:val="21"/>
                      <w:szCs w:val="24"/>
                      <w:lang w:val="en-US" w:eastAsia="zh-CN" w:bidi="ar-SA"/>
                    </w:rPr>
                  </w:pPr>
                  <w:r>
                    <w:rPr>
                      <w:rFonts w:hint="eastAsia"/>
                    </w:rPr>
                    <w:t>3kg</w:t>
                  </w:r>
                </w:p>
              </w:tc>
              <w:tc>
                <w:tcPr>
                  <w:tcW w:w="1487" w:type="dxa"/>
                  <w:tcBorders>
                    <w:tl2br w:val="nil"/>
                    <w:tr2bl w:val="nil"/>
                  </w:tcBorders>
                  <w:shd w:val="clear" w:color="auto" w:fill="auto"/>
                  <w:vAlign w:val="center"/>
                </w:tcPr>
                <w:p w14:paraId="15A98200">
                  <w:pPr>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0.5kg</w:t>
                  </w:r>
                </w:p>
              </w:tc>
              <w:tc>
                <w:tcPr>
                  <w:tcW w:w="1487" w:type="dxa"/>
                  <w:tcBorders>
                    <w:tl2br w:val="nil"/>
                    <w:tr2bl w:val="nil"/>
                  </w:tcBorders>
                  <w:shd w:val="clear" w:color="auto" w:fill="auto"/>
                  <w:vAlign w:val="center"/>
                </w:tcPr>
                <w:p w14:paraId="6ED45943">
                  <w:pPr>
                    <w:jc w:val="center"/>
                    <w:rPr>
                      <w:rFonts w:hint="eastAsia" w:cs="Times New Roman"/>
                      <w:kern w:val="2"/>
                      <w:sz w:val="21"/>
                      <w:szCs w:val="24"/>
                      <w:lang w:val="en-US" w:eastAsia="zh-CN" w:bidi="ar-SA"/>
                    </w:rPr>
                  </w:pPr>
                  <w:r>
                    <w:rPr>
                      <w:rFonts w:hint="eastAsia"/>
                      <w:lang w:val="en-US" w:eastAsia="zh-CN"/>
                    </w:rPr>
                    <w:t>试剂室</w:t>
                  </w:r>
                </w:p>
              </w:tc>
            </w:tr>
            <w:tr w14:paraId="360EBB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28864871">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4DF2D568">
                  <w:pPr>
                    <w:jc w:val="center"/>
                    <w:rPr>
                      <w:rFonts w:hint="default" w:ascii="Times New Roman" w:hAnsi="Times New Roman" w:eastAsia="宋体" w:cs="Times New Roman"/>
                      <w:kern w:val="2"/>
                      <w:sz w:val="21"/>
                      <w:szCs w:val="24"/>
                      <w:lang w:val="en-US" w:eastAsia="zh-CN" w:bidi="ar-SA"/>
                    </w:rPr>
                  </w:pPr>
                  <w:r>
                    <w:rPr>
                      <w:rFonts w:hint="eastAsia"/>
                    </w:rPr>
                    <w:t>乙酸锌</w:t>
                  </w:r>
                </w:p>
              </w:tc>
              <w:tc>
                <w:tcPr>
                  <w:tcW w:w="1388" w:type="dxa"/>
                  <w:tcBorders>
                    <w:tl2br w:val="nil"/>
                    <w:tr2bl w:val="nil"/>
                  </w:tcBorders>
                  <w:shd w:val="clear" w:color="auto" w:fill="auto"/>
                  <w:vAlign w:val="center"/>
                </w:tcPr>
                <w:p w14:paraId="0F2E6C05">
                  <w:pPr>
                    <w:jc w:val="center"/>
                    <w:rPr>
                      <w:rFonts w:hint="eastAsia" w:ascii="Times New Roman" w:hAnsi="Times New Roman" w:eastAsia="宋体" w:cs="Times New Roman"/>
                      <w:kern w:val="2"/>
                      <w:sz w:val="21"/>
                      <w:szCs w:val="24"/>
                      <w:lang w:val="en-US" w:eastAsia="zh-CN" w:bidi="ar-SA"/>
                    </w:rPr>
                  </w:pPr>
                  <w:r>
                    <w:rPr>
                      <w:rFonts w:hint="eastAsia"/>
                    </w:rPr>
                    <w:t>500</w:t>
                  </w:r>
                  <w:r>
                    <w:rPr>
                      <w:rFonts w:hint="eastAsia"/>
                      <w:lang w:val="en-US" w:eastAsia="zh-CN"/>
                    </w:rPr>
                    <w:t>g</w:t>
                  </w:r>
                </w:p>
              </w:tc>
              <w:tc>
                <w:tcPr>
                  <w:tcW w:w="1445" w:type="dxa"/>
                  <w:tcBorders>
                    <w:tl2br w:val="nil"/>
                    <w:tr2bl w:val="nil"/>
                  </w:tcBorders>
                  <w:shd w:val="clear" w:color="auto" w:fill="auto"/>
                  <w:vAlign w:val="center"/>
                </w:tcPr>
                <w:p w14:paraId="518F3967">
                  <w:pPr>
                    <w:jc w:val="center"/>
                    <w:rPr>
                      <w:rFonts w:hint="default" w:ascii="Times New Roman" w:hAnsi="Times New Roman" w:eastAsia="宋体" w:cs="Times New Roman"/>
                      <w:kern w:val="2"/>
                      <w:sz w:val="21"/>
                      <w:szCs w:val="24"/>
                      <w:lang w:val="en-US" w:eastAsia="zh-CN" w:bidi="ar-SA"/>
                    </w:rPr>
                  </w:pPr>
                  <w:r>
                    <w:rPr>
                      <w:rFonts w:hint="eastAsia"/>
                    </w:rPr>
                    <w:t>1.5</w:t>
                  </w:r>
                  <w:r>
                    <w:rPr>
                      <w:rFonts w:hint="eastAsia"/>
                      <w:lang w:val="en-US" w:eastAsia="zh-CN"/>
                    </w:rPr>
                    <w:t>kg</w:t>
                  </w:r>
                </w:p>
              </w:tc>
              <w:tc>
                <w:tcPr>
                  <w:tcW w:w="1487" w:type="dxa"/>
                  <w:tcBorders>
                    <w:tl2br w:val="nil"/>
                    <w:tr2bl w:val="nil"/>
                  </w:tcBorders>
                  <w:shd w:val="clear" w:color="auto" w:fill="auto"/>
                  <w:vAlign w:val="center"/>
                </w:tcPr>
                <w:p w14:paraId="475017B8">
                  <w:pPr>
                    <w:jc w:val="center"/>
                    <w:rPr>
                      <w:rFonts w:hint="default" w:ascii="Times New Roman" w:hAnsi="Times New Roman" w:eastAsia="宋体" w:cs="Times New Roman"/>
                      <w:kern w:val="2"/>
                      <w:sz w:val="21"/>
                      <w:szCs w:val="24"/>
                      <w:lang w:val="en-US" w:eastAsia="zh-CN" w:bidi="ar-SA"/>
                    </w:rPr>
                  </w:pPr>
                  <w:r>
                    <w:rPr>
                      <w:rFonts w:hint="eastAsia"/>
                      <w:lang w:val="en-US" w:eastAsia="zh-CN"/>
                    </w:rPr>
                    <w:t>1.5kg</w:t>
                  </w:r>
                </w:p>
              </w:tc>
              <w:tc>
                <w:tcPr>
                  <w:tcW w:w="1487" w:type="dxa"/>
                  <w:tcBorders>
                    <w:tl2br w:val="nil"/>
                    <w:tr2bl w:val="nil"/>
                  </w:tcBorders>
                  <w:shd w:val="clear" w:color="auto" w:fill="auto"/>
                  <w:vAlign w:val="center"/>
                </w:tcPr>
                <w:p w14:paraId="10CAC858">
                  <w:pPr>
                    <w:jc w:val="center"/>
                    <w:rPr>
                      <w:rFonts w:hint="eastAsia"/>
                      <w:lang w:val="en-US" w:eastAsia="zh-CN"/>
                    </w:rPr>
                  </w:pPr>
                  <w:r>
                    <w:rPr>
                      <w:rFonts w:hint="eastAsia"/>
                      <w:lang w:val="en-US" w:eastAsia="zh-CN"/>
                    </w:rPr>
                    <w:t>试剂室</w:t>
                  </w:r>
                </w:p>
              </w:tc>
            </w:tr>
            <w:tr w14:paraId="6D6685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0FAC90E6">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A0B560E">
                  <w:pPr>
                    <w:jc w:val="center"/>
                    <w:rPr>
                      <w:rFonts w:hint="default" w:ascii="Times New Roman" w:hAnsi="Times New Roman" w:eastAsia="宋体" w:cs="Times New Roman"/>
                      <w:kern w:val="2"/>
                      <w:sz w:val="21"/>
                      <w:szCs w:val="24"/>
                      <w:lang w:val="en-US" w:eastAsia="zh-CN" w:bidi="ar-SA"/>
                    </w:rPr>
                  </w:pPr>
                  <w:r>
                    <w:rPr>
                      <w:rFonts w:hint="eastAsia"/>
                    </w:rPr>
                    <w:t>甲基橙</w:t>
                  </w:r>
                </w:p>
              </w:tc>
              <w:tc>
                <w:tcPr>
                  <w:tcW w:w="1388" w:type="dxa"/>
                  <w:tcBorders>
                    <w:tl2br w:val="nil"/>
                    <w:tr2bl w:val="nil"/>
                  </w:tcBorders>
                  <w:shd w:val="clear" w:color="auto" w:fill="auto"/>
                  <w:vAlign w:val="center"/>
                </w:tcPr>
                <w:p w14:paraId="280E4DE2">
                  <w:pPr>
                    <w:jc w:val="center"/>
                    <w:rPr>
                      <w:rFonts w:hint="default" w:ascii="Times New Roman" w:hAnsi="Times New Roman" w:eastAsia="宋体" w:cs="Times New Roman"/>
                      <w:kern w:val="2"/>
                      <w:sz w:val="21"/>
                      <w:szCs w:val="24"/>
                      <w:lang w:val="en-US" w:eastAsia="zh-CN" w:bidi="ar-SA"/>
                    </w:rPr>
                  </w:pPr>
                  <w:r>
                    <w:rPr>
                      <w:rFonts w:hint="eastAsia"/>
                    </w:rPr>
                    <w:t>50g</w:t>
                  </w:r>
                </w:p>
              </w:tc>
              <w:tc>
                <w:tcPr>
                  <w:tcW w:w="1445" w:type="dxa"/>
                  <w:tcBorders>
                    <w:tl2br w:val="nil"/>
                    <w:tr2bl w:val="nil"/>
                  </w:tcBorders>
                  <w:shd w:val="clear" w:color="auto" w:fill="auto"/>
                  <w:vAlign w:val="center"/>
                </w:tcPr>
                <w:p w14:paraId="2DBFA837">
                  <w:pPr>
                    <w:jc w:val="center"/>
                    <w:rPr>
                      <w:rFonts w:hint="default" w:ascii="Times New Roman" w:hAnsi="Times New Roman" w:eastAsia="宋体" w:cs="Times New Roman"/>
                      <w:kern w:val="2"/>
                      <w:sz w:val="21"/>
                      <w:szCs w:val="24"/>
                      <w:lang w:val="en-US" w:eastAsia="zh-CN" w:bidi="ar-SA"/>
                    </w:rPr>
                  </w:pPr>
                  <w:r>
                    <w:rPr>
                      <w:rFonts w:hint="eastAsia"/>
                    </w:rPr>
                    <w:t>0.15L</w:t>
                  </w:r>
                </w:p>
              </w:tc>
              <w:tc>
                <w:tcPr>
                  <w:tcW w:w="1487" w:type="dxa"/>
                  <w:tcBorders>
                    <w:tl2br w:val="nil"/>
                    <w:tr2bl w:val="nil"/>
                  </w:tcBorders>
                  <w:shd w:val="clear" w:color="auto" w:fill="auto"/>
                  <w:vAlign w:val="center"/>
                </w:tcPr>
                <w:p w14:paraId="299C8C02">
                  <w:pPr>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0.1kg</w:t>
                  </w:r>
                </w:p>
              </w:tc>
              <w:tc>
                <w:tcPr>
                  <w:tcW w:w="1487" w:type="dxa"/>
                  <w:tcBorders>
                    <w:tl2br w:val="nil"/>
                    <w:tr2bl w:val="nil"/>
                  </w:tcBorders>
                  <w:shd w:val="clear" w:color="auto" w:fill="auto"/>
                  <w:vAlign w:val="center"/>
                </w:tcPr>
                <w:p w14:paraId="005B2B6A">
                  <w:pPr>
                    <w:jc w:val="center"/>
                    <w:rPr>
                      <w:rFonts w:hint="eastAsia" w:cs="Times New Roman"/>
                      <w:kern w:val="2"/>
                      <w:sz w:val="21"/>
                      <w:szCs w:val="24"/>
                      <w:lang w:val="en-US" w:eastAsia="zh-CN" w:bidi="ar-SA"/>
                    </w:rPr>
                  </w:pPr>
                  <w:r>
                    <w:rPr>
                      <w:rFonts w:hint="eastAsia"/>
                      <w:lang w:val="en-US" w:eastAsia="zh-CN"/>
                    </w:rPr>
                    <w:t>试剂室</w:t>
                  </w:r>
                </w:p>
              </w:tc>
            </w:tr>
            <w:tr w14:paraId="66D206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194E10AE">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75A73F81">
                  <w:pPr>
                    <w:jc w:val="center"/>
                    <w:rPr>
                      <w:rFonts w:hint="eastAsia" w:ascii="Times New Roman" w:hAnsi="Times New Roman" w:eastAsia="宋体" w:cs="Times New Roman"/>
                      <w:kern w:val="2"/>
                      <w:sz w:val="21"/>
                      <w:szCs w:val="24"/>
                      <w:lang w:val="en-US" w:eastAsia="zh-CN" w:bidi="ar-SA"/>
                    </w:rPr>
                  </w:pPr>
                  <w:r>
                    <w:rPr>
                      <w:rFonts w:hint="eastAsia"/>
                    </w:rPr>
                    <w:t>氯化铁</w:t>
                  </w:r>
                </w:p>
              </w:tc>
              <w:tc>
                <w:tcPr>
                  <w:tcW w:w="1388" w:type="dxa"/>
                  <w:tcBorders>
                    <w:tl2br w:val="nil"/>
                    <w:tr2bl w:val="nil"/>
                  </w:tcBorders>
                  <w:shd w:val="clear" w:color="auto" w:fill="auto"/>
                  <w:vAlign w:val="center"/>
                </w:tcPr>
                <w:p w14:paraId="6BB25F46">
                  <w:pPr>
                    <w:jc w:val="center"/>
                    <w:rPr>
                      <w:rFonts w:hint="eastAsia" w:ascii="Times New Roman" w:hAnsi="Times New Roman" w:eastAsia="宋体" w:cs="Times New Roman"/>
                      <w:kern w:val="2"/>
                      <w:sz w:val="21"/>
                      <w:szCs w:val="24"/>
                      <w:lang w:val="en-US" w:eastAsia="zh-CN" w:bidi="ar-SA"/>
                    </w:rPr>
                  </w:pPr>
                  <w:r>
                    <w:rPr>
                      <w:rFonts w:hint="eastAsia"/>
                    </w:rPr>
                    <w:t>500g</w:t>
                  </w:r>
                </w:p>
              </w:tc>
              <w:tc>
                <w:tcPr>
                  <w:tcW w:w="1445" w:type="dxa"/>
                  <w:tcBorders>
                    <w:tl2br w:val="nil"/>
                    <w:tr2bl w:val="nil"/>
                  </w:tcBorders>
                  <w:shd w:val="clear" w:color="auto" w:fill="auto"/>
                  <w:vAlign w:val="center"/>
                </w:tcPr>
                <w:p w14:paraId="25AD1419">
                  <w:pPr>
                    <w:jc w:val="center"/>
                    <w:rPr>
                      <w:rFonts w:hint="eastAsia" w:ascii="Times New Roman" w:hAnsi="Times New Roman" w:eastAsia="宋体" w:cs="Times New Roman"/>
                      <w:kern w:val="2"/>
                      <w:sz w:val="21"/>
                      <w:szCs w:val="24"/>
                      <w:lang w:val="en-US" w:eastAsia="zh-CN" w:bidi="ar-SA"/>
                    </w:rPr>
                  </w:pPr>
                  <w:r>
                    <w:rPr>
                      <w:rFonts w:hint="eastAsia"/>
                    </w:rPr>
                    <w:t>3kg</w:t>
                  </w:r>
                </w:p>
              </w:tc>
              <w:tc>
                <w:tcPr>
                  <w:tcW w:w="1487" w:type="dxa"/>
                  <w:tcBorders>
                    <w:tl2br w:val="nil"/>
                    <w:tr2bl w:val="nil"/>
                  </w:tcBorders>
                  <w:shd w:val="clear" w:color="auto" w:fill="auto"/>
                  <w:vAlign w:val="center"/>
                </w:tcPr>
                <w:p w14:paraId="45994ED1">
                  <w:pPr>
                    <w:jc w:val="center"/>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2kg</w:t>
                  </w:r>
                </w:p>
              </w:tc>
              <w:tc>
                <w:tcPr>
                  <w:tcW w:w="1487" w:type="dxa"/>
                  <w:tcBorders>
                    <w:tl2br w:val="nil"/>
                    <w:tr2bl w:val="nil"/>
                  </w:tcBorders>
                  <w:shd w:val="clear" w:color="auto" w:fill="auto"/>
                  <w:vAlign w:val="center"/>
                </w:tcPr>
                <w:p w14:paraId="759E19D1">
                  <w:pPr>
                    <w:jc w:val="center"/>
                    <w:rPr>
                      <w:rFonts w:hint="eastAsia" w:cs="Times New Roman"/>
                      <w:kern w:val="2"/>
                      <w:sz w:val="21"/>
                      <w:szCs w:val="24"/>
                      <w:lang w:val="en-US" w:eastAsia="zh-CN" w:bidi="ar-SA"/>
                    </w:rPr>
                  </w:pPr>
                  <w:r>
                    <w:rPr>
                      <w:rFonts w:hint="eastAsia"/>
                      <w:lang w:val="en-US" w:eastAsia="zh-CN"/>
                    </w:rPr>
                    <w:t>试剂室</w:t>
                  </w:r>
                </w:p>
              </w:tc>
            </w:tr>
            <w:tr w14:paraId="0969FB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3F3A2450">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0A310AF6">
                  <w:pPr>
                    <w:jc w:val="center"/>
                    <w:rPr>
                      <w:rFonts w:hint="default" w:ascii="Times New Roman" w:hAnsi="Times New Roman" w:eastAsia="宋体" w:cs="Times New Roman"/>
                      <w:kern w:val="2"/>
                      <w:sz w:val="21"/>
                      <w:szCs w:val="24"/>
                      <w:lang w:val="en-US" w:eastAsia="zh-CN" w:bidi="ar-SA"/>
                    </w:rPr>
                  </w:pPr>
                  <w:r>
                    <w:rPr>
                      <w:rFonts w:hint="eastAsia"/>
                    </w:rPr>
                    <w:t>氨水</w:t>
                  </w:r>
                </w:p>
              </w:tc>
              <w:tc>
                <w:tcPr>
                  <w:tcW w:w="1388" w:type="dxa"/>
                  <w:tcBorders>
                    <w:tl2br w:val="nil"/>
                    <w:tr2bl w:val="nil"/>
                  </w:tcBorders>
                  <w:shd w:val="clear" w:color="auto" w:fill="auto"/>
                  <w:vAlign w:val="center"/>
                </w:tcPr>
                <w:p w14:paraId="497F6269">
                  <w:pPr>
                    <w:jc w:val="center"/>
                    <w:rPr>
                      <w:rFonts w:hint="default" w:ascii="Times New Roman" w:hAnsi="Times New Roman" w:eastAsia="宋体" w:cs="Times New Roman"/>
                      <w:kern w:val="2"/>
                      <w:sz w:val="21"/>
                      <w:szCs w:val="24"/>
                      <w:lang w:val="en-US" w:eastAsia="zh-CN" w:bidi="ar-SA"/>
                    </w:rPr>
                  </w:pPr>
                  <w:r>
                    <w:rPr>
                      <w:rFonts w:hint="eastAsia"/>
                    </w:rPr>
                    <w:t>500ml</w:t>
                  </w:r>
                </w:p>
              </w:tc>
              <w:tc>
                <w:tcPr>
                  <w:tcW w:w="1445" w:type="dxa"/>
                  <w:tcBorders>
                    <w:tl2br w:val="nil"/>
                    <w:tr2bl w:val="nil"/>
                  </w:tcBorders>
                  <w:shd w:val="clear" w:color="auto" w:fill="auto"/>
                  <w:vAlign w:val="center"/>
                </w:tcPr>
                <w:p w14:paraId="313A6C45">
                  <w:pPr>
                    <w:jc w:val="center"/>
                    <w:rPr>
                      <w:rFonts w:hint="default" w:ascii="Times New Roman" w:hAnsi="Times New Roman" w:eastAsia="宋体" w:cs="Times New Roman"/>
                      <w:kern w:val="2"/>
                      <w:sz w:val="21"/>
                      <w:szCs w:val="24"/>
                      <w:lang w:val="en-US" w:eastAsia="zh-CN" w:bidi="ar-SA"/>
                    </w:rPr>
                  </w:pPr>
                  <w:r>
                    <w:rPr>
                      <w:rFonts w:hint="eastAsia"/>
                    </w:rPr>
                    <w:t>10L</w:t>
                  </w:r>
                </w:p>
              </w:tc>
              <w:tc>
                <w:tcPr>
                  <w:tcW w:w="1487" w:type="dxa"/>
                  <w:tcBorders>
                    <w:tl2br w:val="nil"/>
                    <w:tr2bl w:val="nil"/>
                  </w:tcBorders>
                  <w:shd w:val="clear" w:color="auto" w:fill="auto"/>
                  <w:vAlign w:val="center"/>
                </w:tcPr>
                <w:p w14:paraId="7012EF6D">
                  <w:pPr>
                    <w:jc w:val="center"/>
                    <w:rPr>
                      <w:rFonts w:hint="default" w:ascii="Times New Roman" w:hAnsi="Times New Roman" w:eastAsia="宋体" w:cs="Times New Roman"/>
                      <w:kern w:val="2"/>
                      <w:sz w:val="21"/>
                      <w:szCs w:val="24"/>
                      <w:lang w:val="en-US" w:eastAsia="zh-CN" w:bidi="ar-SA"/>
                    </w:rPr>
                  </w:pPr>
                  <w:r>
                    <w:rPr>
                      <w:rFonts w:hint="eastAsia"/>
                      <w:lang w:val="en-US" w:eastAsia="zh-CN"/>
                    </w:rPr>
                    <w:t>5L</w:t>
                  </w:r>
                </w:p>
              </w:tc>
              <w:tc>
                <w:tcPr>
                  <w:tcW w:w="1487" w:type="dxa"/>
                  <w:tcBorders>
                    <w:tl2br w:val="nil"/>
                    <w:tr2bl w:val="nil"/>
                  </w:tcBorders>
                  <w:shd w:val="clear" w:color="auto" w:fill="auto"/>
                  <w:vAlign w:val="center"/>
                </w:tcPr>
                <w:p w14:paraId="704C14B4">
                  <w:pPr>
                    <w:jc w:val="center"/>
                    <w:rPr>
                      <w:rFonts w:hint="eastAsia"/>
                      <w:lang w:val="en-US" w:eastAsia="zh-CN"/>
                    </w:rPr>
                  </w:pPr>
                  <w:r>
                    <w:rPr>
                      <w:rFonts w:hint="eastAsia"/>
                      <w:lang w:val="en-US" w:eastAsia="zh-CN"/>
                    </w:rPr>
                    <w:t>试剂室</w:t>
                  </w:r>
                </w:p>
              </w:tc>
            </w:tr>
            <w:tr w14:paraId="514304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6620ED32">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70DE21B4">
                  <w:pPr>
                    <w:jc w:val="center"/>
                    <w:rPr>
                      <w:rFonts w:ascii="Times New Roman" w:hAnsi="Times New Roman" w:eastAsia="宋体" w:cs="Times New Roman"/>
                      <w:kern w:val="2"/>
                      <w:sz w:val="21"/>
                      <w:szCs w:val="24"/>
                      <w:lang w:val="en-US" w:eastAsia="zh-CN" w:bidi="ar-SA"/>
                    </w:rPr>
                  </w:pPr>
                  <w:r>
                    <w:rPr>
                      <w:rFonts w:hint="eastAsia"/>
                    </w:rPr>
                    <w:t>硫酸</w:t>
                  </w:r>
                </w:p>
              </w:tc>
              <w:tc>
                <w:tcPr>
                  <w:tcW w:w="1388" w:type="dxa"/>
                  <w:tcBorders>
                    <w:tl2br w:val="nil"/>
                    <w:tr2bl w:val="nil"/>
                  </w:tcBorders>
                  <w:shd w:val="clear" w:color="auto" w:fill="auto"/>
                  <w:vAlign w:val="center"/>
                </w:tcPr>
                <w:p w14:paraId="6C7C3247">
                  <w:pPr>
                    <w:jc w:val="center"/>
                    <w:rPr>
                      <w:rFonts w:hint="eastAsia" w:ascii="Times New Roman" w:hAnsi="Times New Roman" w:eastAsia="宋体" w:cs="Times New Roman"/>
                      <w:kern w:val="2"/>
                      <w:sz w:val="21"/>
                      <w:szCs w:val="24"/>
                      <w:lang w:val="en-US" w:eastAsia="zh-CN" w:bidi="ar-SA"/>
                    </w:rPr>
                  </w:pPr>
                  <w:r>
                    <w:rPr>
                      <w:rFonts w:hint="eastAsia"/>
                    </w:rPr>
                    <w:t>500ml</w:t>
                  </w:r>
                </w:p>
              </w:tc>
              <w:tc>
                <w:tcPr>
                  <w:tcW w:w="1445" w:type="dxa"/>
                  <w:tcBorders>
                    <w:tl2br w:val="nil"/>
                    <w:tr2bl w:val="nil"/>
                  </w:tcBorders>
                  <w:shd w:val="clear" w:color="auto" w:fill="auto"/>
                  <w:vAlign w:val="center"/>
                </w:tcPr>
                <w:p w14:paraId="20B7697B">
                  <w:pPr>
                    <w:jc w:val="center"/>
                    <w:rPr>
                      <w:rFonts w:hint="default" w:ascii="Times New Roman" w:hAnsi="Times New Roman" w:eastAsia="宋体" w:cs="Times New Roman"/>
                      <w:kern w:val="2"/>
                      <w:sz w:val="21"/>
                      <w:szCs w:val="24"/>
                      <w:lang w:val="en-US" w:eastAsia="zh-CN" w:bidi="ar-SA"/>
                    </w:rPr>
                  </w:pPr>
                  <w:r>
                    <w:rPr>
                      <w:rFonts w:hint="eastAsia"/>
                    </w:rPr>
                    <w:t>300L</w:t>
                  </w:r>
                </w:p>
              </w:tc>
              <w:tc>
                <w:tcPr>
                  <w:tcW w:w="1487" w:type="dxa"/>
                  <w:tcBorders>
                    <w:tl2br w:val="nil"/>
                    <w:tr2bl w:val="nil"/>
                  </w:tcBorders>
                  <w:shd w:val="clear" w:color="auto" w:fill="auto"/>
                  <w:vAlign w:val="center"/>
                </w:tcPr>
                <w:p w14:paraId="60ECBEBF">
                  <w:pPr>
                    <w:jc w:val="center"/>
                    <w:rPr>
                      <w:rFonts w:hint="default" w:ascii="Times New Roman" w:hAnsi="Times New Roman" w:eastAsia="宋体" w:cs="Times New Roman"/>
                      <w:kern w:val="2"/>
                      <w:sz w:val="21"/>
                      <w:szCs w:val="24"/>
                      <w:lang w:val="en-US" w:eastAsia="zh-CN" w:bidi="ar-SA"/>
                    </w:rPr>
                  </w:pPr>
                  <w:r>
                    <w:rPr>
                      <w:rFonts w:hint="eastAsia"/>
                      <w:lang w:val="en-US" w:eastAsia="zh-CN"/>
                    </w:rPr>
                    <w:t>10L</w:t>
                  </w:r>
                </w:p>
              </w:tc>
              <w:tc>
                <w:tcPr>
                  <w:tcW w:w="1487" w:type="dxa"/>
                  <w:tcBorders>
                    <w:tl2br w:val="nil"/>
                    <w:tr2bl w:val="nil"/>
                  </w:tcBorders>
                  <w:shd w:val="clear" w:color="auto" w:fill="auto"/>
                  <w:vAlign w:val="center"/>
                </w:tcPr>
                <w:p w14:paraId="188BAAE2">
                  <w:pPr>
                    <w:jc w:val="center"/>
                    <w:rPr>
                      <w:rFonts w:hint="eastAsia" w:ascii="Times New Roman" w:hAnsi="Times New Roman" w:eastAsia="宋体" w:cs="Times New Roman"/>
                      <w:kern w:val="2"/>
                      <w:sz w:val="21"/>
                      <w:szCs w:val="24"/>
                      <w:lang w:val="en-US" w:eastAsia="zh-CN" w:bidi="ar-SA"/>
                    </w:rPr>
                  </w:pPr>
                  <w:r>
                    <w:rPr>
                      <w:rFonts w:hint="eastAsia"/>
                      <w:lang w:val="en-US" w:eastAsia="zh-CN"/>
                    </w:rPr>
                    <w:t>易制毒制爆室</w:t>
                  </w:r>
                </w:p>
              </w:tc>
            </w:tr>
            <w:tr w14:paraId="3C3FFD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421E020">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18B385C9">
                  <w:pPr>
                    <w:jc w:val="center"/>
                    <w:rPr>
                      <w:rFonts w:hint="default" w:ascii="Times New Roman" w:hAnsi="Times New Roman" w:eastAsia="宋体" w:cs="Times New Roman"/>
                      <w:kern w:val="2"/>
                      <w:sz w:val="21"/>
                      <w:szCs w:val="24"/>
                      <w:lang w:val="en-US" w:eastAsia="zh-CN" w:bidi="ar-SA"/>
                    </w:rPr>
                  </w:pPr>
                  <w:r>
                    <w:rPr>
                      <w:rFonts w:hint="eastAsia"/>
                    </w:rPr>
                    <w:t>草酸</w:t>
                  </w:r>
                </w:p>
              </w:tc>
              <w:tc>
                <w:tcPr>
                  <w:tcW w:w="1388" w:type="dxa"/>
                  <w:tcBorders>
                    <w:tl2br w:val="nil"/>
                    <w:tr2bl w:val="nil"/>
                  </w:tcBorders>
                  <w:shd w:val="clear" w:color="auto" w:fill="auto"/>
                  <w:vAlign w:val="center"/>
                </w:tcPr>
                <w:p w14:paraId="3DF861C6">
                  <w:pPr>
                    <w:jc w:val="center"/>
                    <w:rPr>
                      <w:rFonts w:hint="eastAsia" w:ascii="Times New Roman" w:hAnsi="Times New Roman" w:eastAsia="宋体" w:cs="Times New Roman"/>
                      <w:kern w:val="2"/>
                      <w:sz w:val="21"/>
                      <w:szCs w:val="24"/>
                      <w:lang w:val="en-US" w:eastAsia="zh-CN" w:bidi="ar-SA"/>
                    </w:rPr>
                  </w:pPr>
                  <w:r>
                    <w:rPr>
                      <w:rFonts w:hint="eastAsia"/>
                    </w:rPr>
                    <w:t>500g</w:t>
                  </w:r>
                </w:p>
              </w:tc>
              <w:tc>
                <w:tcPr>
                  <w:tcW w:w="1445" w:type="dxa"/>
                  <w:tcBorders>
                    <w:tl2br w:val="nil"/>
                    <w:tr2bl w:val="nil"/>
                  </w:tcBorders>
                  <w:shd w:val="clear" w:color="auto" w:fill="auto"/>
                  <w:vAlign w:val="center"/>
                </w:tcPr>
                <w:p w14:paraId="7713C60D">
                  <w:pPr>
                    <w:jc w:val="center"/>
                    <w:rPr>
                      <w:rFonts w:hint="default" w:ascii="Times New Roman" w:hAnsi="Times New Roman" w:eastAsia="宋体" w:cs="Times New Roman"/>
                      <w:kern w:val="2"/>
                      <w:sz w:val="21"/>
                      <w:szCs w:val="24"/>
                      <w:lang w:val="en-US" w:eastAsia="zh-CN" w:bidi="ar-SA"/>
                    </w:rPr>
                  </w:pPr>
                  <w:r>
                    <w:rPr>
                      <w:rFonts w:hint="eastAsia"/>
                    </w:rPr>
                    <w:t>200g</w:t>
                  </w:r>
                </w:p>
              </w:tc>
              <w:tc>
                <w:tcPr>
                  <w:tcW w:w="1487" w:type="dxa"/>
                  <w:tcBorders>
                    <w:tl2br w:val="nil"/>
                    <w:tr2bl w:val="nil"/>
                  </w:tcBorders>
                  <w:shd w:val="clear" w:color="auto" w:fill="auto"/>
                  <w:vAlign w:val="center"/>
                </w:tcPr>
                <w:p w14:paraId="4C70267A">
                  <w:pPr>
                    <w:jc w:val="center"/>
                    <w:rPr>
                      <w:rFonts w:hint="default" w:ascii="Times New Roman" w:hAnsi="Times New Roman" w:eastAsia="宋体" w:cs="Times New Roman"/>
                      <w:kern w:val="2"/>
                      <w:sz w:val="21"/>
                      <w:szCs w:val="24"/>
                      <w:lang w:val="en-US" w:eastAsia="zh-CN" w:bidi="ar-SA"/>
                    </w:rPr>
                  </w:pPr>
                  <w:r>
                    <w:rPr>
                      <w:rFonts w:hint="eastAsia"/>
                      <w:lang w:val="en-US" w:eastAsia="zh-CN"/>
                    </w:rPr>
                    <w:t>1kg</w:t>
                  </w:r>
                </w:p>
              </w:tc>
              <w:tc>
                <w:tcPr>
                  <w:tcW w:w="1487" w:type="dxa"/>
                  <w:tcBorders>
                    <w:tl2br w:val="nil"/>
                    <w:tr2bl w:val="nil"/>
                  </w:tcBorders>
                  <w:shd w:val="clear" w:color="auto" w:fill="auto"/>
                  <w:vAlign w:val="center"/>
                </w:tcPr>
                <w:p w14:paraId="03B3BBD0">
                  <w:pPr>
                    <w:jc w:val="center"/>
                    <w:rPr>
                      <w:rFonts w:hint="eastAsia"/>
                      <w:lang w:val="en-US" w:eastAsia="zh-CN"/>
                    </w:rPr>
                  </w:pPr>
                  <w:r>
                    <w:rPr>
                      <w:rFonts w:hint="eastAsia"/>
                      <w:lang w:val="en-US" w:eastAsia="zh-CN"/>
                    </w:rPr>
                    <w:t>试剂室</w:t>
                  </w:r>
                </w:p>
              </w:tc>
            </w:tr>
            <w:tr w14:paraId="766D76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223A49B">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642EB439">
                  <w:pPr>
                    <w:jc w:val="center"/>
                    <w:rPr>
                      <w:rFonts w:hint="default" w:ascii="Times New Roman" w:hAnsi="Times New Roman" w:eastAsia="宋体" w:cs="Times New Roman"/>
                      <w:kern w:val="2"/>
                      <w:sz w:val="21"/>
                      <w:szCs w:val="24"/>
                      <w:lang w:val="en-US" w:eastAsia="zh-CN" w:bidi="ar-SA"/>
                    </w:rPr>
                  </w:pPr>
                  <w:r>
                    <w:rPr>
                      <w:rFonts w:hint="eastAsia"/>
                    </w:rPr>
                    <w:t>硝酸</w:t>
                  </w:r>
                </w:p>
              </w:tc>
              <w:tc>
                <w:tcPr>
                  <w:tcW w:w="1388" w:type="dxa"/>
                  <w:tcBorders>
                    <w:tl2br w:val="nil"/>
                    <w:tr2bl w:val="nil"/>
                  </w:tcBorders>
                  <w:shd w:val="clear" w:color="auto" w:fill="auto"/>
                  <w:vAlign w:val="center"/>
                </w:tcPr>
                <w:p w14:paraId="5E8025DB">
                  <w:pPr>
                    <w:jc w:val="center"/>
                    <w:rPr>
                      <w:rFonts w:hint="default" w:ascii="Times New Roman" w:hAnsi="Times New Roman" w:eastAsia="宋体" w:cs="Times New Roman"/>
                      <w:kern w:val="2"/>
                      <w:sz w:val="21"/>
                      <w:szCs w:val="24"/>
                      <w:lang w:val="en-US" w:eastAsia="zh-CN" w:bidi="ar-SA"/>
                    </w:rPr>
                  </w:pPr>
                  <w:r>
                    <w:rPr>
                      <w:rFonts w:hint="eastAsia"/>
                    </w:rPr>
                    <w:t>500ml</w:t>
                  </w:r>
                </w:p>
              </w:tc>
              <w:tc>
                <w:tcPr>
                  <w:tcW w:w="1445" w:type="dxa"/>
                  <w:tcBorders>
                    <w:tl2br w:val="nil"/>
                    <w:tr2bl w:val="nil"/>
                  </w:tcBorders>
                  <w:shd w:val="clear" w:color="auto" w:fill="auto"/>
                  <w:vAlign w:val="center"/>
                </w:tcPr>
                <w:p w14:paraId="00673E20">
                  <w:pPr>
                    <w:jc w:val="center"/>
                    <w:rPr>
                      <w:rFonts w:hint="default" w:ascii="Times New Roman" w:hAnsi="Times New Roman" w:eastAsia="宋体" w:cs="Times New Roman"/>
                      <w:kern w:val="2"/>
                      <w:sz w:val="21"/>
                      <w:szCs w:val="24"/>
                      <w:lang w:val="en-US" w:eastAsia="zh-CN" w:bidi="ar-SA"/>
                    </w:rPr>
                  </w:pPr>
                  <w:r>
                    <w:rPr>
                      <w:rFonts w:hint="eastAsia"/>
                    </w:rPr>
                    <w:t>4.5L</w:t>
                  </w:r>
                </w:p>
              </w:tc>
              <w:tc>
                <w:tcPr>
                  <w:tcW w:w="1487" w:type="dxa"/>
                  <w:tcBorders>
                    <w:tl2br w:val="nil"/>
                    <w:tr2bl w:val="nil"/>
                  </w:tcBorders>
                  <w:shd w:val="clear" w:color="auto" w:fill="auto"/>
                  <w:vAlign w:val="center"/>
                </w:tcPr>
                <w:p w14:paraId="5F69DAA3">
                  <w:pPr>
                    <w:jc w:val="center"/>
                    <w:rPr>
                      <w:rFonts w:hint="default" w:ascii="Times New Roman" w:hAnsi="Times New Roman" w:eastAsia="宋体" w:cs="Times New Roman"/>
                      <w:kern w:val="2"/>
                      <w:sz w:val="21"/>
                      <w:szCs w:val="24"/>
                      <w:lang w:val="en-US" w:eastAsia="zh-CN" w:bidi="ar-SA"/>
                    </w:rPr>
                  </w:pPr>
                  <w:r>
                    <w:rPr>
                      <w:rFonts w:hint="eastAsia"/>
                      <w:lang w:val="en-US" w:eastAsia="zh-CN"/>
                    </w:rPr>
                    <w:t>5L</w:t>
                  </w:r>
                </w:p>
              </w:tc>
              <w:tc>
                <w:tcPr>
                  <w:tcW w:w="1487" w:type="dxa"/>
                  <w:tcBorders>
                    <w:tl2br w:val="nil"/>
                    <w:tr2bl w:val="nil"/>
                  </w:tcBorders>
                  <w:shd w:val="clear" w:color="auto" w:fill="auto"/>
                  <w:vAlign w:val="center"/>
                </w:tcPr>
                <w:p w14:paraId="198E43F0">
                  <w:pPr>
                    <w:jc w:val="center"/>
                    <w:rPr>
                      <w:rFonts w:hint="eastAsia"/>
                      <w:lang w:val="en-US" w:eastAsia="zh-CN"/>
                    </w:rPr>
                  </w:pPr>
                  <w:r>
                    <w:rPr>
                      <w:rFonts w:hint="eastAsia"/>
                      <w:lang w:val="en-US" w:eastAsia="zh-CN"/>
                    </w:rPr>
                    <w:t>易制毒制爆室</w:t>
                  </w:r>
                </w:p>
              </w:tc>
            </w:tr>
            <w:tr w14:paraId="409EF3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1A9D520">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5E87D3E3">
                  <w:pPr>
                    <w:jc w:val="center"/>
                    <w:rPr>
                      <w:rFonts w:hint="default"/>
                      <w:lang w:val="en-US" w:eastAsia="zh-CN"/>
                    </w:rPr>
                  </w:pPr>
                  <w:r>
                    <w:rPr>
                      <w:rFonts w:hint="eastAsia"/>
                    </w:rPr>
                    <w:t>盐酸</w:t>
                  </w:r>
                </w:p>
              </w:tc>
              <w:tc>
                <w:tcPr>
                  <w:tcW w:w="1388" w:type="dxa"/>
                  <w:tcBorders>
                    <w:tl2br w:val="nil"/>
                    <w:tr2bl w:val="nil"/>
                  </w:tcBorders>
                  <w:shd w:val="clear" w:color="auto" w:fill="auto"/>
                  <w:vAlign w:val="center"/>
                </w:tcPr>
                <w:p w14:paraId="675F1ED1">
                  <w:pPr>
                    <w:jc w:val="center"/>
                    <w:rPr>
                      <w:rFonts w:hint="default"/>
                      <w:lang w:val="en-US" w:eastAsia="zh-CN"/>
                    </w:rPr>
                  </w:pPr>
                  <w:r>
                    <w:rPr>
                      <w:rFonts w:hint="eastAsia"/>
                    </w:rPr>
                    <w:t>500ml</w:t>
                  </w:r>
                </w:p>
              </w:tc>
              <w:tc>
                <w:tcPr>
                  <w:tcW w:w="1445" w:type="dxa"/>
                  <w:tcBorders>
                    <w:tl2br w:val="nil"/>
                    <w:tr2bl w:val="nil"/>
                  </w:tcBorders>
                  <w:shd w:val="clear" w:color="auto" w:fill="auto"/>
                  <w:vAlign w:val="center"/>
                </w:tcPr>
                <w:p w14:paraId="3180853A">
                  <w:pPr>
                    <w:jc w:val="center"/>
                    <w:rPr>
                      <w:rFonts w:hint="default"/>
                      <w:lang w:val="en-US" w:eastAsia="zh-CN"/>
                    </w:rPr>
                  </w:pPr>
                  <w:r>
                    <w:rPr>
                      <w:rFonts w:hint="eastAsia"/>
                    </w:rPr>
                    <w:t>3.5L</w:t>
                  </w:r>
                </w:p>
              </w:tc>
              <w:tc>
                <w:tcPr>
                  <w:tcW w:w="1487" w:type="dxa"/>
                  <w:tcBorders>
                    <w:tl2br w:val="nil"/>
                    <w:tr2bl w:val="nil"/>
                  </w:tcBorders>
                  <w:shd w:val="clear" w:color="auto" w:fill="auto"/>
                  <w:vAlign w:val="center"/>
                </w:tcPr>
                <w:p w14:paraId="64571734">
                  <w:pPr>
                    <w:jc w:val="center"/>
                    <w:rPr>
                      <w:rFonts w:hint="default"/>
                      <w:lang w:val="en-US" w:eastAsia="zh-CN"/>
                    </w:rPr>
                  </w:pPr>
                  <w:r>
                    <w:rPr>
                      <w:rFonts w:hint="eastAsia"/>
                      <w:lang w:val="en-US" w:eastAsia="zh-CN"/>
                    </w:rPr>
                    <w:t>10.5L</w:t>
                  </w:r>
                </w:p>
              </w:tc>
              <w:tc>
                <w:tcPr>
                  <w:tcW w:w="1487" w:type="dxa"/>
                  <w:tcBorders>
                    <w:tl2br w:val="nil"/>
                    <w:tr2bl w:val="nil"/>
                  </w:tcBorders>
                  <w:shd w:val="clear" w:color="auto" w:fill="auto"/>
                  <w:vAlign w:val="center"/>
                </w:tcPr>
                <w:p w14:paraId="43CC78E4">
                  <w:pPr>
                    <w:jc w:val="center"/>
                    <w:rPr>
                      <w:rFonts w:hint="eastAsia"/>
                      <w:lang w:val="en-US" w:eastAsia="zh-CN"/>
                    </w:rPr>
                  </w:pPr>
                  <w:r>
                    <w:rPr>
                      <w:rFonts w:hint="eastAsia"/>
                      <w:lang w:val="en-US" w:eastAsia="zh-CN"/>
                    </w:rPr>
                    <w:t>易制毒制爆室</w:t>
                  </w:r>
                </w:p>
              </w:tc>
            </w:tr>
            <w:tr w14:paraId="1A7202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B79FDC7">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4FD8C7C0">
                  <w:pPr>
                    <w:jc w:val="center"/>
                    <w:rPr>
                      <w:rFonts w:hint="default"/>
                      <w:lang w:val="en-US" w:eastAsia="zh-CN"/>
                    </w:rPr>
                  </w:pPr>
                  <w:r>
                    <w:rPr>
                      <w:rFonts w:hint="eastAsia"/>
                    </w:rPr>
                    <w:t>高氯酸</w:t>
                  </w:r>
                </w:p>
              </w:tc>
              <w:tc>
                <w:tcPr>
                  <w:tcW w:w="1388" w:type="dxa"/>
                  <w:tcBorders>
                    <w:tl2br w:val="nil"/>
                    <w:tr2bl w:val="nil"/>
                  </w:tcBorders>
                  <w:shd w:val="clear" w:color="auto" w:fill="auto"/>
                  <w:vAlign w:val="center"/>
                </w:tcPr>
                <w:p w14:paraId="3FB407C0">
                  <w:pPr>
                    <w:jc w:val="center"/>
                    <w:rPr>
                      <w:rFonts w:hint="default"/>
                      <w:lang w:val="en-US" w:eastAsia="zh-CN"/>
                    </w:rPr>
                  </w:pPr>
                  <w:r>
                    <w:rPr>
                      <w:rFonts w:hint="eastAsia"/>
                    </w:rPr>
                    <w:t>500ml</w:t>
                  </w:r>
                </w:p>
              </w:tc>
              <w:tc>
                <w:tcPr>
                  <w:tcW w:w="1445" w:type="dxa"/>
                  <w:tcBorders>
                    <w:tl2br w:val="nil"/>
                    <w:tr2bl w:val="nil"/>
                  </w:tcBorders>
                  <w:shd w:val="clear" w:color="auto" w:fill="auto"/>
                  <w:vAlign w:val="center"/>
                </w:tcPr>
                <w:p w14:paraId="69FB7737">
                  <w:pPr>
                    <w:jc w:val="center"/>
                    <w:rPr>
                      <w:rFonts w:hint="default"/>
                      <w:lang w:val="en-US" w:eastAsia="zh-CN"/>
                    </w:rPr>
                  </w:pPr>
                  <w:r>
                    <w:rPr>
                      <w:rFonts w:hint="eastAsia"/>
                    </w:rPr>
                    <w:t>1L</w:t>
                  </w:r>
                </w:p>
              </w:tc>
              <w:tc>
                <w:tcPr>
                  <w:tcW w:w="1487" w:type="dxa"/>
                  <w:tcBorders>
                    <w:tl2br w:val="nil"/>
                    <w:tr2bl w:val="nil"/>
                  </w:tcBorders>
                  <w:shd w:val="clear" w:color="auto" w:fill="auto"/>
                  <w:vAlign w:val="center"/>
                </w:tcPr>
                <w:p w14:paraId="23809602">
                  <w:pPr>
                    <w:jc w:val="center"/>
                    <w:rPr>
                      <w:rFonts w:hint="default"/>
                      <w:lang w:val="en-US" w:eastAsia="zh-CN"/>
                    </w:rPr>
                  </w:pPr>
                  <w:r>
                    <w:rPr>
                      <w:rFonts w:hint="eastAsia"/>
                      <w:lang w:val="en-US" w:eastAsia="zh-CN"/>
                    </w:rPr>
                    <w:t>4L</w:t>
                  </w:r>
                </w:p>
              </w:tc>
              <w:tc>
                <w:tcPr>
                  <w:tcW w:w="1487" w:type="dxa"/>
                  <w:tcBorders>
                    <w:tl2br w:val="nil"/>
                    <w:tr2bl w:val="nil"/>
                  </w:tcBorders>
                  <w:shd w:val="clear" w:color="auto" w:fill="auto"/>
                  <w:vAlign w:val="center"/>
                </w:tcPr>
                <w:p w14:paraId="5948EEFB">
                  <w:pPr>
                    <w:jc w:val="center"/>
                    <w:rPr>
                      <w:rFonts w:hint="eastAsia"/>
                      <w:lang w:val="en-US" w:eastAsia="zh-CN"/>
                    </w:rPr>
                  </w:pPr>
                  <w:r>
                    <w:rPr>
                      <w:rFonts w:hint="eastAsia"/>
                      <w:lang w:val="en-US" w:eastAsia="zh-CN"/>
                    </w:rPr>
                    <w:t>试剂室</w:t>
                  </w:r>
                </w:p>
              </w:tc>
            </w:tr>
            <w:tr w14:paraId="360521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1E22AEBA">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5CBE2358">
                  <w:pPr>
                    <w:jc w:val="center"/>
                    <w:rPr>
                      <w:rFonts w:hint="default"/>
                      <w:lang w:val="en-US" w:eastAsia="zh-CN"/>
                    </w:rPr>
                  </w:pPr>
                  <w:r>
                    <w:rPr>
                      <w:rFonts w:hint="eastAsia"/>
                    </w:rPr>
                    <w:t>磷酸</w:t>
                  </w:r>
                </w:p>
              </w:tc>
              <w:tc>
                <w:tcPr>
                  <w:tcW w:w="1388" w:type="dxa"/>
                  <w:tcBorders>
                    <w:tl2br w:val="nil"/>
                    <w:tr2bl w:val="nil"/>
                  </w:tcBorders>
                  <w:shd w:val="clear" w:color="auto" w:fill="auto"/>
                  <w:vAlign w:val="center"/>
                </w:tcPr>
                <w:p w14:paraId="6A025D4C">
                  <w:pPr>
                    <w:jc w:val="center"/>
                    <w:rPr>
                      <w:rFonts w:hint="default"/>
                      <w:lang w:val="en-US" w:eastAsia="zh-CN"/>
                    </w:rPr>
                  </w:pPr>
                  <w:r>
                    <w:rPr>
                      <w:rFonts w:hint="eastAsia"/>
                    </w:rPr>
                    <w:t>500ml</w:t>
                  </w:r>
                </w:p>
              </w:tc>
              <w:tc>
                <w:tcPr>
                  <w:tcW w:w="1445" w:type="dxa"/>
                  <w:tcBorders>
                    <w:tl2br w:val="nil"/>
                    <w:tr2bl w:val="nil"/>
                  </w:tcBorders>
                  <w:shd w:val="clear" w:color="auto" w:fill="auto"/>
                  <w:vAlign w:val="center"/>
                </w:tcPr>
                <w:p w14:paraId="4EB50B95">
                  <w:pPr>
                    <w:jc w:val="center"/>
                    <w:rPr>
                      <w:rFonts w:hint="default"/>
                      <w:lang w:val="en-US" w:eastAsia="zh-CN"/>
                    </w:rPr>
                  </w:pPr>
                  <w:r>
                    <w:rPr>
                      <w:rFonts w:hint="eastAsia"/>
                    </w:rPr>
                    <w:t>10L</w:t>
                  </w:r>
                </w:p>
              </w:tc>
              <w:tc>
                <w:tcPr>
                  <w:tcW w:w="1487" w:type="dxa"/>
                  <w:tcBorders>
                    <w:tl2br w:val="nil"/>
                    <w:tr2bl w:val="nil"/>
                  </w:tcBorders>
                  <w:shd w:val="clear" w:color="auto" w:fill="auto"/>
                  <w:vAlign w:val="center"/>
                </w:tcPr>
                <w:p w14:paraId="58DE973E">
                  <w:pPr>
                    <w:jc w:val="center"/>
                    <w:rPr>
                      <w:rFonts w:hint="default"/>
                      <w:lang w:val="en-US" w:eastAsia="zh-CN"/>
                    </w:rPr>
                  </w:pPr>
                  <w:r>
                    <w:rPr>
                      <w:rFonts w:hint="eastAsia"/>
                      <w:lang w:val="en-US" w:eastAsia="zh-CN"/>
                    </w:rPr>
                    <w:t>10L</w:t>
                  </w:r>
                </w:p>
              </w:tc>
              <w:tc>
                <w:tcPr>
                  <w:tcW w:w="1487" w:type="dxa"/>
                  <w:tcBorders>
                    <w:tl2br w:val="nil"/>
                    <w:tr2bl w:val="nil"/>
                  </w:tcBorders>
                  <w:shd w:val="clear" w:color="auto" w:fill="auto"/>
                  <w:vAlign w:val="center"/>
                </w:tcPr>
                <w:p w14:paraId="41CFBD11">
                  <w:pPr>
                    <w:jc w:val="center"/>
                    <w:rPr>
                      <w:rFonts w:hint="eastAsia"/>
                      <w:lang w:val="en-US" w:eastAsia="zh-CN"/>
                    </w:rPr>
                  </w:pPr>
                  <w:r>
                    <w:rPr>
                      <w:rFonts w:hint="eastAsia"/>
                      <w:lang w:val="en-US" w:eastAsia="zh-CN"/>
                    </w:rPr>
                    <w:t>试剂室</w:t>
                  </w:r>
                </w:p>
              </w:tc>
            </w:tr>
            <w:tr w14:paraId="3AECC6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1BDD2A43">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160D478F">
                  <w:pPr>
                    <w:jc w:val="center"/>
                    <w:rPr>
                      <w:rFonts w:hint="default"/>
                      <w:lang w:val="en-US" w:eastAsia="zh-CN"/>
                    </w:rPr>
                  </w:pPr>
                  <w:r>
                    <w:rPr>
                      <w:rFonts w:hint="eastAsia"/>
                    </w:rPr>
                    <w:t>磷酸氢二铵</w:t>
                  </w:r>
                </w:p>
              </w:tc>
              <w:tc>
                <w:tcPr>
                  <w:tcW w:w="1388" w:type="dxa"/>
                  <w:tcBorders>
                    <w:tl2br w:val="nil"/>
                    <w:tr2bl w:val="nil"/>
                  </w:tcBorders>
                  <w:shd w:val="clear" w:color="auto" w:fill="auto"/>
                  <w:vAlign w:val="center"/>
                </w:tcPr>
                <w:p w14:paraId="74467589">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7353B079">
                  <w:pPr>
                    <w:jc w:val="center"/>
                    <w:rPr>
                      <w:rFonts w:hint="default"/>
                      <w:lang w:val="en-US" w:eastAsia="zh-CN"/>
                    </w:rPr>
                  </w:pPr>
                  <w:r>
                    <w:rPr>
                      <w:rFonts w:hint="eastAsia"/>
                    </w:rPr>
                    <w:t>2kg</w:t>
                  </w:r>
                </w:p>
              </w:tc>
              <w:tc>
                <w:tcPr>
                  <w:tcW w:w="1487" w:type="dxa"/>
                  <w:tcBorders>
                    <w:tl2br w:val="nil"/>
                    <w:tr2bl w:val="nil"/>
                  </w:tcBorders>
                  <w:shd w:val="clear" w:color="auto" w:fill="auto"/>
                  <w:vAlign w:val="center"/>
                </w:tcPr>
                <w:p w14:paraId="7F27DEBB">
                  <w:pPr>
                    <w:jc w:val="center"/>
                    <w:rPr>
                      <w:rFonts w:hint="default"/>
                      <w:lang w:val="en-US" w:eastAsia="zh-CN"/>
                    </w:rPr>
                  </w:pPr>
                  <w:r>
                    <w:rPr>
                      <w:rFonts w:hint="eastAsia"/>
                    </w:rPr>
                    <w:t>2kg</w:t>
                  </w:r>
                </w:p>
              </w:tc>
              <w:tc>
                <w:tcPr>
                  <w:tcW w:w="1487" w:type="dxa"/>
                  <w:tcBorders>
                    <w:tl2br w:val="nil"/>
                    <w:tr2bl w:val="nil"/>
                  </w:tcBorders>
                  <w:shd w:val="clear" w:color="auto" w:fill="auto"/>
                  <w:vAlign w:val="center"/>
                </w:tcPr>
                <w:p w14:paraId="10CE3009">
                  <w:pPr>
                    <w:jc w:val="center"/>
                    <w:rPr>
                      <w:rFonts w:hint="eastAsia"/>
                    </w:rPr>
                  </w:pPr>
                  <w:r>
                    <w:rPr>
                      <w:rFonts w:hint="eastAsia"/>
                      <w:lang w:val="en-US" w:eastAsia="zh-CN"/>
                    </w:rPr>
                    <w:t>试剂室</w:t>
                  </w:r>
                </w:p>
              </w:tc>
            </w:tr>
            <w:tr w14:paraId="03FC2E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46DD9A8">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5D20303B">
                  <w:pPr>
                    <w:jc w:val="center"/>
                    <w:rPr>
                      <w:rFonts w:hint="eastAsia"/>
                      <w:lang w:val="en-US" w:eastAsia="zh-CN"/>
                    </w:rPr>
                  </w:pPr>
                  <w:r>
                    <w:rPr>
                      <w:rFonts w:hint="eastAsia"/>
                    </w:rPr>
                    <w:t>磷酸二氢铵</w:t>
                  </w:r>
                </w:p>
              </w:tc>
              <w:tc>
                <w:tcPr>
                  <w:tcW w:w="1388" w:type="dxa"/>
                  <w:tcBorders>
                    <w:tl2br w:val="nil"/>
                    <w:tr2bl w:val="nil"/>
                  </w:tcBorders>
                  <w:shd w:val="clear" w:color="auto" w:fill="auto"/>
                  <w:vAlign w:val="center"/>
                </w:tcPr>
                <w:p w14:paraId="33FED220">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3A27E266">
                  <w:pPr>
                    <w:jc w:val="center"/>
                    <w:rPr>
                      <w:rFonts w:hint="eastAsia"/>
                      <w:lang w:val="en-US" w:eastAsia="zh-CN"/>
                    </w:rPr>
                  </w:pPr>
                  <w:r>
                    <w:rPr>
                      <w:rFonts w:hint="eastAsia"/>
                    </w:rPr>
                    <w:t>2kg</w:t>
                  </w:r>
                </w:p>
              </w:tc>
              <w:tc>
                <w:tcPr>
                  <w:tcW w:w="1487" w:type="dxa"/>
                  <w:tcBorders>
                    <w:tl2br w:val="nil"/>
                    <w:tr2bl w:val="nil"/>
                  </w:tcBorders>
                  <w:shd w:val="clear" w:color="auto" w:fill="auto"/>
                  <w:vAlign w:val="center"/>
                </w:tcPr>
                <w:p w14:paraId="74C5CF37">
                  <w:pPr>
                    <w:jc w:val="center"/>
                    <w:rPr>
                      <w:rFonts w:hint="eastAsia"/>
                      <w:lang w:val="en-US" w:eastAsia="zh-CN"/>
                    </w:rPr>
                  </w:pPr>
                  <w:r>
                    <w:rPr>
                      <w:rFonts w:hint="eastAsia"/>
                    </w:rPr>
                    <w:t>2kg</w:t>
                  </w:r>
                </w:p>
              </w:tc>
              <w:tc>
                <w:tcPr>
                  <w:tcW w:w="1487" w:type="dxa"/>
                  <w:tcBorders>
                    <w:tl2br w:val="nil"/>
                    <w:tr2bl w:val="nil"/>
                  </w:tcBorders>
                  <w:shd w:val="clear" w:color="auto" w:fill="auto"/>
                  <w:vAlign w:val="center"/>
                </w:tcPr>
                <w:p w14:paraId="2B2F495D">
                  <w:pPr>
                    <w:jc w:val="center"/>
                    <w:rPr>
                      <w:rFonts w:hint="eastAsia"/>
                    </w:rPr>
                  </w:pPr>
                  <w:r>
                    <w:rPr>
                      <w:rFonts w:hint="eastAsia"/>
                      <w:lang w:val="en-US" w:eastAsia="zh-CN"/>
                    </w:rPr>
                    <w:t>试剂室</w:t>
                  </w:r>
                </w:p>
              </w:tc>
            </w:tr>
            <w:tr w14:paraId="1A3D72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2FA68AA4">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5F4921DE">
                  <w:pPr>
                    <w:jc w:val="center"/>
                    <w:rPr>
                      <w:rFonts w:hint="eastAsia"/>
                      <w:lang w:val="en-US" w:eastAsia="zh-CN"/>
                    </w:rPr>
                  </w:pPr>
                  <w:r>
                    <w:rPr>
                      <w:rFonts w:hint="eastAsia"/>
                    </w:rPr>
                    <w:t>溴化钾</w:t>
                  </w:r>
                </w:p>
              </w:tc>
              <w:tc>
                <w:tcPr>
                  <w:tcW w:w="1388" w:type="dxa"/>
                  <w:tcBorders>
                    <w:tl2br w:val="nil"/>
                    <w:tr2bl w:val="nil"/>
                  </w:tcBorders>
                  <w:shd w:val="clear" w:color="auto" w:fill="auto"/>
                  <w:vAlign w:val="center"/>
                </w:tcPr>
                <w:p w14:paraId="6BF17E45">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55ECB9CF">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3C5959A2">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63F4CA1D">
                  <w:pPr>
                    <w:jc w:val="center"/>
                    <w:rPr>
                      <w:rFonts w:hint="eastAsia"/>
                    </w:rPr>
                  </w:pPr>
                  <w:r>
                    <w:rPr>
                      <w:rFonts w:hint="eastAsia"/>
                      <w:lang w:val="en-US" w:eastAsia="zh-CN"/>
                    </w:rPr>
                    <w:t>试剂室</w:t>
                  </w:r>
                </w:p>
              </w:tc>
            </w:tr>
            <w:tr w14:paraId="676889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39C2FCF3">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4FAE18E1">
                  <w:pPr>
                    <w:jc w:val="center"/>
                    <w:rPr>
                      <w:rFonts w:hint="eastAsia"/>
                      <w:lang w:val="en-US" w:eastAsia="zh-CN"/>
                    </w:rPr>
                  </w:pPr>
                  <w:r>
                    <w:rPr>
                      <w:rFonts w:hint="eastAsia"/>
                    </w:rPr>
                    <w:t>尿素</w:t>
                  </w:r>
                </w:p>
              </w:tc>
              <w:tc>
                <w:tcPr>
                  <w:tcW w:w="1388" w:type="dxa"/>
                  <w:tcBorders>
                    <w:tl2br w:val="nil"/>
                    <w:tr2bl w:val="nil"/>
                  </w:tcBorders>
                  <w:shd w:val="clear" w:color="auto" w:fill="auto"/>
                  <w:vAlign w:val="center"/>
                </w:tcPr>
                <w:p w14:paraId="67DC0909">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5AF03AB5">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3CFB7977">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3087DB9A">
                  <w:pPr>
                    <w:jc w:val="center"/>
                    <w:rPr>
                      <w:rFonts w:hint="eastAsia"/>
                    </w:rPr>
                  </w:pPr>
                  <w:r>
                    <w:rPr>
                      <w:rFonts w:hint="eastAsia"/>
                      <w:lang w:val="en-US" w:eastAsia="zh-CN"/>
                    </w:rPr>
                    <w:t>试剂室</w:t>
                  </w:r>
                </w:p>
              </w:tc>
            </w:tr>
            <w:tr w14:paraId="621B95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27A3CF8B">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1B36AE2D">
                  <w:pPr>
                    <w:jc w:val="center"/>
                    <w:rPr>
                      <w:rFonts w:hint="eastAsia"/>
                      <w:lang w:val="en-US" w:eastAsia="zh-CN"/>
                    </w:rPr>
                  </w:pPr>
                  <w:r>
                    <w:rPr>
                      <w:rFonts w:hint="eastAsia"/>
                    </w:rPr>
                    <w:t>氯化铵</w:t>
                  </w:r>
                </w:p>
              </w:tc>
              <w:tc>
                <w:tcPr>
                  <w:tcW w:w="1388" w:type="dxa"/>
                  <w:tcBorders>
                    <w:tl2br w:val="nil"/>
                    <w:tr2bl w:val="nil"/>
                  </w:tcBorders>
                  <w:shd w:val="clear" w:color="auto" w:fill="auto"/>
                  <w:vAlign w:val="center"/>
                </w:tcPr>
                <w:p w14:paraId="067E89BD">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5D82EE85">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03F7411C">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5B2F76E9">
                  <w:pPr>
                    <w:jc w:val="center"/>
                    <w:rPr>
                      <w:rFonts w:hint="eastAsia"/>
                    </w:rPr>
                  </w:pPr>
                  <w:r>
                    <w:rPr>
                      <w:rFonts w:hint="eastAsia"/>
                      <w:lang w:val="en-US" w:eastAsia="zh-CN"/>
                    </w:rPr>
                    <w:t>试剂室</w:t>
                  </w:r>
                </w:p>
              </w:tc>
            </w:tr>
            <w:tr w14:paraId="3751F0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A20D709">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221367F9">
                  <w:pPr>
                    <w:jc w:val="center"/>
                    <w:rPr>
                      <w:rFonts w:hint="eastAsia"/>
                      <w:lang w:val="en-US" w:eastAsia="zh-CN"/>
                    </w:rPr>
                  </w:pPr>
                  <w:r>
                    <w:rPr>
                      <w:rFonts w:hint="eastAsia"/>
                    </w:rPr>
                    <w:t>硫代硫酸钠</w:t>
                  </w:r>
                </w:p>
              </w:tc>
              <w:tc>
                <w:tcPr>
                  <w:tcW w:w="1388" w:type="dxa"/>
                  <w:tcBorders>
                    <w:tl2br w:val="nil"/>
                    <w:tr2bl w:val="nil"/>
                  </w:tcBorders>
                  <w:shd w:val="clear" w:color="auto" w:fill="auto"/>
                  <w:vAlign w:val="center"/>
                </w:tcPr>
                <w:p w14:paraId="1B3192B4">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2C754CA5">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2B3959B9">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4229EBD9">
                  <w:pPr>
                    <w:jc w:val="center"/>
                    <w:rPr>
                      <w:rFonts w:hint="eastAsia"/>
                    </w:rPr>
                  </w:pPr>
                  <w:r>
                    <w:rPr>
                      <w:rFonts w:hint="eastAsia"/>
                      <w:lang w:val="en-US" w:eastAsia="zh-CN"/>
                    </w:rPr>
                    <w:t>试剂室</w:t>
                  </w:r>
                </w:p>
              </w:tc>
            </w:tr>
            <w:tr w14:paraId="4BF2EF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E7B1CFD">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0EAA972F">
                  <w:pPr>
                    <w:jc w:val="center"/>
                    <w:rPr>
                      <w:rFonts w:hint="eastAsia"/>
                      <w:lang w:val="en-US" w:eastAsia="zh-CN"/>
                    </w:rPr>
                  </w:pPr>
                  <w:r>
                    <w:rPr>
                      <w:rFonts w:hint="eastAsia"/>
                    </w:rPr>
                    <w:t>十二水和磷酸氢二钠</w:t>
                  </w:r>
                </w:p>
              </w:tc>
              <w:tc>
                <w:tcPr>
                  <w:tcW w:w="1388" w:type="dxa"/>
                  <w:tcBorders>
                    <w:tl2br w:val="nil"/>
                    <w:tr2bl w:val="nil"/>
                  </w:tcBorders>
                  <w:shd w:val="clear" w:color="auto" w:fill="auto"/>
                  <w:vAlign w:val="center"/>
                </w:tcPr>
                <w:p w14:paraId="0E280476">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0F0252CD">
                  <w:pPr>
                    <w:jc w:val="center"/>
                    <w:rPr>
                      <w:rFonts w:hint="eastAsia"/>
                      <w:lang w:val="en-US" w:eastAsia="zh-CN"/>
                    </w:rPr>
                  </w:pPr>
                  <w:r>
                    <w:rPr>
                      <w:rFonts w:hint="eastAsia"/>
                    </w:rPr>
                    <w:t>2kg</w:t>
                  </w:r>
                </w:p>
              </w:tc>
              <w:tc>
                <w:tcPr>
                  <w:tcW w:w="1487" w:type="dxa"/>
                  <w:tcBorders>
                    <w:tl2br w:val="nil"/>
                    <w:tr2bl w:val="nil"/>
                  </w:tcBorders>
                  <w:shd w:val="clear" w:color="auto" w:fill="auto"/>
                  <w:vAlign w:val="center"/>
                </w:tcPr>
                <w:p w14:paraId="3401D902">
                  <w:pPr>
                    <w:jc w:val="center"/>
                    <w:rPr>
                      <w:rFonts w:hint="eastAsia"/>
                      <w:lang w:val="en-US" w:eastAsia="zh-CN"/>
                    </w:rPr>
                  </w:pPr>
                  <w:r>
                    <w:rPr>
                      <w:rFonts w:hint="eastAsia"/>
                    </w:rPr>
                    <w:t>2kg</w:t>
                  </w:r>
                </w:p>
              </w:tc>
              <w:tc>
                <w:tcPr>
                  <w:tcW w:w="1487" w:type="dxa"/>
                  <w:tcBorders>
                    <w:tl2br w:val="nil"/>
                    <w:tr2bl w:val="nil"/>
                  </w:tcBorders>
                  <w:shd w:val="clear" w:color="auto" w:fill="auto"/>
                  <w:vAlign w:val="center"/>
                </w:tcPr>
                <w:p w14:paraId="56C58C5D">
                  <w:pPr>
                    <w:jc w:val="center"/>
                    <w:rPr>
                      <w:rFonts w:hint="eastAsia"/>
                    </w:rPr>
                  </w:pPr>
                  <w:r>
                    <w:rPr>
                      <w:rFonts w:hint="eastAsia"/>
                      <w:lang w:val="en-US" w:eastAsia="zh-CN"/>
                    </w:rPr>
                    <w:t>试剂室</w:t>
                  </w:r>
                </w:p>
              </w:tc>
            </w:tr>
            <w:tr w14:paraId="77AC55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B0F0D54">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0EAC565F">
                  <w:pPr>
                    <w:jc w:val="center"/>
                    <w:rPr>
                      <w:rFonts w:hint="eastAsia"/>
                      <w:lang w:val="en-US" w:eastAsia="zh-CN"/>
                    </w:rPr>
                  </w:pPr>
                  <w:r>
                    <w:rPr>
                      <w:rFonts w:hint="eastAsia"/>
                    </w:rPr>
                    <w:t>无水氯化钙</w:t>
                  </w:r>
                </w:p>
              </w:tc>
              <w:tc>
                <w:tcPr>
                  <w:tcW w:w="1388" w:type="dxa"/>
                  <w:tcBorders>
                    <w:tl2br w:val="nil"/>
                    <w:tr2bl w:val="nil"/>
                  </w:tcBorders>
                  <w:shd w:val="clear" w:color="auto" w:fill="auto"/>
                  <w:vAlign w:val="center"/>
                </w:tcPr>
                <w:p w14:paraId="600172D1">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7EB0F9FC">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513EF92B">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1DA95AD6">
                  <w:pPr>
                    <w:jc w:val="center"/>
                    <w:rPr>
                      <w:rFonts w:hint="eastAsia"/>
                    </w:rPr>
                  </w:pPr>
                  <w:r>
                    <w:rPr>
                      <w:rFonts w:hint="eastAsia"/>
                      <w:lang w:val="en-US" w:eastAsia="zh-CN"/>
                    </w:rPr>
                    <w:t>试剂室</w:t>
                  </w:r>
                </w:p>
              </w:tc>
            </w:tr>
            <w:tr w14:paraId="598CE4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39D2C24">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241E460D">
                  <w:pPr>
                    <w:jc w:val="center"/>
                    <w:rPr>
                      <w:rFonts w:hint="eastAsia"/>
                      <w:lang w:val="en-US" w:eastAsia="zh-CN"/>
                    </w:rPr>
                  </w:pPr>
                  <w:r>
                    <w:rPr>
                      <w:rFonts w:hint="eastAsia"/>
                    </w:rPr>
                    <w:t>二水合氯化钙</w:t>
                  </w:r>
                </w:p>
              </w:tc>
              <w:tc>
                <w:tcPr>
                  <w:tcW w:w="1388" w:type="dxa"/>
                  <w:tcBorders>
                    <w:tl2br w:val="nil"/>
                    <w:tr2bl w:val="nil"/>
                  </w:tcBorders>
                  <w:shd w:val="clear" w:color="auto" w:fill="auto"/>
                  <w:vAlign w:val="center"/>
                </w:tcPr>
                <w:p w14:paraId="045D354F">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057D40FA">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647CEC20">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397502A8">
                  <w:pPr>
                    <w:jc w:val="center"/>
                    <w:rPr>
                      <w:rFonts w:hint="eastAsia"/>
                    </w:rPr>
                  </w:pPr>
                  <w:r>
                    <w:rPr>
                      <w:rFonts w:hint="eastAsia"/>
                      <w:lang w:val="en-US" w:eastAsia="zh-CN"/>
                    </w:rPr>
                    <w:t>试剂室</w:t>
                  </w:r>
                </w:p>
              </w:tc>
            </w:tr>
            <w:tr w14:paraId="2C4D3F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0ED8819A">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4E1BC731">
                  <w:pPr>
                    <w:jc w:val="center"/>
                    <w:rPr>
                      <w:rFonts w:hint="eastAsia"/>
                      <w:lang w:val="en-US" w:eastAsia="zh-CN"/>
                    </w:rPr>
                  </w:pPr>
                  <w:r>
                    <w:rPr>
                      <w:rFonts w:hint="eastAsia"/>
                    </w:rPr>
                    <w:t>硫脲</w:t>
                  </w:r>
                </w:p>
              </w:tc>
              <w:tc>
                <w:tcPr>
                  <w:tcW w:w="1388" w:type="dxa"/>
                  <w:tcBorders>
                    <w:tl2br w:val="nil"/>
                    <w:tr2bl w:val="nil"/>
                  </w:tcBorders>
                  <w:shd w:val="clear" w:color="auto" w:fill="auto"/>
                  <w:vAlign w:val="center"/>
                </w:tcPr>
                <w:p w14:paraId="5FF4899C">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0520FBB5">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21674DDA">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632FF5BB">
                  <w:pPr>
                    <w:jc w:val="center"/>
                    <w:rPr>
                      <w:rFonts w:hint="eastAsia"/>
                    </w:rPr>
                  </w:pPr>
                  <w:r>
                    <w:rPr>
                      <w:rFonts w:hint="eastAsia"/>
                      <w:lang w:val="en-US" w:eastAsia="zh-CN"/>
                    </w:rPr>
                    <w:t>试剂室</w:t>
                  </w:r>
                </w:p>
              </w:tc>
            </w:tr>
            <w:tr w14:paraId="09EACB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29CD08F5">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790D5EC7">
                  <w:pPr>
                    <w:jc w:val="center"/>
                    <w:rPr>
                      <w:rFonts w:hint="eastAsia"/>
                      <w:lang w:val="en-US" w:eastAsia="zh-CN"/>
                    </w:rPr>
                  </w:pPr>
                  <w:r>
                    <w:rPr>
                      <w:rFonts w:hint="eastAsia"/>
                    </w:rPr>
                    <w:t>铁氰化钾</w:t>
                  </w:r>
                </w:p>
              </w:tc>
              <w:tc>
                <w:tcPr>
                  <w:tcW w:w="1388" w:type="dxa"/>
                  <w:tcBorders>
                    <w:tl2br w:val="nil"/>
                    <w:tr2bl w:val="nil"/>
                  </w:tcBorders>
                  <w:shd w:val="clear" w:color="auto" w:fill="auto"/>
                  <w:vAlign w:val="center"/>
                </w:tcPr>
                <w:p w14:paraId="0C8C9282">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061B6E27">
                  <w:pPr>
                    <w:jc w:val="center"/>
                    <w:rPr>
                      <w:rFonts w:hint="eastAsia"/>
                      <w:lang w:val="en-US" w:eastAsia="zh-CN"/>
                    </w:rPr>
                  </w:pPr>
                  <w:r>
                    <w:rPr>
                      <w:rFonts w:hint="eastAsia"/>
                    </w:rPr>
                    <w:t>2kg</w:t>
                  </w:r>
                </w:p>
              </w:tc>
              <w:tc>
                <w:tcPr>
                  <w:tcW w:w="1487" w:type="dxa"/>
                  <w:tcBorders>
                    <w:tl2br w:val="nil"/>
                    <w:tr2bl w:val="nil"/>
                  </w:tcBorders>
                  <w:shd w:val="clear" w:color="auto" w:fill="auto"/>
                  <w:vAlign w:val="center"/>
                </w:tcPr>
                <w:p w14:paraId="79C5076B">
                  <w:pPr>
                    <w:jc w:val="center"/>
                    <w:rPr>
                      <w:rFonts w:hint="eastAsia"/>
                      <w:lang w:val="en-US" w:eastAsia="zh-CN"/>
                    </w:rPr>
                  </w:pPr>
                  <w:r>
                    <w:rPr>
                      <w:rFonts w:hint="eastAsia"/>
                    </w:rPr>
                    <w:t>2kg</w:t>
                  </w:r>
                </w:p>
              </w:tc>
              <w:tc>
                <w:tcPr>
                  <w:tcW w:w="1487" w:type="dxa"/>
                  <w:tcBorders>
                    <w:tl2br w:val="nil"/>
                    <w:tr2bl w:val="nil"/>
                  </w:tcBorders>
                  <w:shd w:val="clear" w:color="auto" w:fill="auto"/>
                  <w:vAlign w:val="center"/>
                </w:tcPr>
                <w:p w14:paraId="64C37FD9">
                  <w:pPr>
                    <w:jc w:val="center"/>
                    <w:rPr>
                      <w:rFonts w:hint="eastAsia"/>
                    </w:rPr>
                  </w:pPr>
                  <w:r>
                    <w:rPr>
                      <w:rFonts w:hint="eastAsia"/>
                      <w:lang w:val="en-US" w:eastAsia="zh-CN"/>
                    </w:rPr>
                    <w:t>试剂室</w:t>
                  </w:r>
                </w:p>
              </w:tc>
            </w:tr>
            <w:tr w14:paraId="3FBBE4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0967CAC5">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5AAC8204">
                  <w:pPr>
                    <w:jc w:val="center"/>
                    <w:rPr>
                      <w:rFonts w:hint="eastAsia"/>
                      <w:lang w:val="en-US" w:eastAsia="zh-CN"/>
                    </w:rPr>
                  </w:pPr>
                  <w:r>
                    <w:rPr>
                      <w:rFonts w:hint="eastAsia"/>
                    </w:rPr>
                    <w:t>氢氧化钾</w:t>
                  </w:r>
                </w:p>
              </w:tc>
              <w:tc>
                <w:tcPr>
                  <w:tcW w:w="1388" w:type="dxa"/>
                  <w:tcBorders>
                    <w:tl2br w:val="nil"/>
                    <w:tr2bl w:val="nil"/>
                  </w:tcBorders>
                  <w:shd w:val="clear" w:color="auto" w:fill="auto"/>
                  <w:vAlign w:val="center"/>
                </w:tcPr>
                <w:p w14:paraId="0DBFF736">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40D5EACC">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49B7B8B3">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0CD07C1A">
                  <w:pPr>
                    <w:jc w:val="center"/>
                    <w:rPr>
                      <w:rFonts w:hint="eastAsia"/>
                    </w:rPr>
                  </w:pPr>
                  <w:r>
                    <w:rPr>
                      <w:rFonts w:hint="eastAsia"/>
                      <w:lang w:val="en-US" w:eastAsia="zh-CN"/>
                    </w:rPr>
                    <w:t>试剂室</w:t>
                  </w:r>
                </w:p>
              </w:tc>
            </w:tr>
            <w:tr w14:paraId="3507CF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5907E220">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7157A6D7">
                  <w:pPr>
                    <w:jc w:val="center"/>
                    <w:rPr>
                      <w:rFonts w:hint="eastAsia"/>
                      <w:lang w:val="en-US" w:eastAsia="zh-CN"/>
                    </w:rPr>
                  </w:pPr>
                  <w:r>
                    <w:rPr>
                      <w:rFonts w:hint="eastAsia"/>
                    </w:rPr>
                    <w:t>淀粉</w:t>
                  </w:r>
                </w:p>
              </w:tc>
              <w:tc>
                <w:tcPr>
                  <w:tcW w:w="1388" w:type="dxa"/>
                  <w:tcBorders>
                    <w:tl2br w:val="nil"/>
                    <w:tr2bl w:val="nil"/>
                  </w:tcBorders>
                  <w:shd w:val="clear" w:color="auto" w:fill="auto"/>
                  <w:vAlign w:val="center"/>
                </w:tcPr>
                <w:p w14:paraId="5C544090">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4DDD0F4A">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1E2C2893">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187F8709">
                  <w:pPr>
                    <w:jc w:val="center"/>
                    <w:rPr>
                      <w:rFonts w:hint="eastAsia"/>
                    </w:rPr>
                  </w:pPr>
                  <w:r>
                    <w:rPr>
                      <w:rFonts w:hint="eastAsia"/>
                      <w:lang w:val="en-US" w:eastAsia="zh-CN"/>
                    </w:rPr>
                    <w:t>试剂室</w:t>
                  </w:r>
                </w:p>
              </w:tc>
            </w:tr>
            <w:tr w14:paraId="36B569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8943F10">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600AF356">
                  <w:pPr>
                    <w:jc w:val="center"/>
                    <w:rPr>
                      <w:rFonts w:hint="eastAsia"/>
                      <w:lang w:val="en-US" w:eastAsia="zh-CN"/>
                    </w:rPr>
                  </w:pPr>
                  <w:r>
                    <w:rPr>
                      <w:rFonts w:hint="eastAsia"/>
                    </w:rPr>
                    <w:t>过硫酸钾</w:t>
                  </w:r>
                </w:p>
              </w:tc>
              <w:tc>
                <w:tcPr>
                  <w:tcW w:w="1388" w:type="dxa"/>
                  <w:tcBorders>
                    <w:tl2br w:val="nil"/>
                    <w:tr2bl w:val="nil"/>
                  </w:tcBorders>
                  <w:shd w:val="clear" w:color="auto" w:fill="auto"/>
                  <w:vAlign w:val="center"/>
                </w:tcPr>
                <w:p w14:paraId="4B32B113">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3818EF83">
                  <w:pPr>
                    <w:jc w:val="center"/>
                    <w:rPr>
                      <w:rFonts w:hint="eastAsia"/>
                      <w:lang w:val="en-US" w:eastAsia="zh-CN"/>
                    </w:rPr>
                  </w:pPr>
                  <w:r>
                    <w:rPr>
                      <w:rFonts w:hint="eastAsia"/>
                    </w:rPr>
                    <w:t>4kg</w:t>
                  </w:r>
                </w:p>
              </w:tc>
              <w:tc>
                <w:tcPr>
                  <w:tcW w:w="1487" w:type="dxa"/>
                  <w:tcBorders>
                    <w:tl2br w:val="nil"/>
                    <w:tr2bl w:val="nil"/>
                  </w:tcBorders>
                  <w:shd w:val="clear" w:color="auto" w:fill="auto"/>
                  <w:vAlign w:val="center"/>
                </w:tcPr>
                <w:p w14:paraId="2B8A7F52">
                  <w:pPr>
                    <w:jc w:val="center"/>
                    <w:rPr>
                      <w:rFonts w:hint="eastAsia"/>
                      <w:lang w:val="en-US" w:eastAsia="zh-CN"/>
                    </w:rPr>
                  </w:pPr>
                  <w:r>
                    <w:rPr>
                      <w:rFonts w:hint="eastAsia"/>
                    </w:rPr>
                    <w:t>4kg</w:t>
                  </w:r>
                </w:p>
              </w:tc>
              <w:tc>
                <w:tcPr>
                  <w:tcW w:w="1487" w:type="dxa"/>
                  <w:tcBorders>
                    <w:tl2br w:val="nil"/>
                    <w:tr2bl w:val="nil"/>
                  </w:tcBorders>
                  <w:shd w:val="clear" w:color="auto" w:fill="auto"/>
                  <w:vAlign w:val="center"/>
                </w:tcPr>
                <w:p w14:paraId="0CE7ACEA">
                  <w:pPr>
                    <w:jc w:val="center"/>
                    <w:rPr>
                      <w:rFonts w:hint="eastAsia"/>
                    </w:rPr>
                  </w:pPr>
                  <w:r>
                    <w:rPr>
                      <w:rFonts w:hint="eastAsia"/>
                      <w:lang w:val="en-US" w:eastAsia="zh-CN"/>
                    </w:rPr>
                    <w:t>试剂室</w:t>
                  </w:r>
                </w:p>
              </w:tc>
            </w:tr>
            <w:tr w14:paraId="3C19F9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14BEBCE3">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656951C3">
                  <w:pPr>
                    <w:jc w:val="center"/>
                    <w:rPr>
                      <w:rFonts w:hint="eastAsia"/>
                      <w:lang w:val="en-US" w:eastAsia="zh-CN"/>
                    </w:rPr>
                  </w:pPr>
                  <w:r>
                    <w:rPr>
                      <w:rFonts w:hint="eastAsia"/>
                    </w:rPr>
                    <w:t>碘化钾</w:t>
                  </w:r>
                </w:p>
              </w:tc>
              <w:tc>
                <w:tcPr>
                  <w:tcW w:w="1388" w:type="dxa"/>
                  <w:tcBorders>
                    <w:tl2br w:val="nil"/>
                    <w:tr2bl w:val="nil"/>
                  </w:tcBorders>
                  <w:shd w:val="clear" w:color="auto" w:fill="auto"/>
                  <w:vAlign w:val="center"/>
                </w:tcPr>
                <w:p w14:paraId="7C1A5362">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5B8671A5">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381A96C3">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6A3C8F12">
                  <w:pPr>
                    <w:jc w:val="center"/>
                    <w:rPr>
                      <w:rFonts w:hint="eastAsia"/>
                    </w:rPr>
                  </w:pPr>
                  <w:r>
                    <w:rPr>
                      <w:rFonts w:hint="eastAsia"/>
                      <w:lang w:val="en-US" w:eastAsia="zh-CN"/>
                    </w:rPr>
                    <w:t>试剂室</w:t>
                  </w:r>
                </w:p>
              </w:tc>
            </w:tr>
            <w:tr w14:paraId="2ED156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6F1528DB">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38AD2454">
                  <w:pPr>
                    <w:jc w:val="center"/>
                    <w:rPr>
                      <w:rFonts w:hint="eastAsia"/>
                      <w:lang w:val="en-US" w:eastAsia="zh-CN"/>
                    </w:rPr>
                  </w:pPr>
                  <w:r>
                    <w:rPr>
                      <w:rFonts w:hint="eastAsia"/>
                    </w:rPr>
                    <w:t>无水硫酸钠</w:t>
                  </w:r>
                </w:p>
              </w:tc>
              <w:tc>
                <w:tcPr>
                  <w:tcW w:w="1388" w:type="dxa"/>
                  <w:tcBorders>
                    <w:tl2br w:val="nil"/>
                    <w:tr2bl w:val="nil"/>
                  </w:tcBorders>
                  <w:shd w:val="clear" w:color="auto" w:fill="auto"/>
                  <w:vAlign w:val="center"/>
                </w:tcPr>
                <w:p w14:paraId="77E323CF">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41F16356">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1B8475F0">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7BDD6879">
                  <w:pPr>
                    <w:jc w:val="center"/>
                    <w:rPr>
                      <w:rFonts w:hint="eastAsia"/>
                    </w:rPr>
                  </w:pPr>
                  <w:r>
                    <w:rPr>
                      <w:rFonts w:hint="eastAsia"/>
                      <w:lang w:val="en-US" w:eastAsia="zh-CN"/>
                    </w:rPr>
                    <w:t>试剂室</w:t>
                  </w:r>
                </w:p>
              </w:tc>
            </w:tr>
            <w:tr w14:paraId="46FE2A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177C840D">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03561ED8">
                  <w:pPr>
                    <w:jc w:val="center"/>
                    <w:rPr>
                      <w:rFonts w:hint="eastAsia"/>
                      <w:lang w:val="en-US" w:eastAsia="zh-CN"/>
                    </w:rPr>
                  </w:pPr>
                  <w:r>
                    <w:rPr>
                      <w:rFonts w:hint="eastAsia"/>
                    </w:rPr>
                    <w:t>乙二胺四乙酸</w:t>
                  </w:r>
                </w:p>
              </w:tc>
              <w:tc>
                <w:tcPr>
                  <w:tcW w:w="1388" w:type="dxa"/>
                  <w:tcBorders>
                    <w:tl2br w:val="nil"/>
                    <w:tr2bl w:val="nil"/>
                  </w:tcBorders>
                  <w:shd w:val="clear" w:color="auto" w:fill="auto"/>
                  <w:vAlign w:val="center"/>
                </w:tcPr>
                <w:p w14:paraId="29CDF032">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76C1D40B">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44409069">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2DEDE9E6">
                  <w:pPr>
                    <w:jc w:val="center"/>
                    <w:rPr>
                      <w:rFonts w:hint="eastAsia"/>
                    </w:rPr>
                  </w:pPr>
                  <w:r>
                    <w:rPr>
                      <w:rFonts w:hint="eastAsia"/>
                      <w:lang w:val="en-US" w:eastAsia="zh-CN"/>
                    </w:rPr>
                    <w:t>试剂室</w:t>
                  </w:r>
                </w:p>
              </w:tc>
            </w:tr>
            <w:tr w14:paraId="20C325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31B85966">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4FD92F0B">
                  <w:pPr>
                    <w:jc w:val="center"/>
                    <w:rPr>
                      <w:rFonts w:hint="eastAsia"/>
                      <w:lang w:val="en-US" w:eastAsia="zh-CN"/>
                    </w:rPr>
                  </w:pPr>
                  <w:r>
                    <w:rPr>
                      <w:rFonts w:hint="eastAsia"/>
                    </w:rPr>
                    <w:t>酒石酸钾钠</w:t>
                  </w:r>
                </w:p>
              </w:tc>
              <w:tc>
                <w:tcPr>
                  <w:tcW w:w="1388" w:type="dxa"/>
                  <w:tcBorders>
                    <w:tl2br w:val="nil"/>
                    <w:tr2bl w:val="nil"/>
                  </w:tcBorders>
                  <w:shd w:val="clear" w:color="auto" w:fill="auto"/>
                  <w:vAlign w:val="center"/>
                </w:tcPr>
                <w:p w14:paraId="544575E0">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385020F5">
                  <w:pPr>
                    <w:jc w:val="center"/>
                    <w:rPr>
                      <w:rFonts w:hint="eastAsia"/>
                      <w:lang w:val="en-US" w:eastAsia="zh-CN"/>
                    </w:rPr>
                  </w:pPr>
                  <w:r>
                    <w:rPr>
                      <w:rFonts w:hint="eastAsia"/>
                    </w:rPr>
                    <w:t>2kg</w:t>
                  </w:r>
                </w:p>
              </w:tc>
              <w:tc>
                <w:tcPr>
                  <w:tcW w:w="1487" w:type="dxa"/>
                  <w:tcBorders>
                    <w:tl2br w:val="nil"/>
                    <w:tr2bl w:val="nil"/>
                  </w:tcBorders>
                  <w:shd w:val="clear" w:color="auto" w:fill="auto"/>
                  <w:vAlign w:val="center"/>
                </w:tcPr>
                <w:p w14:paraId="29CFE2A8">
                  <w:pPr>
                    <w:jc w:val="center"/>
                    <w:rPr>
                      <w:rFonts w:hint="eastAsia"/>
                      <w:lang w:val="en-US" w:eastAsia="zh-CN"/>
                    </w:rPr>
                  </w:pPr>
                  <w:r>
                    <w:rPr>
                      <w:rFonts w:hint="eastAsia"/>
                    </w:rPr>
                    <w:t>2kg</w:t>
                  </w:r>
                </w:p>
              </w:tc>
              <w:tc>
                <w:tcPr>
                  <w:tcW w:w="1487" w:type="dxa"/>
                  <w:tcBorders>
                    <w:tl2br w:val="nil"/>
                    <w:tr2bl w:val="nil"/>
                  </w:tcBorders>
                  <w:shd w:val="clear" w:color="auto" w:fill="auto"/>
                  <w:vAlign w:val="center"/>
                </w:tcPr>
                <w:p w14:paraId="6E1B2857">
                  <w:pPr>
                    <w:jc w:val="center"/>
                    <w:rPr>
                      <w:rFonts w:hint="eastAsia"/>
                    </w:rPr>
                  </w:pPr>
                  <w:r>
                    <w:rPr>
                      <w:rFonts w:hint="eastAsia"/>
                      <w:lang w:val="en-US" w:eastAsia="zh-CN"/>
                    </w:rPr>
                    <w:t>试剂室</w:t>
                  </w:r>
                </w:p>
              </w:tc>
            </w:tr>
            <w:tr w14:paraId="51A86C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B6B5DC7">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43804B5">
                  <w:pPr>
                    <w:jc w:val="center"/>
                    <w:rPr>
                      <w:rFonts w:hint="eastAsia"/>
                      <w:lang w:val="en-US" w:eastAsia="zh-CN"/>
                    </w:rPr>
                  </w:pPr>
                  <w:r>
                    <w:rPr>
                      <w:rFonts w:hint="eastAsia"/>
                    </w:rPr>
                    <w:t>无水磷酸氢二钠</w:t>
                  </w:r>
                </w:p>
              </w:tc>
              <w:tc>
                <w:tcPr>
                  <w:tcW w:w="1388" w:type="dxa"/>
                  <w:tcBorders>
                    <w:tl2br w:val="nil"/>
                    <w:tr2bl w:val="nil"/>
                  </w:tcBorders>
                  <w:shd w:val="clear" w:color="auto" w:fill="auto"/>
                  <w:vAlign w:val="center"/>
                </w:tcPr>
                <w:p w14:paraId="7FC0B9E6">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5619EF43">
                  <w:pPr>
                    <w:jc w:val="center"/>
                    <w:rPr>
                      <w:rFonts w:hint="eastAsia"/>
                      <w:lang w:val="en-US" w:eastAsia="zh-CN"/>
                    </w:rPr>
                  </w:pPr>
                  <w:r>
                    <w:rPr>
                      <w:rFonts w:hint="eastAsia"/>
                    </w:rPr>
                    <w:t>2kg</w:t>
                  </w:r>
                </w:p>
              </w:tc>
              <w:tc>
                <w:tcPr>
                  <w:tcW w:w="1487" w:type="dxa"/>
                  <w:tcBorders>
                    <w:tl2br w:val="nil"/>
                    <w:tr2bl w:val="nil"/>
                  </w:tcBorders>
                  <w:shd w:val="clear" w:color="auto" w:fill="auto"/>
                  <w:vAlign w:val="center"/>
                </w:tcPr>
                <w:p w14:paraId="17AB1548">
                  <w:pPr>
                    <w:jc w:val="center"/>
                    <w:rPr>
                      <w:rFonts w:hint="eastAsia"/>
                      <w:lang w:val="en-US" w:eastAsia="zh-CN"/>
                    </w:rPr>
                  </w:pPr>
                  <w:r>
                    <w:rPr>
                      <w:rFonts w:hint="eastAsia"/>
                    </w:rPr>
                    <w:t>2kg</w:t>
                  </w:r>
                </w:p>
              </w:tc>
              <w:tc>
                <w:tcPr>
                  <w:tcW w:w="1487" w:type="dxa"/>
                  <w:tcBorders>
                    <w:tl2br w:val="nil"/>
                    <w:tr2bl w:val="nil"/>
                  </w:tcBorders>
                  <w:shd w:val="clear" w:color="auto" w:fill="auto"/>
                  <w:vAlign w:val="center"/>
                </w:tcPr>
                <w:p w14:paraId="28000B17">
                  <w:pPr>
                    <w:jc w:val="center"/>
                    <w:rPr>
                      <w:rFonts w:hint="eastAsia"/>
                    </w:rPr>
                  </w:pPr>
                  <w:r>
                    <w:rPr>
                      <w:rFonts w:hint="eastAsia"/>
                      <w:lang w:val="en-US" w:eastAsia="zh-CN"/>
                    </w:rPr>
                    <w:t>试剂室</w:t>
                  </w:r>
                </w:p>
              </w:tc>
            </w:tr>
            <w:tr w14:paraId="66C7B1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3CFDB558">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5934F5BC">
                  <w:pPr>
                    <w:jc w:val="center"/>
                    <w:rPr>
                      <w:rFonts w:hint="eastAsia"/>
                      <w:lang w:val="en-US" w:eastAsia="zh-CN"/>
                    </w:rPr>
                  </w:pPr>
                  <w:r>
                    <w:rPr>
                      <w:rFonts w:hint="eastAsia"/>
                    </w:rPr>
                    <w:t>柠檬酸三钠</w:t>
                  </w:r>
                </w:p>
              </w:tc>
              <w:tc>
                <w:tcPr>
                  <w:tcW w:w="1388" w:type="dxa"/>
                  <w:tcBorders>
                    <w:tl2br w:val="nil"/>
                    <w:tr2bl w:val="nil"/>
                  </w:tcBorders>
                  <w:shd w:val="clear" w:color="auto" w:fill="auto"/>
                  <w:vAlign w:val="center"/>
                </w:tcPr>
                <w:p w14:paraId="2B6C6430">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00E661ED">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7039C3E9">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7483762C">
                  <w:pPr>
                    <w:jc w:val="center"/>
                    <w:rPr>
                      <w:rFonts w:hint="eastAsia"/>
                    </w:rPr>
                  </w:pPr>
                  <w:r>
                    <w:rPr>
                      <w:rFonts w:hint="eastAsia"/>
                      <w:lang w:val="en-US" w:eastAsia="zh-CN"/>
                    </w:rPr>
                    <w:t>试剂室</w:t>
                  </w:r>
                </w:p>
              </w:tc>
            </w:tr>
            <w:tr w14:paraId="7A3A6A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D510166">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3DF40BE">
                  <w:pPr>
                    <w:jc w:val="center"/>
                    <w:rPr>
                      <w:rFonts w:hint="eastAsia"/>
                      <w:lang w:val="en-US" w:eastAsia="zh-CN"/>
                    </w:rPr>
                  </w:pPr>
                  <w:r>
                    <w:rPr>
                      <w:rFonts w:hint="eastAsia"/>
                    </w:rPr>
                    <w:t>二水磷酸二氢钠</w:t>
                  </w:r>
                </w:p>
              </w:tc>
              <w:tc>
                <w:tcPr>
                  <w:tcW w:w="1388" w:type="dxa"/>
                  <w:tcBorders>
                    <w:tl2br w:val="nil"/>
                    <w:tr2bl w:val="nil"/>
                  </w:tcBorders>
                  <w:shd w:val="clear" w:color="auto" w:fill="auto"/>
                  <w:vAlign w:val="center"/>
                </w:tcPr>
                <w:p w14:paraId="685CD62F">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3B41660D">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5CF0A577">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40811E1F">
                  <w:pPr>
                    <w:jc w:val="center"/>
                    <w:rPr>
                      <w:rFonts w:hint="eastAsia"/>
                    </w:rPr>
                  </w:pPr>
                  <w:r>
                    <w:rPr>
                      <w:rFonts w:hint="eastAsia"/>
                      <w:lang w:val="en-US" w:eastAsia="zh-CN"/>
                    </w:rPr>
                    <w:t>试剂室</w:t>
                  </w:r>
                </w:p>
              </w:tc>
            </w:tr>
            <w:tr w14:paraId="20A21B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0" w:hRule="atLeast"/>
              </w:trPr>
              <w:tc>
                <w:tcPr>
                  <w:tcW w:w="684" w:type="dxa"/>
                  <w:tcBorders>
                    <w:tl2br w:val="nil"/>
                    <w:tr2bl w:val="nil"/>
                  </w:tcBorders>
                  <w:vAlign w:val="center"/>
                </w:tcPr>
                <w:p w14:paraId="5703BDB7">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790F0291">
                  <w:pPr>
                    <w:jc w:val="center"/>
                    <w:rPr>
                      <w:rFonts w:hint="eastAsia"/>
                      <w:lang w:val="en-US" w:eastAsia="zh-CN"/>
                    </w:rPr>
                  </w:pPr>
                  <w:r>
                    <w:rPr>
                      <w:rFonts w:hint="eastAsia"/>
                    </w:rPr>
                    <w:t>碳酸氢钠</w:t>
                  </w:r>
                </w:p>
              </w:tc>
              <w:tc>
                <w:tcPr>
                  <w:tcW w:w="1388" w:type="dxa"/>
                  <w:tcBorders>
                    <w:tl2br w:val="nil"/>
                    <w:tr2bl w:val="nil"/>
                  </w:tcBorders>
                  <w:shd w:val="clear" w:color="auto" w:fill="auto"/>
                  <w:vAlign w:val="center"/>
                </w:tcPr>
                <w:p w14:paraId="014CEB7D">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32F795E0">
                  <w:pPr>
                    <w:jc w:val="center"/>
                    <w:rPr>
                      <w:rFonts w:hint="eastAsia"/>
                      <w:lang w:val="en-US" w:eastAsia="zh-CN"/>
                    </w:rPr>
                  </w:pPr>
                  <w:r>
                    <w:rPr>
                      <w:rFonts w:hint="eastAsia"/>
                    </w:rPr>
                    <w:t>2kg</w:t>
                  </w:r>
                </w:p>
              </w:tc>
              <w:tc>
                <w:tcPr>
                  <w:tcW w:w="1487" w:type="dxa"/>
                  <w:tcBorders>
                    <w:tl2br w:val="nil"/>
                    <w:tr2bl w:val="nil"/>
                  </w:tcBorders>
                  <w:shd w:val="clear" w:color="auto" w:fill="auto"/>
                  <w:vAlign w:val="center"/>
                </w:tcPr>
                <w:p w14:paraId="225A9AD3">
                  <w:pPr>
                    <w:jc w:val="center"/>
                    <w:rPr>
                      <w:rFonts w:hint="eastAsia"/>
                      <w:lang w:val="en-US" w:eastAsia="zh-CN"/>
                    </w:rPr>
                  </w:pPr>
                  <w:r>
                    <w:rPr>
                      <w:rFonts w:hint="eastAsia"/>
                    </w:rPr>
                    <w:t>2kg</w:t>
                  </w:r>
                </w:p>
              </w:tc>
              <w:tc>
                <w:tcPr>
                  <w:tcW w:w="1487" w:type="dxa"/>
                  <w:tcBorders>
                    <w:tl2br w:val="nil"/>
                    <w:tr2bl w:val="nil"/>
                  </w:tcBorders>
                  <w:shd w:val="clear" w:color="auto" w:fill="auto"/>
                  <w:vAlign w:val="center"/>
                </w:tcPr>
                <w:p w14:paraId="6C0DFB45">
                  <w:pPr>
                    <w:jc w:val="center"/>
                    <w:rPr>
                      <w:rFonts w:hint="eastAsia"/>
                    </w:rPr>
                  </w:pPr>
                  <w:r>
                    <w:rPr>
                      <w:rFonts w:hint="eastAsia"/>
                      <w:lang w:val="en-US" w:eastAsia="zh-CN"/>
                    </w:rPr>
                    <w:t>试剂室</w:t>
                  </w:r>
                </w:p>
              </w:tc>
            </w:tr>
            <w:tr w14:paraId="5F0C01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DCC36EF">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1BF670A4">
                  <w:pPr>
                    <w:jc w:val="center"/>
                    <w:rPr>
                      <w:rFonts w:hint="eastAsia"/>
                      <w:lang w:val="en-US" w:eastAsia="zh-CN"/>
                    </w:rPr>
                  </w:pPr>
                  <w:r>
                    <w:rPr>
                      <w:rFonts w:hint="eastAsia"/>
                    </w:rPr>
                    <w:t>亚硝酸钠</w:t>
                  </w:r>
                </w:p>
              </w:tc>
              <w:tc>
                <w:tcPr>
                  <w:tcW w:w="1388" w:type="dxa"/>
                  <w:tcBorders>
                    <w:tl2br w:val="nil"/>
                    <w:tr2bl w:val="nil"/>
                  </w:tcBorders>
                  <w:shd w:val="clear" w:color="auto" w:fill="auto"/>
                  <w:vAlign w:val="center"/>
                </w:tcPr>
                <w:p w14:paraId="281F2B4C">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0988981A">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0D723CE3">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1FD3CBCD">
                  <w:pPr>
                    <w:jc w:val="center"/>
                    <w:rPr>
                      <w:rFonts w:hint="eastAsia"/>
                    </w:rPr>
                  </w:pPr>
                  <w:r>
                    <w:rPr>
                      <w:rFonts w:hint="eastAsia"/>
                      <w:lang w:val="en-US" w:eastAsia="zh-CN"/>
                    </w:rPr>
                    <w:t>试剂室</w:t>
                  </w:r>
                </w:p>
              </w:tc>
            </w:tr>
            <w:tr w14:paraId="541B2F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64076B1C">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420B61CA">
                  <w:pPr>
                    <w:jc w:val="center"/>
                    <w:rPr>
                      <w:rFonts w:hint="eastAsia"/>
                      <w:lang w:val="en-US" w:eastAsia="zh-CN"/>
                    </w:rPr>
                  </w:pPr>
                  <w:r>
                    <w:rPr>
                      <w:rFonts w:hint="eastAsia"/>
                    </w:rPr>
                    <w:t>钼酸铵</w:t>
                  </w:r>
                </w:p>
              </w:tc>
              <w:tc>
                <w:tcPr>
                  <w:tcW w:w="1388" w:type="dxa"/>
                  <w:tcBorders>
                    <w:tl2br w:val="nil"/>
                    <w:tr2bl w:val="nil"/>
                  </w:tcBorders>
                  <w:shd w:val="clear" w:color="auto" w:fill="auto"/>
                  <w:vAlign w:val="center"/>
                </w:tcPr>
                <w:p w14:paraId="1E964B51">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17265DD7">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31BB5610">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18F19E8F">
                  <w:pPr>
                    <w:jc w:val="center"/>
                    <w:rPr>
                      <w:rFonts w:hint="eastAsia"/>
                    </w:rPr>
                  </w:pPr>
                  <w:r>
                    <w:rPr>
                      <w:rFonts w:hint="eastAsia"/>
                      <w:lang w:val="en-US" w:eastAsia="zh-CN"/>
                    </w:rPr>
                    <w:t>试剂室</w:t>
                  </w:r>
                </w:p>
              </w:tc>
            </w:tr>
            <w:tr w14:paraId="03628F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5D0B7CF5">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6B9CDEE7">
                  <w:pPr>
                    <w:jc w:val="center"/>
                    <w:rPr>
                      <w:rFonts w:hint="eastAsia"/>
                      <w:lang w:val="en-US" w:eastAsia="zh-CN"/>
                    </w:rPr>
                  </w:pPr>
                  <w:r>
                    <w:rPr>
                      <w:rFonts w:hint="eastAsia"/>
                    </w:rPr>
                    <w:t>硫酸亚铁</w:t>
                  </w:r>
                </w:p>
              </w:tc>
              <w:tc>
                <w:tcPr>
                  <w:tcW w:w="1388" w:type="dxa"/>
                  <w:tcBorders>
                    <w:tl2br w:val="nil"/>
                    <w:tr2bl w:val="nil"/>
                  </w:tcBorders>
                  <w:shd w:val="clear" w:color="auto" w:fill="auto"/>
                  <w:vAlign w:val="center"/>
                </w:tcPr>
                <w:p w14:paraId="7CD57D32">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03DFC77B">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623F7FA2">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3A40C711">
                  <w:pPr>
                    <w:jc w:val="center"/>
                    <w:rPr>
                      <w:rFonts w:hint="eastAsia"/>
                    </w:rPr>
                  </w:pPr>
                  <w:r>
                    <w:rPr>
                      <w:rFonts w:hint="eastAsia"/>
                      <w:lang w:val="en-US" w:eastAsia="zh-CN"/>
                    </w:rPr>
                    <w:t>试剂室</w:t>
                  </w:r>
                </w:p>
              </w:tc>
            </w:tr>
            <w:tr w14:paraId="668DA9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0" w:hRule="atLeast"/>
              </w:trPr>
              <w:tc>
                <w:tcPr>
                  <w:tcW w:w="684" w:type="dxa"/>
                  <w:tcBorders>
                    <w:tl2br w:val="nil"/>
                    <w:tr2bl w:val="nil"/>
                  </w:tcBorders>
                  <w:vAlign w:val="center"/>
                </w:tcPr>
                <w:p w14:paraId="6A54AFFB">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37A8746B">
                  <w:pPr>
                    <w:jc w:val="center"/>
                    <w:rPr>
                      <w:rFonts w:hint="eastAsia"/>
                      <w:lang w:val="en-US" w:eastAsia="zh-CN"/>
                    </w:rPr>
                  </w:pPr>
                  <w:r>
                    <w:rPr>
                      <w:rFonts w:hint="eastAsia"/>
                    </w:rPr>
                    <w:t>硫酸锌</w:t>
                  </w:r>
                </w:p>
              </w:tc>
              <w:tc>
                <w:tcPr>
                  <w:tcW w:w="1388" w:type="dxa"/>
                  <w:tcBorders>
                    <w:tl2br w:val="nil"/>
                    <w:tr2bl w:val="nil"/>
                  </w:tcBorders>
                  <w:shd w:val="clear" w:color="auto" w:fill="auto"/>
                  <w:vAlign w:val="center"/>
                </w:tcPr>
                <w:p w14:paraId="7D65F38E">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514E2223">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27B26E43">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0D6B1457">
                  <w:pPr>
                    <w:jc w:val="center"/>
                    <w:rPr>
                      <w:rFonts w:hint="eastAsia"/>
                    </w:rPr>
                  </w:pPr>
                  <w:r>
                    <w:rPr>
                      <w:rFonts w:hint="eastAsia"/>
                      <w:lang w:val="en-US" w:eastAsia="zh-CN"/>
                    </w:rPr>
                    <w:t>试剂室</w:t>
                  </w:r>
                </w:p>
              </w:tc>
            </w:tr>
            <w:tr w14:paraId="18639D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5CA1E72E">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0424AD6E">
                  <w:pPr>
                    <w:jc w:val="center"/>
                    <w:rPr>
                      <w:rFonts w:hint="eastAsia"/>
                      <w:lang w:val="en-US" w:eastAsia="zh-CN"/>
                    </w:rPr>
                  </w:pPr>
                  <w:r>
                    <w:rPr>
                      <w:rFonts w:hint="eastAsia"/>
                    </w:rPr>
                    <w:t>氟化铵</w:t>
                  </w:r>
                </w:p>
              </w:tc>
              <w:tc>
                <w:tcPr>
                  <w:tcW w:w="1388" w:type="dxa"/>
                  <w:tcBorders>
                    <w:tl2br w:val="nil"/>
                    <w:tr2bl w:val="nil"/>
                  </w:tcBorders>
                  <w:shd w:val="clear" w:color="auto" w:fill="auto"/>
                  <w:vAlign w:val="center"/>
                </w:tcPr>
                <w:p w14:paraId="6A604AA4">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0A8F5BDD">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3A26F8E5">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2DF070C9">
                  <w:pPr>
                    <w:jc w:val="center"/>
                    <w:rPr>
                      <w:rFonts w:hint="eastAsia"/>
                    </w:rPr>
                  </w:pPr>
                  <w:r>
                    <w:rPr>
                      <w:rFonts w:hint="eastAsia"/>
                      <w:lang w:val="en-US" w:eastAsia="zh-CN"/>
                    </w:rPr>
                    <w:t>试剂室</w:t>
                  </w:r>
                </w:p>
              </w:tc>
            </w:tr>
            <w:tr w14:paraId="690F8D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B371576">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340B9AB">
                  <w:pPr>
                    <w:jc w:val="center"/>
                    <w:rPr>
                      <w:rFonts w:hint="eastAsia"/>
                      <w:lang w:val="en-US" w:eastAsia="zh-CN"/>
                    </w:rPr>
                  </w:pPr>
                  <w:r>
                    <w:rPr>
                      <w:rFonts w:hint="eastAsia"/>
                    </w:rPr>
                    <w:t>硫酸亚铁铵</w:t>
                  </w:r>
                </w:p>
              </w:tc>
              <w:tc>
                <w:tcPr>
                  <w:tcW w:w="1388" w:type="dxa"/>
                  <w:tcBorders>
                    <w:tl2br w:val="nil"/>
                    <w:tr2bl w:val="nil"/>
                  </w:tcBorders>
                  <w:shd w:val="clear" w:color="auto" w:fill="auto"/>
                  <w:vAlign w:val="center"/>
                </w:tcPr>
                <w:p w14:paraId="6D501312">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3A07FDFE">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5FEBC6B6">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317D56FA">
                  <w:pPr>
                    <w:jc w:val="center"/>
                    <w:rPr>
                      <w:rFonts w:hint="eastAsia"/>
                    </w:rPr>
                  </w:pPr>
                  <w:r>
                    <w:rPr>
                      <w:rFonts w:hint="eastAsia"/>
                      <w:lang w:val="en-US" w:eastAsia="zh-CN"/>
                    </w:rPr>
                    <w:t>试剂室</w:t>
                  </w:r>
                </w:p>
              </w:tc>
            </w:tr>
            <w:tr w14:paraId="24BACB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F3570E7">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6DDA1F81">
                  <w:pPr>
                    <w:jc w:val="center"/>
                    <w:rPr>
                      <w:rFonts w:hint="eastAsia"/>
                      <w:lang w:val="en-US" w:eastAsia="zh-CN"/>
                    </w:rPr>
                  </w:pPr>
                  <w:r>
                    <w:rPr>
                      <w:rFonts w:hint="eastAsia"/>
                    </w:rPr>
                    <w:t>酒石酸锑钾</w:t>
                  </w:r>
                </w:p>
              </w:tc>
              <w:tc>
                <w:tcPr>
                  <w:tcW w:w="1388" w:type="dxa"/>
                  <w:tcBorders>
                    <w:tl2br w:val="nil"/>
                    <w:tr2bl w:val="nil"/>
                  </w:tcBorders>
                  <w:shd w:val="clear" w:color="auto" w:fill="auto"/>
                  <w:vAlign w:val="center"/>
                </w:tcPr>
                <w:p w14:paraId="616E8B51">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7EF2F0FA">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5D89A5CF">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5ECA6D6D">
                  <w:pPr>
                    <w:jc w:val="center"/>
                    <w:rPr>
                      <w:rFonts w:hint="eastAsia"/>
                    </w:rPr>
                  </w:pPr>
                  <w:r>
                    <w:rPr>
                      <w:rFonts w:hint="eastAsia"/>
                      <w:lang w:val="en-US" w:eastAsia="zh-CN"/>
                    </w:rPr>
                    <w:t>试剂室</w:t>
                  </w:r>
                </w:p>
              </w:tc>
            </w:tr>
            <w:tr w14:paraId="23C3AF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03C6FFB3">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0CB05BCD">
                  <w:pPr>
                    <w:jc w:val="center"/>
                    <w:rPr>
                      <w:rFonts w:hint="eastAsia"/>
                      <w:lang w:val="en-US" w:eastAsia="zh-CN"/>
                    </w:rPr>
                  </w:pPr>
                  <w:r>
                    <w:rPr>
                      <w:rFonts w:hint="eastAsia"/>
                    </w:rPr>
                    <w:t>硫酸铝钾</w:t>
                  </w:r>
                </w:p>
              </w:tc>
              <w:tc>
                <w:tcPr>
                  <w:tcW w:w="1388" w:type="dxa"/>
                  <w:tcBorders>
                    <w:tl2br w:val="nil"/>
                    <w:tr2bl w:val="nil"/>
                  </w:tcBorders>
                  <w:shd w:val="clear" w:color="auto" w:fill="auto"/>
                  <w:vAlign w:val="center"/>
                </w:tcPr>
                <w:p w14:paraId="077809A8">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4BE9DD37">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344466E1">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4B1A1176">
                  <w:pPr>
                    <w:jc w:val="center"/>
                    <w:rPr>
                      <w:rFonts w:hint="eastAsia"/>
                    </w:rPr>
                  </w:pPr>
                  <w:r>
                    <w:rPr>
                      <w:rFonts w:hint="eastAsia"/>
                      <w:lang w:val="en-US" w:eastAsia="zh-CN"/>
                    </w:rPr>
                    <w:t>试剂室</w:t>
                  </w:r>
                </w:p>
              </w:tc>
            </w:tr>
            <w:tr w14:paraId="3BB126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66E2521">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0BED00B">
                  <w:pPr>
                    <w:jc w:val="center"/>
                    <w:rPr>
                      <w:rFonts w:hint="eastAsia"/>
                      <w:lang w:val="en-US" w:eastAsia="zh-CN"/>
                    </w:rPr>
                  </w:pPr>
                  <w:r>
                    <w:rPr>
                      <w:rFonts w:hint="eastAsia"/>
                    </w:rPr>
                    <w:t>五水硫酸铜</w:t>
                  </w:r>
                </w:p>
              </w:tc>
              <w:tc>
                <w:tcPr>
                  <w:tcW w:w="1388" w:type="dxa"/>
                  <w:tcBorders>
                    <w:tl2br w:val="nil"/>
                    <w:tr2bl w:val="nil"/>
                  </w:tcBorders>
                  <w:shd w:val="clear" w:color="auto" w:fill="auto"/>
                  <w:vAlign w:val="center"/>
                </w:tcPr>
                <w:p w14:paraId="40D412B6">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697B5DFD">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346EB7FE">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558F759F">
                  <w:pPr>
                    <w:jc w:val="center"/>
                    <w:rPr>
                      <w:rFonts w:hint="eastAsia"/>
                    </w:rPr>
                  </w:pPr>
                  <w:r>
                    <w:rPr>
                      <w:rFonts w:hint="eastAsia"/>
                      <w:lang w:val="en-US" w:eastAsia="zh-CN"/>
                    </w:rPr>
                    <w:t>试剂室</w:t>
                  </w:r>
                </w:p>
              </w:tc>
            </w:tr>
            <w:tr w14:paraId="0E3CA2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E14C637">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04FD0CF1">
                  <w:pPr>
                    <w:jc w:val="center"/>
                    <w:rPr>
                      <w:rFonts w:hint="eastAsia"/>
                      <w:lang w:val="en-US" w:eastAsia="zh-CN"/>
                    </w:rPr>
                  </w:pPr>
                  <w:r>
                    <w:rPr>
                      <w:rFonts w:hint="eastAsia"/>
                    </w:rPr>
                    <w:t>三氯化铁</w:t>
                  </w:r>
                </w:p>
              </w:tc>
              <w:tc>
                <w:tcPr>
                  <w:tcW w:w="1388" w:type="dxa"/>
                  <w:tcBorders>
                    <w:tl2br w:val="nil"/>
                    <w:tr2bl w:val="nil"/>
                  </w:tcBorders>
                  <w:shd w:val="clear" w:color="auto" w:fill="auto"/>
                  <w:vAlign w:val="center"/>
                </w:tcPr>
                <w:p w14:paraId="7A2BC7BE">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5E059D5A">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18909134">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395F665E">
                  <w:pPr>
                    <w:jc w:val="center"/>
                    <w:rPr>
                      <w:rFonts w:hint="eastAsia"/>
                    </w:rPr>
                  </w:pPr>
                  <w:r>
                    <w:rPr>
                      <w:rFonts w:hint="eastAsia"/>
                      <w:lang w:val="en-US" w:eastAsia="zh-CN"/>
                    </w:rPr>
                    <w:t>试剂室</w:t>
                  </w:r>
                </w:p>
              </w:tc>
            </w:tr>
            <w:tr w14:paraId="16FCE0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60EF4F7E">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576A4E57">
                  <w:pPr>
                    <w:jc w:val="center"/>
                    <w:rPr>
                      <w:rFonts w:hint="eastAsia"/>
                      <w:lang w:val="en-US" w:eastAsia="zh-CN"/>
                    </w:rPr>
                  </w:pPr>
                  <w:r>
                    <w:rPr>
                      <w:rFonts w:hint="eastAsia"/>
                    </w:rPr>
                    <w:t>硼酸</w:t>
                  </w:r>
                </w:p>
              </w:tc>
              <w:tc>
                <w:tcPr>
                  <w:tcW w:w="1388" w:type="dxa"/>
                  <w:tcBorders>
                    <w:tl2br w:val="nil"/>
                    <w:tr2bl w:val="nil"/>
                  </w:tcBorders>
                  <w:shd w:val="clear" w:color="auto" w:fill="auto"/>
                  <w:vAlign w:val="center"/>
                </w:tcPr>
                <w:p w14:paraId="428F47F7">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75D3638F">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5E1F1D9E">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1BBFDBF5">
                  <w:pPr>
                    <w:jc w:val="center"/>
                    <w:rPr>
                      <w:rFonts w:hint="eastAsia"/>
                    </w:rPr>
                  </w:pPr>
                  <w:r>
                    <w:rPr>
                      <w:rFonts w:hint="eastAsia"/>
                      <w:lang w:val="en-US" w:eastAsia="zh-CN"/>
                    </w:rPr>
                    <w:t>试剂室</w:t>
                  </w:r>
                </w:p>
              </w:tc>
            </w:tr>
            <w:tr w14:paraId="14D2A9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0" w:hRule="atLeast"/>
              </w:trPr>
              <w:tc>
                <w:tcPr>
                  <w:tcW w:w="684" w:type="dxa"/>
                  <w:tcBorders>
                    <w:tl2br w:val="nil"/>
                    <w:tr2bl w:val="nil"/>
                  </w:tcBorders>
                  <w:vAlign w:val="center"/>
                </w:tcPr>
                <w:p w14:paraId="382BC57B">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5DC4FFA">
                  <w:pPr>
                    <w:jc w:val="center"/>
                    <w:rPr>
                      <w:rFonts w:hint="eastAsia"/>
                      <w:lang w:val="en-US" w:eastAsia="zh-CN"/>
                    </w:rPr>
                  </w:pPr>
                  <w:r>
                    <w:rPr>
                      <w:rFonts w:hint="eastAsia"/>
                    </w:rPr>
                    <w:t>硅酸镁</w:t>
                  </w:r>
                </w:p>
              </w:tc>
              <w:tc>
                <w:tcPr>
                  <w:tcW w:w="1388" w:type="dxa"/>
                  <w:tcBorders>
                    <w:tl2br w:val="nil"/>
                    <w:tr2bl w:val="nil"/>
                  </w:tcBorders>
                  <w:shd w:val="clear" w:color="auto" w:fill="auto"/>
                  <w:vAlign w:val="center"/>
                </w:tcPr>
                <w:p w14:paraId="34D44096">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3BB5D57A">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777CA0BB">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5DFD50D9">
                  <w:pPr>
                    <w:jc w:val="center"/>
                    <w:rPr>
                      <w:rFonts w:hint="eastAsia"/>
                    </w:rPr>
                  </w:pPr>
                  <w:r>
                    <w:rPr>
                      <w:rFonts w:hint="eastAsia"/>
                      <w:lang w:val="en-US" w:eastAsia="zh-CN"/>
                    </w:rPr>
                    <w:t>试剂室</w:t>
                  </w:r>
                </w:p>
              </w:tc>
            </w:tr>
            <w:tr w14:paraId="3101FF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0390F4E8">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17E5E68C">
                  <w:pPr>
                    <w:jc w:val="center"/>
                    <w:rPr>
                      <w:rFonts w:hint="eastAsia"/>
                      <w:lang w:val="en-US" w:eastAsia="zh-CN"/>
                    </w:rPr>
                  </w:pPr>
                  <w:r>
                    <w:rPr>
                      <w:rFonts w:hint="eastAsia"/>
                    </w:rPr>
                    <w:t>酒石酸</w:t>
                  </w:r>
                </w:p>
              </w:tc>
              <w:tc>
                <w:tcPr>
                  <w:tcW w:w="1388" w:type="dxa"/>
                  <w:tcBorders>
                    <w:tl2br w:val="nil"/>
                    <w:tr2bl w:val="nil"/>
                  </w:tcBorders>
                  <w:shd w:val="clear" w:color="auto" w:fill="auto"/>
                  <w:vAlign w:val="center"/>
                </w:tcPr>
                <w:p w14:paraId="1452D0D1">
                  <w:pPr>
                    <w:jc w:val="center"/>
                    <w:rPr>
                      <w:rFonts w:hint="eastAsia"/>
                      <w:lang w:val="en-US" w:eastAsia="zh-CN"/>
                    </w:rPr>
                  </w:pPr>
                  <w:r>
                    <w:rPr>
                      <w:rFonts w:hint="eastAsia"/>
                    </w:rPr>
                    <w:t>500g</w:t>
                  </w:r>
                </w:p>
              </w:tc>
              <w:tc>
                <w:tcPr>
                  <w:tcW w:w="1445" w:type="dxa"/>
                  <w:tcBorders>
                    <w:tl2br w:val="nil"/>
                    <w:tr2bl w:val="nil"/>
                  </w:tcBorders>
                  <w:shd w:val="clear" w:color="auto" w:fill="auto"/>
                  <w:vAlign w:val="center"/>
                </w:tcPr>
                <w:p w14:paraId="644A4832">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2CF48B0A">
                  <w:pPr>
                    <w:jc w:val="center"/>
                    <w:rPr>
                      <w:rFonts w:hint="eastAsia"/>
                      <w:lang w:val="en-US" w:eastAsia="zh-CN"/>
                    </w:rPr>
                  </w:pPr>
                  <w:r>
                    <w:rPr>
                      <w:rFonts w:hint="eastAsia"/>
                    </w:rPr>
                    <w:t>1kg</w:t>
                  </w:r>
                </w:p>
              </w:tc>
              <w:tc>
                <w:tcPr>
                  <w:tcW w:w="1487" w:type="dxa"/>
                  <w:tcBorders>
                    <w:tl2br w:val="nil"/>
                    <w:tr2bl w:val="nil"/>
                  </w:tcBorders>
                  <w:shd w:val="clear" w:color="auto" w:fill="auto"/>
                  <w:vAlign w:val="center"/>
                </w:tcPr>
                <w:p w14:paraId="16B8B935">
                  <w:pPr>
                    <w:jc w:val="center"/>
                    <w:rPr>
                      <w:rFonts w:hint="eastAsia"/>
                    </w:rPr>
                  </w:pPr>
                  <w:r>
                    <w:rPr>
                      <w:rFonts w:hint="eastAsia"/>
                      <w:lang w:val="en-US" w:eastAsia="zh-CN"/>
                    </w:rPr>
                    <w:t>试剂室</w:t>
                  </w:r>
                </w:p>
              </w:tc>
            </w:tr>
            <w:tr w14:paraId="10B907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56785E04">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733AA2C7">
                  <w:pPr>
                    <w:jc w:val="center"/>
                    <w:rPr>
                      <w:rFonts w:hint="eastAsia"/>
                      <w:lang w:val="en-US" w:eastAsia="zh-CN"/>
                    </w:rPr>
                  </w:pPr>
                  <w:r>
                    <w:rPr>
                      <w:rFonts w:hint="eastAsia"/>
                    </w:rPr>
                    <w:t>二苯基碳酰二肼</w:t>
                  </w:r>
                </w:p>
              </w:tc>
              <w:tc>
                <w:tcPr>
                  <w:tcW w:w="1388" w:type="dxa"/>
                  <w:tcBorders>
                    <w:tl2br w:val="nil"/>
                    <w:tr2bl w:val="nil"/>
                  </w:tcBorders>
                  <w:shd w:val="clear" w:color="auto" w:fill="auto"/>
                  <w:vAlign w:val="center"/>
                </w:tcPr>
                <w:p w14:paraId="35AF9A6A">
                  <w:pPr>
                    <w:jc w:val="center"/>
                    <w:rPr>
                      <w:rFonts w:hint="eastAsia"/>
                      <w:lang w:val="en-US" w:eastAsia="zh-CN"/>
                    </w:rPr>
                  </w:pPr>
                  <w:r>
                    <w:rPr>
                      <w:rFonts w:hint="eastAsia"/>
                    </w:rPr>
                    <w:t>25g</w:t>
                  </w:r>
                </w:p>
              </w:tc>
              <w:tc>
                <w:tcPr>
                  <w:tcW w:w="1445" w:type="dxa"/>
                  <w:tcBorders>
                    <w:tl2br w:val="nil"/>
                    <w:tr2bl w:val="nil"/>
                  </w:tcBorders>
                  <w:shd w:val="clear" w:color="auto" w:fill="auto"/>
                  <w:vAlign w:val="center"/>
                </w:tcPr>
                <w:p w14:paraId="3D4A7F20">
                  <w:pPr>
                    <w:jc w:val="center"/>
                    <w:rPr>
                      <w:rFonts w:hint="eastAsia"/>
                      <w:lang w:val="en-US" w:eastAsia="zh-CN"/>
                    </w:rPr>
                  </w:pPr>
                  <w:r>
                    <w:rPr>
                      <w:rFonts w:hint="eastAsia"/>
                    </w:rPr>
                    <w:t>50g</w:t>
                  </w:r>
                </w:p>
              </w:tc>
              <w:tc>
                <w:tcPr>
                  <w:tcW w:w="1487" w:type="dxa"/>
                  <w:tcBorders>
                    <w:tl2br w:val="nil"/>
                    <w:tr2bl w:val="nil"/>
                  </w:tcBorders>
                  <w:shd w:val="clear" w:color="auto" w:fill="auto"/>
                  <w:vAlign w:val="center"/>
                </w:tcPr>
                <w:p w14:paraId="7C32C0C7">
                  <w:pPr>
                    <w:jc w:val="center"/>
                    <w:rPr>
                      <w:rFonts w:hint="eastAsia"/>
                      <w:lang w:val="en-US" w:eastAsia="zh-CN"/>
                    </w:rPr>
                  </w:pPr>
                  <w:r>
                    <w:rPr>
                      <w:rFonts w:hint="eastAsia"/>
                    </w:rPr>
                    <w:t>100g</w:t>
                  </w:r>
                </w:p>
              </w:tc>
              <w:tc>
                <w:tcPr>
                  <w:tcW w:w="1487" w:type="dxa"/>
                  <w:tcBorders>
                    <w:tl2br w:val="nil"/>
                    <w:tr2bl w:val="nil"/>
                  </w:tcBorders>
                  <w:shd w:val="clear" w:color="auto" w:fill="auto"/>
                  <w:vAlign w:val="center"/>
                </w:tcPr>
                <w:p w14:paraId="72289498">
                  <w:pPr>
                    <w:jc w:val="center"/>
                    <w:rPr>
                      <w:rFonts w:hint="eastAsia"/>
                    </w:rPr>
                  </w:pPr>
                  <w:r>
                    <w:rPr>
                      <w:rFonts w:hint="eastAsia"/>
                      <w:lang w:val="en-US" w:eastAsia="zh-CN"/>
                    </w:rPr>
                    <w:t>试剂室</w:t>
                  </w:r>
                </w:p>
              </w:tc>
            </w:tr>
            <w:tr w14:paraId="5A1FA1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63EA3785">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208D819">
                  <w:pPr>
                    <w:jc w:val="center"/>
                    <w:rPr>
                      <w:rFonts w:hint="eastAsia"/>
                      <w:lang w:val="en-US" w:eastAsia="zh-CN"/>
                    </w:rPr>
                  </w:pPr>
                  <w:r>
                    <w:rPr>
                      <w:rFonts w:hint="eastAsia"/>
                    </w:rPr>
                    <w:t>4-氨基安替比林</w:t>
                  </w:r>
                </w:p>
              </w:tc>
              <w:tc>
                <w:tcPr>
                  <w:tcW w:w="1388" w:type="dxa"/>
                  <w:tcBorders>
                    <w:tl2br w:val="nil"/>
                    <w:tr2bl w:val="nil"/>
                  </w:tcBorders>
                  <w:shd w:val="clear" w:color="auto" w:fill="auto"/>
                  <w:vAlign w:val="center"/>
                </w:tcPr>
                <w:p w14:paraId="4DFA4D36">
                  <w:pPr>
                    <w:jc w:val="center"/>
                    <w:rPr>
                      <w:rFonts w:hint="eastAsia"/>
                      <w:lang w:val="en-US" w:eastAsia="zh-CN"/>
                    </w:rPr>
                  </w:pPr>
                  <w:r>
                    <w:rPr>
                      <w:rFonts w:hint="eastAsia"/>
                    </w:rPr>
                    <w:t>25g</w:t>
                  </w:r>
                </w:p>
              </w:tc>
              <w:tc>
                <w:tcPr>
                  <w:tcW w:w="1445" w:type="dxa"/>
                  <w:tcBorders>
                    <w:tl2br w:val="nil"/>
                    <w:tr2bl w:val="nil"/>
                  </w:tcBorders>
                  <w:shd w:val="clear" w:color="auto" w:fill="auto"/>
                  <w:vAlign w:val="center"/>
                </w:tcPr>
                <w:p w14:paraId="01C747A8">
                  <w:pPr>
                    <w:jc w:val="center"/>
                    <w:rPr>
                      <w:rFonts w:hint="eastAsia"/>
                      <w:lang w:val="en-US" w:eastAsia="zh-CN"/>
                    </w:rPr>
                  </w:pPr>
                  <w:r>
                    <w:rPr>
                      <w:rFonts w:hint="eastAsia"/>
                    </w:rPr>
                    <w:t>50g</w:t>
                  </w:r>
                </w:p>
              </w:tc>
              <w:tc>
                <w:tcPr>
                  <w:tcW w:w="1487" w:type="dxa"/>
                  <w:tcBorders>
                    <w:tl2br w:val="nil"/>
                    <w:tr2bl w:val="nil"/>
                  </w:tcBorders>
                  <w:shd w:val="clear" w:color="auto" w:fill="auto"/>
                  <w:vAlign w:val="center"/>
                </w:tcPr>
                <w:p w14:paraId="0460AD98">
                  <w:pPr>
                    <w:jc w:val="center"/>
                    <w:rPr>
                      <w:rFonts w:hint="eastAsia"/>
                      <w:lang w:val="en-US" w:eastAsia="zh-CN"/>
                    </w:rPr>
                  </w:pPr>
                  <w:r>
                    <w:rPr>
                      <w:rFonts w:hint="eastAsia"/>
                    </w:rPr>
                    <w:t>100g</w:t>
                  </w:r>
                </w:p>
              </w:tc>
              <w:tc>
                <w:tcPr>
                  <w:tcW w:w="1487" w:type="dxa"/>
                  <w:tcBorders>
                    <w:tl2br w:val="nil"/>
                    <w:tr2bl w:val="nil"/>
                  </w:tcBorders>
                  <w:shd w:val="clear" w:color="auto" w:fill="auto"/>
                  <w:vAlign w:val="center"/>
                </w:tcPr>
                <w:p w14:paraId="1DA7506F">
                  <w:pPr>
                    <w:jc w:val="center"/>
                    <w:rPr>
                      <w:rFonts w:hint="eastAsia"/>
                    </w:rPr>
                  </w:pPr>
                  <w:r>
                    <w:rPr>
                      <w:rFonts w:hint="eastAsia"/>
                      <w:lang w:val="en-US" w:eastAsia="zh-CN"/>
                    </w:rPr>
                    <w:t>试剂室</w:t>
                  </w:r>
                </w:p>
              </w:tc>
            </w:tr>
            <w:tr w14:paraId="1475C1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5C637063">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442342A2">
                  <w:pPr>
                    <w:jc w:val="center"/>
                    <w:rPr>
                      <w:rFonts w:hint="eastAsia"/>
                      <w:lang w:val="en-US" w:eastAsia="zh-CN"/>
                    </w:rPr>
                  </w:pPr>
                  <w:r>
                    <w:rPr>
                      <w:rFonts w:hint="eastAsia"/>
                    </w:rPr>
                    <w:t>甲基橙</w:t>
                  </w:r>
                </w:p>
              </w:tc>
              <w:tc>
                <w:tcPr>
                  <w:tcW w:w="1388" w:type="dxa"/>
                  <w:tcBorders>
                    <w:tl2br w:val="nil"/>
                    <w:tr2bl w:val="nil"/>
                  </w:tcBorders>
                  <w:shd w:val="clear" w:color="auto" w:fill="auto"/>
                  <w:vAlign w:val="center"/>
                </w:tcPr>
                <w:p w14:paraId="771CEC68">
                  <w:pPr>
                    <w:jc w:val="center"/>
                    <w:rPr>
                      <w:rFonts w:hint="eastAsia"/>
                      <w:lang w:val="en-US" w:eastAsia="zh-CN"/>
                    </w:rPr>
                  </w:pPr>
                  <w:r>
                    <w:rPr>
                      <w:rFonts w:hint="eastAsia"/>
                    </w:rPr>
                    <w:t>25g</w:t>
                  </w:r>
                </w:p>
              </w:tc>
              <w:tc>
                <w:tcPr>
                  <w:tcW w:w="1445" w:type="dxa"/>
                  <w:tcBorders>
                    <w:tl2br w:val="nil"/>
                    <w:tr2bl w:val="nil"/>
                  </w:tcBorders>
                  <w:shd w:val="clear" w:color="auto" w:fill="auto"/>
                  <w:vAlign w:val="center"/>
                </w:tcPr>
                <w:p w14:paraId="6BEFB228">
                  <w:pPr>
                    <w:jc w:val="center"/>
                    <w:rPr>
                      <w:rFonts w:hint="eastAsia"/>
                      <w:lang w:val="en-US" w:eastAsia="zh-CN"/>
                    </w:rPr>
                  </w:pPr>
                  <w:r>
                    <w:rPr>
                      <w:rFonts w:hint="eastAsia"/>
                    </w:rPr>
                    <w:t>25g</w:t>
                  </w:r>
                </w:p>
              </w:tc>
              <w:tc>
                <w:tcPr>
                  <w:tcW w:w="1487" w:type="dxa"/>
                  <w:tcBorders>
                    <w:tl2br w:val="nil"/>
                    <w:tr2bl w:val="nil"/>
                  </w:tcBorders>
                  <w:shd w:val="clear" w:color="auto" w:fill="auto"/>
                  <w:vAlign w:val="center"/>
                </w:tcPr>
                <w:p w14:paraId="2578B946">
                  <w:pPr>
                    <w:jc w:val="center"/>
                    <w:rPr>
                      <w:rFonts w:hint="eastAsia"/>
                      <w:lang w:val="en-US" w:eastAsia="zh-CN"/>
                    </w:rPr>
                  </w:pPr>
                  <w:r>
                    <w:rPr>
                      <w:rFonts w:hint="eastAsia"/>
                    </w:rPr>
                    <w:t>100g</w:t>
                  </w:r>
                </w:p>
              </w:tc>
              <w:tc>
                <w:tcPr>
                  <w:tcW w:w="1487" w:type="dxa"/>
                  <w:tcBorders>
                    <w:tl2br w:val="nil"/>
                    <w:tr2bl w:val="nil"/>
                  </w:tcBorders>
                  <w:shd w:val="clear" w:color="auto" w:fill="auto"/>
                  <w:vAlign w:val="center"/>
                </w:tcPr>
                <w:p w14:paraId="6498ADA3">
                  <w:pPr>
                    <w:jc w:val="center"/>
                    <w:rPr>
                      <w:rFonts w:hint="eastAsia"/>
                    </w:rPr>
                  </w:pPr>
                  <w:r>
                    <w:rPr>
                      <w:rFonts w:hint="eastAsia"/>
                      <w:lang w:val="en-US" w:eastAsia="zh-CN"/>
                    </w:rPr>
                    <w:t>试剂室</w:t>
                  </w:r>
                </w:p>
              </w:tc>
            </w:tr>
            <w:tr w14:paraId="0F59F9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3C058FCB">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5E5477D5">
                  <w:pPr>
                    <w:jc w:val="center"/>
                    <w:rPr>
                      <w:rFonts w:hint="eastAsia"/>
                      <w:lang w:val="en-US" w:eastAsia="zh-CN"/>
                    </w:rPr>
                  </w:pPr>
                  <w:r>
                    <w:rPr>
                      <w:rFonts w:hint="eastAsia"/>
                    </w:rPr>
                    <w:t>溴甲酚绿</w:t>
                  </w:r>
                </w:p>
              </w:tc>
              <w:tc>
                <w:tcPr>
                  <w:tcW w:w="1388" w:type="dxa"/>
                  <w:tcBorders>
                    <w:tl2br w:val="nil"/>
                    <w:tr2bl w:val="nil"/>
                  </w:tcBorders>
                  <w:shd w:val="clear" w:color="auto" w:fill="auto"/>
                  <w:vAlign w:val="center"/>
                </w:tcPr>
                <w:p w14:paraId="4B99D7D5">
                  <w:pPr>
                    <w:jc w:val="center"/>
                    <w:rPr>
                      <w:rFonts w:hint="eastAsia"/>
                      <w:lang w:val="en-US" w:eastAsia="zh-CN"/>
                    </w:rPr>
                  </w:pPr>
                  <w:r>
                    <w:rPr>
                      <w:rFonts w:hint="eastAsia"/>
                    </w:rPr>
                    <w:t>10g</w:t>
                  </w:r>
                </w:p>
              </w:tc>
              <w:tc>
                <w:tcPr>
                  <w:tcW w:w="1445" w:type="dxa"/>
                  <w:tcBorders>
                    <w:tl2br w:val="nil"/>
                    <w:tr2bl w:val="nil"/>
                  </w:tcBorders>
                  <w:shd w:val="clear" w:color="auto" w:fill="auto"/>
                  <w:vAlign w:val="center"/>
                </w:tcPr>
                <w:p w14:paraId="402B847D">
                  <w:pPr>
                    <w:jc w:val="center"/>
                    <w:rPr>
                      <w:rFonts w:hint="eastAsia"/>
                      <w:lang w:val="en-US" w:eastAsia="zh-CN"/>
                    </w:rPr>
                  </w:pPr>
                  <w:r>
                    <w:rPr>
                      <w:rFonts w:hint="eastAsia"/>
                    </w:rPr>
                    <w:t>5g</w:t>
                  </w:r>
                </w:p>
              </w:tc>
              <w:tc>
                <w:tcPr>
                  <w:tcW w:w="1487" w:type="dxa"/>
                  <w:tcBorders>
                    <w:tl2br w:val="nil"/>
                    <w:tr2bl w:val="nil"/>
                  </w:tcBorders>
                  <w:shd w:val="clear" w:color="auto" w:fill="auto"/>
                  <w:vAlign w:val="center"/>
                </w:tcPr>
                <w:p w14:paraId="3340DA31">
                  <w:pPr>
                    <w:jc w:val="center"/>
                    <w:rPr>
                      <w:rFonts w:hint="eastAsia"/>
                      <w:lang w:val="en-US" w:eastAsia="zh-CN"/>
                    </w:rPr>
                  </w:pPr>
                  <w:r>
                    <w:rPr>
                      <w:rFonts w:hint="eastAsia"/>
                    </w:rPr>
                    <w:t>10g</w:t>
                  </w:r>
                </w:p>
              </w:tc>
              <w:tc>
                <w:tcPr>
                  <w:tcW w:w="1487" w:type="dxa"/>
                  <w:tcBorders>
                    <w:tl2br w:val="nil"/>
                    <w:tr2bl w:val="nil"/>
                  </w:tcBorders>
                  <w:shd w:val="clear" w:color="auto" w:fill="auto"/>
                  <w:vAlign w:val="center"/>
                </w:tcPr>
                <w:p w14:paraId="6746DCAF">
                  <w:pPr>
                    <w:jc w:val="center"/>
                    <w:rPr>
                      <w:rFonts w:hint="eastAsia"/>
                    </w:rPr>
                  </w:pPr>
                  <w:r>
                    <w:rPr>
                      <w:rFonts w:hint="eastAsia"/>
                      <w:lang w:val="en-US" w:eastAsia="zh-CN"/>
                    </w:rPr>
                    <w:t>试剂室</w:t>
                  </w:r>
                </w:p>
              </w:tc>
            </w:tr>
            <w:tr w14:paraId="64F2FC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1050D527">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686F3510">
                  <w:pPr>
                    <w:jc w:val="center"/>
                    <w:rPr>
                      <w:rFonts w:hint="eastAsia"/>
                      <w:lang w:val="en-US" w:eastAsia="zh-CN"/>
                    </w:rPr>
                  </w:pPr>
                  <w:r>
                    <w:rPr>
                      <w:rFonts w:hint="eastAsia"/>
                    </w:rPr>
                    <w:t>酚酞</w:t>
                  </w:r>
                </w:p>
              </w:tc>
              <w:tc>
                <w:tcPr>
                  <w:tcW w:w="1388" w:type="dxa"/>
                  <w:tcBorders>
                    <w:tl2br w:val="nil"/>
                    <w:tr2bl w:val="nil"/>
                  </w:tcBorders>
                  <w:shd w:val="clear" w:color="auto" w:fill="auto"/>
                  <w:vAlign w:val="center"/>
                </w:tcPr>
                <w:p w14:paraId="73B8C8D2">
                  <w:pPr>
                    <w:jc w:val="center"/>
                    <w:rPr>
                      <w:rFonts w:hint="eastAsia"/>
                      <w:lang w:val="en-US" w:eastAsia="zh-CN"/>
                    </w:rPr>
                  </w:pPr>
                  <w:r>
                    <w:rPr>
                      <w:rFonts w:hint="eastAsia"/>
                    </w:rPr>
                    <w:t>25g</w:t>
                  </w:r>
                </w:p>
              </w:tc>
              <w:tc>
                <w:tcPr>
                  <w:tcW w:w="1445" w:type="dxa"/>
                  <w:tcBorders>
                    <w:tl2br w:val="nil"/>
                    <w:tr2bl w:val="nil"/>
                  </w:tcBorders>
                  <w:shd w:val="clear" w:color="auto" w:fill="auto"/>
                  <w:vAlign w:val="center"/>
                </w:tcPr>
                <w:p w14:paraId="33845D6E">
                  <w:pPr>
                    <w:jc w:val="center"/>
                    <w:rPr>
                      <w:rFonts w:hint="eastAsia"/>
                      <w:lang w:val="en-US" w:eastAsia="zh-CN"/>
                    </w:rPr>
                  </w:pPr>
                  <w:r>
                    <w:rPr>
                      <w:rFonts w:hint="eastAsia"/>
                    </w:rPr>
                    <w:t>10g</w:t>
                  </w:r>
                </w:p>
              </w:tc>
              <w:tc>
                <w:tcPr>
                  <w:tcW w:w="1487" w:type="dxa"/>
                  <w:tcBorders>
                    <w:tl2br w:val="nil"/>
                    <w:tr2bl w:val="nil"/>
                  </w:tcBorders>
                  <w:shd w:val="clear" w:color="auto" w:fill="auto"/>
                  <w:vAlign w:val="center"/>
                </w:tcPr>
                <w:p w14:paraId="47219C3F">
                  <w:pPr>
                    <w:jc w:val="center"/>
                    <w:rPr>
                      <w:rFonts w:hint="eastAsia"/>
                      <w:lang w:val="en-US" w:eastAsia="zh-CN"/>
                    </w:rPr>
                  </w:pPr>
                  <w:r>
                    <w:rPr>
                      <w:rFonts w:hint="eastAsia"/>
                    </w:rPr>
                    <w:t>25g</w:t>
                  </w:r>
                </w:p>
              </w:tc>
              <w:tc>
                <w:tcPr>
                  <w:tcW w:w="1487" w:type="dxa"/>
                  <w:tcBorders>
                    <w:tl2br w:val="nil"/>
                    <w:tr2bl w:val="nil"/>
                  </w:tcBorders>
                  <w:shd w:val="clear" w:color="auto" w:fill="auto"/>
                  <w:vAlign w:val="center"/>
                </w:tcPr>
                <w:p w14:paraId="1CAC0999">
                  <w:pPr>
                    <w:jc w:val="center"/>
                    <w:rPr>
                      <w:rFonts w:hint="eastAsia"/>
                    </w:rPr>
                  </w:pPr>
                  <w:r>
                    <w:rPr>
                      <w:rFonts w:hint="eastAsia"/>
                      <w:lang w:val="en-US" w:eastAsia="zh-CN"/>
                    </w:rPr>
                    <w:t>试剂室</w:t>
                  </w:r>
                </w:p>
              </w:tc>
            </w:tr>
            <w:tr w14:paraId="7249FA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131C3D2F">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045DDB4D">
                  <w:pPr>
                    <w:jc w:val="center"/>
                    <w:rPr>
                      <w:rFonts w:hint="eastAsia"/>
                    </w:rPr>
                  </w:pPr>
                  <w:r>
                    <w:rPr>
                      <w:rFonts w:hint="eastAsia"/>
                    </w:rPr>
                    <w:t>反式</w:t>
                  </w:r>
                </w:p>
                <w:p w14:paraId="09D8EF1D">
                  <w:pPr>
                    <w:jc w:val="center"/>
                    <w:rPr>
                      <w:rFonts w:hint="eastAsia"/>
                      <w:lang w:val="en-US" w:eastAsia="zh-CN"/>
                    </w:rPr>
                  </w:pPr>
                  <w:r>
                    <w:rPr>
                      <w:rFonts w:hint="eastAsia"/>
                    </w:rPr>
                    <w:t>1,2-环己二胺四乙酸一水</w:t>
                  </w:r>
                </w:p>
              </w:tc>
              <w:tc>
                <w:tcPr>
                  <w:tcW w:w="1388" w:type="dxa"/>
                  <w:tcBorders>
                    <w:tl2br w:val="nil"/>
                    <w:tr2bl w:val="nil"/>
                  </w:tcBorders>
                  <w:shd w:val="clear" w:color="auto" w:fill="auto"/>
                  <w:vAlign w:val="center"/>
                </w:tcPr>
                <w:p w14:paraId="187866B5">
                  <w:pPr>
                    <w:jc w:val="center"/>
                    <w:rPr>
                      <w:rFonts w:hint="eastAsia"/>
                      <w:lang w:val="en-US" w:eastAsia="zh-CN"/>
                    </w:rPr>
                  </w:pPr>
                  <w:r>
                    <w:rPr>
                      <w:rFonts w:hint="eastAsia"/>
                    </w:rPr>
                    <w:t>25g</w:t>
                  </w:r>
                </w:p>
              </w:tc>
              <w:tc>
                <w:tcPr>
                  <w:tcW w:w="1445" w:type="dxa"/>
                  <w:tcBorders>
                    <w:tl2br w:val="nil"/>
                    <w:tr2bl w:val="nil"/>
                  </w:tcBorders>
                  <w:shd w:val="clear" w:color="auto" w:fill="auto"/>
                  <w:vAlign w:val="center"/>
                </w:tcPr>
                <w:p w14:paraId="1F9A830A">
                  <w:pPr>
                    <w:jc w:val="center"/>
                    <w:rPr>
                      <w:rFonts w:hint="eastAsia"/>
                      <w:lang w:val="en-US" w:eastAsia="zh-CN"/>
                    </w:rPr>
                  </w:pPr>
                  <w:r>
                    <w:rPr>
                      <w:rFonts w:hint="eastAsia"/>
                    </w:rPr>
                    <w:t>25g</w:t>
                  </w:r>
                </w:p>
              </w:tc>
              <w:tc>
                <w:tcPr>
                  <w:tcW w:w="1487" w:type="dxa"/>
                  <w:tcBorders>
                    <w:tl2br w:val="nil"/>
                    <w:tr2bl w:val="nil"/>
                  </w:tcBorders>
                  <w:shd w:val="clear" w:color="auto" w:fill="auto"/>
                  <w:vAlign w:val="center"/>
                </w:tcPr>
                <w:p w14:paraId="6483252E">
                  <w:pPr>
                    <w:jc w:val="center"/>
                    <w:rPr>
                      <w:rFonts w:hint="eastAsia"/>
                      <w:lang w:val="en-US" w:eastAsia="zh-CN"/>
                    </w:rPr>
                  </w:pPr>
                  <w:r>
                    <w:rPr>
                      <w:rFonts w:hint="eastAsia"/>
                    </w:rPr>
                    <w:t>50g</w:t>
                  </w:r>
                </w:p>
              </w:tc>
              <w:tc>
                <w:tcPr>
                  <w:tcW w:w="1487" w:type="dxa"/>
                  <w:tcBorders>
                    <w:tl2br w:val="nil"/>
                    <w:tr2bl w:val="nil"/>
                  </w:tcBorders>
                  <w:shd w:val="clear" w:color="auto" w:fill="auto"/>
                  <w:vAlign w:val="center"/>
                </w:tcPr>
                <w:p w14:paraId="044F3B58">
                  <w:pPr>
                    <w:jc w:val="center"/>
                    <w:rPr>
                      <w:rFonts w:hint="eastAsia"/>
                    </w:rPr>
                  </w:pPr>
                  <w:r>
                    <w:rPr>
                      <w:rFonts w:hint="eastAsia"/>
                      <w:lang w:val="en-US" w:eastAsia="zh-CN"/>
                    </w:rPr>
                    <w:t>试剂室</w:t>
                  </w:r>
                </w:p>
              </w:tc>
            </w:tr>
            <w:tr w14:paraId="0F2B1B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62FA691E">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7479194E">
                  <w:pPr>
                    <w:jc w:val="center"/>
                    <w:rPr>
                      <w:rFonts w:hint="eastAsia"/>
                      <w:lang w:val="en-US" w:eastAsia="zh-CN"/>
                    </w:rPr>
                  </w:pPr>
                  <w:r>
                    <w:rPr>
                      <w:rFonts w:hint="eastAsia"/>
                    </w:rPr>
                    <w:t>邻菲啰啉</w:t>
                  </w:r>
                </w:p>
              </w:tc>
              <w:tc>
                <w:tcPr>
                  <w:tcW w:w="1388" w:type="dxa"/>
                  <w:tcBorders>
                    <w:tl2br w:val="nil"/>
                    <w:tr2bl w:val="nil"/>
                  </w:tcBorders>
                  <w:shd w:val="clear" w:color="auto" w:fill="auto"/>
                  <w:vAlign w:val="center"/>
                </w:tcPr>
                <w:p w14:paraId="4A2F0E83">
                  <w:pPr>
                    <w:jc w:val="center"/>
                    <w:rPr>
                      <w:rFonts w:hint="eastAsia"/>
                      <w:lang w:val="en-US" w:eastAsia="zh-CN"/>
                    </w:rPr>
                  </w:pPr>
                  <w:r>
                    <w:rPr>
                      <w:rFonts w:hint="eastAsia"/>
                    </w:rPr>
                    <w:t>5g</w:t>
                  </w:r>
                </w:p>
              </w:tc>
              <w:tc>
                <w:tcPr>
                  <w:tcW w:w="1445" w:type="dxa"/>
                  <w:tcBorders>
                    <w:tl2br w:val="nil"/>
                    <w:tr2bl w:val="nil"/>
                  </w:tcBorders>
                  <w:shd w:val="clear" w:color="auto" w:fill="auto"/>
                  <w:vAlign w:val="center"/>
                </w:tcPr>
                <w:p w14:paraId="26801C51">
                  <w:pPr>
                    <w:jc w:val="center"/>
                    <w:rPr>
                      <w:rFonts w:hint="eastAsia"/>
                      <w:lang w:val="en-US" w:eastAsia="zh-CN"/>
                    </w:rPr>
                  </w:pPr>
                  <w:r>
                    <w:rPr>
                      <w:rFonts w:hint="eastAsia"/>
                    </w:rPr>
                    <w:t>15g</w:t>
                  </w:r>
                </w:p>
              </w:tc>
              <w:tc>
                <w:tcPr>
                  <w:tcW w:w="1487" w:type="dxa"/>
                  <w:tcBorders>
                    <w:tl2br w:val="nil"/>
                    <w:tr2bl w:val="nil"/>
                  </w:tcBorders>
                  <w:shd w:val="clear" w:color="auto" w:fill="auto"/>
                  <w:vAlign w:val="center"/>
                </w:tcPr>
                <w:p w14:paraId="13F7464F">
                  <w:pPr>
                    <w:jc w:val="center"/>
                    <w:rPr>
                      <w:rFonts w:hint="eastAsia"/>
                      <w:lang w:val="en-US" w:eastAsia="zh-CN"/>
                    </w:rPr>
                  </w:pPr>
                  <w:r>
                    <w:rPr>
                      <w:rFonts w:hint="eastAsia"/>
                    </w:rPr>
                    <w:t>50g</w:t>
                  </w:r>
                </w:p>
              </w:tc>
              <w:tc>
                <w:tcPr>
                  <w:tcW w:w="1487" w:type="dxa"/>
                  <w:tcBorders>
                    <w:tl2br w:val="nil"/>
                    <w:tr2bl w:val="nil"/>
                  </w:tcBorders>
                  <w:shd w:val="clear" w:color="auto" w:fill="auto"/>
                  <w:vAlign w:val="center"/>
                </w:tcPr>
                <w:p w14:paraId="31F7FF01">
                  <w:pPr>
                    <w:jc w:val="center"/>
                    <w:rPr>
                      <w:rFonts w:hint="eastAsia"/>
                    </w:rPr>
                  </w:pPr>
                  <w:r>
                    <w:rPr>
                      <w:rFonts w:hint="eastAsia"/>
                      <w:lang w:val="en-US" w:eastAsia="zh-CN"/>
                    </w:rPr>
                    <w:t>试剂室</w:t>
                  </w:r>
                </w:p>
              </w:tc>
            </w:tr>
            <w:tr w14:paraId="46D7DA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6A998B9">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4F99B4BF">
                  <w:pPr>
                    <w:jc w:val="center"/>
                    <w:rPr>
                      <w:rFonts w:hint="eastAsia"/>
                      <w:lang w:val="en-US" w:eastAsia="zh-CN"/>
                    </w:rPr>
                  </w:pPr>
                  <w:r>
                    <w:rPr>
                      <w:rFonts w:hint="eastAsia"/>
                    </w:rPr>
                    <w:t>溴代十六烷基吡啶</w:t>
                  </w:r>
                </w:p>
              </w:tc>
              <w:tc>
                <w:tcPr>
                  <w:tcW w:w="1388" w:type="dxa"/>
                  <w:tcBorders>
                    <w:tl2br w:val="nil"/>
                    <w:tr2bl w:val="nil"/>
                  </w:tcBorders>
                  <w:shd w:val="clear" w:color="auto" w:fill="auto"/>
                  <w:vAlign w:val="center"/>
                </w:tcPr>
                <w:p w14:paraId="1DDAF1E2">
                  <w:pPr>
                    <w:jc w:val="center"/>
                    <w:rPr>
                      <w:rFonts w:hint="eastAsia"/>
                      <w:lang w:val="en-US" w:eastAsia="zh-CN"/>
                    </w:rPr>
                  </w:pPr>
                  <w:r>
                    <w:rPr>
                      <w:rFonts w:hint="eastAsia"/>
                    </w:rPr>
                    <w:t>25g</w:t>
                  </w:r>
                </w:p>
              </w:tc>
              <w:tc>
                <w:tcPr>
                  <w:tcW w:w="1445" w:type="dxa"/>
                  <w:tcBorders>
                    <w:tl2br w:val="nil"/>
                    <w:tr2bl w:val="nil"/>
                  </w:tcBorders>
                  <w:shd w:val="clear" w:color="auto" w:fill="auto"/>
                  <w:vAlign w:val="center"/>
                </w:tcPr>
                <w:p w14:paraId="5B122762">
                  <w:pPr>
                    <w:jc w:val="center"/>
                    <w:rPr>
                      <w:rFonts w:hint="eastAsia"/>
                      <w:lang w:val="en-US" w:eastAsia="zh-CN"/>
                    </w:rPr>
                  </w:pPr>
                  <w:r>
                    <w:rPr>
                      <w:rFonts w:hint="eastAsia"/>
                    </w:rPr>
                    <w:t>5g</w:t>
                  </w:r>
                </w:p>
              </w:tc>
              <w:tc>
                <w:tcPr>
                  <w:tcW w:w="1487" w:type="dxa"/>
                  <w:tcBorders>
                    <w:tl2br w:val="nil"/>
                    <w:tr2bl w:val="nil"/>
                  </w:tcBorders>
                  <w:shd w:val="clear" w:color="auto" w:fill="auto"/>
                  <w:vAlign w:val="center"/>
                </w:tcPr>
                <w:p w14:paraId="2387E1CF">
                  <w:pPr>
                    <w:jc w:val="center"/>
                    <w:rPr>
                      <w:rFonts w:hint="eastAsia"/>
                      <w:lang w:val="en-US" w:eastAsia="zh-CN"/>
                    </w:rPr>
                  </w:pPr>
                  <w:r>
                    <w:rPr>
                      <w:rFonts w:hint="eastAsia"/>
                    </w:rPr>
                    <w:t>50g</w:t>
                  </w:r>
                </w:p>
              </w:tc>
              <w:tc>
                <w:tcPr>
                  <w:tcW w:w="1487" w:type="dxa"/>
                  <w:tcBorders>
                    <w:tl2br w:val="nil"/>
                    <w:tr2bl w:val="nil"/>
                  </w:tcBorders>
                  <w:shd w:val="clear" w:color="auto" w:fill="auto"/>
                  <w:vAlign w:val="center"/>
                </w:tcPr>
                <w:p w14:paraId="0EA15FC6">
                  <w:pPr>
                    <w:jc w:val="center"/>
                    <w:rPr>
                      <w:rFonts w:hint="eastAsia"/>
                    </w:rPr>
                  </w:pPr>
                  <w:r>
                    <w:rPr>
                      <w:rFonts w:hint="eastAsia"/>
                      <w:lang w:val="en-US" w:eastAsia="zh-CN"/>
                    </w:rPr>
                    <w:t>试剂室</w:t>
                  </w:r>
                </w:p>
              </w:tc>
            </w:tr>
            <w:tr w14:paraId="412AF9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6B3B8511">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7158E428">
                  <w:pPr>
                    <w:jc w:val="center"/>
                    <w:rPr>
                      <w:rFonts w:hint="eastAsia"/>
                      <w:lang w:val="en-US" w:eastAsia="zh-CN"/>
                    </w:rPr>
                  </w:pPr>
                  <w:r>
                    <w:rPr>
                      <w:rFonts w:hint="eastAsia"/>
                    </w:rPr>
                    <w:t>铬天青S</w:t>
                  </w:r>
                </w:p>
              </w:tc>
              <w:tc>
                <w:tcPr>
                  <w:tcW w:w="1388" w:type="dxa"/>
                  <w:tcBorders>
                    <w:tl2br w:val="nil"/>
                    <w:tr2bl w:val="nil"/>
                  </w:tcBorders>
                  <w:shd w:val="clear" w:color="auto" w:fill="auto"/>
                  <w:vAlign w:val="center"/>
                </w:tcPr>
                <w:p w14:paraId="7EF42889">
                  <w:pPr>
                    <w:jc w:val="center"/>
                    <w:rPr>
                      <w:rFonts w:hint="eastAsia"/>
                      <w:lang w:val="en-US" w:eastAsia="zh-CN"/>
                    </w:rPr>
                  </w:pPr>
                  <w:r>
                    <w:rPr>
                      <w:rFonts w:hint="eastAsia"/>
                    </w:rPr>
                    <w:t>10g</w:t>
                  </w:r>
                </w:p>
              </w:tc>
              <w:tc>
                <w:tcPr>
                  <w:tcW w:w="1445" w:type="dxa"/>
                  <w:tcBorders>
                    <w:tl2br w:val="nil"/>
                    <w:tr2bl w:val="nil"/>
                  </w:tcBorders>
                  <w:shd w:val="clear" w:color="auto" w:fill="auto"/>
                  <w:vAlign w:val="center"/>
                </w:tcPr>
                <w:p w14:paraId="3799249E">
                  <w:pPr>
                    <w:jc w:val="center"/>
                    <w:rPr>
                      <w:rFonts w:hint="eastAsia"/>
                      <w:lang w:val="en-US" w:eastAsia="zh-CN"/>
                    </w:rPr>
                  </w:pPr>
                  <w:r>
                    <w:rPr>
                      <w:rFonts w:hint="eastAsia"/>
                    </w:rPr>
                    <w:t>5g</w:t>
                  </w:r>
                </w:p>
              </w:tc>
              <w:tc>
                <w:tcPr>
                  <w:tcW w:w="1487" w:type="dxa"/>
                  <w:tcBorders>
                    <w:tl2br w:val="nil"/>
                    <w:tr2bl w:val="nil"/>
                  </w:tcBorders>
                  <w:shd w:val="clear" w:color="auto" w:fill="auto"/>
                  <w:vAlign w:val="center"/>
                </w:tcPr>
                <w:p w14:paraId="57E59D19">
                  <w:pPr>
                    <w:jc w:val="center"/>
                    <w:rPr>
                      <w:rFonts w:hint="eastAsia"/>
                      <w:lang w:val="en-US" w:eastAsia="zh-CN"/>
                    </w:rPr>
                  </w:pPr>
                  <w:r>
                    <w:rPr>
                      <w:rFonts w:hint="eastAsia"/>
                    </w:rPr>
                    <w:t>100g</w:t>
                  </w:r>
                </w:p>
              </w:tc>
              <w:tc>
                <w:tcPr>
                  <w:tcW w:w="1487" w:type="dxa"/>
                  <w:tcBorders>
                    <w:tl2br w:val="nil"/>
                    <w:tr2bl w:val="nil"/>
                  </w:tcBorders>
                  <w:shd w:val="clear" w:color="auto" w:fill="auto"/>
                  <w:vAlign w:val="center"/>
                </w:tcPr>
                <w:p w14:paraId="73AD127A">
                  <w:pPr>
                    <w:jc w:val="center"/>
                    <w:rPr>
                      <w:rFonts w:hint="eastAsia"/>
                    </w:rPr>
                  </w:pPr>
                  <w:r>
                    <w:rPr>
                      <w:rFonts w:hint="eastAsia"/>
                      <w:lang w:val="en-US" w:eastAsia="zh-CN"/>
                    </w:rPr>
                    <w:t>试剂室</w:t>
                  </w:r>
                </w:p>
              </w:tc>
            </w:tr>
            <w:tr w14:paraId="26FBBC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2C4126BE">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0B200F4D">
                  <w:pPr>
                    <w:jc w:val="center"/>
                    <w:rPr>
                      <w:rFonts w:hint="eastAsia"/>
                      <w:lang w:val="en-US" w:eastAsia="zh-CN"/>
                    </w:rPr>
                  </w:pPr>
                  <w:r>
                    <w:rPr>
                      <w:rFonts w:hint="eastAsia"/>
                    </w:rPr>
                    <w:t>异烟酸</w:t>
                  </w:r>
                </w:p>
              </w:tc>
              <w:tc>
                <w:tcPr>
                  <w:tcW w:w="1388" w:type="dxa"/>
                  <w:tcBorders>
                    <w:tl2br w:val="nil"/>
                    <w:tr2bl w:val="nil"/>
                  </w:tcBorders>
                  <w:shd w:val="clear" w:color="auto" w:fill="auto"/>
                  <w:vAlign w:val="center"/>
                </w:tcPr>
                <w:p w14:paraId="07794A1B">
                  <w:pPr>
                    <w:jc w:val="center"/>
                    <w:rPr>
                      <w:rFonts w:hint="eastAsia"/>
                      <w:lang w:val="en-US" w:eastAsia="zh-CN"/>
                    </w:rPr>
                  </w:pPr>
                  <w:r>
                    <w:rPr>
                      <w:rFonts w:hint="eastAsia"/>
                    </w:rPr>
                    <w:t>100g</w:t>
                  </w:r>
                </w:p>
              </w:tc>
              <w:tc>
                <w:tcPr>
                  <w:tcW w:w="1445" w:type="dxa"/>
                  <w:tcBorders>
                    <w:tl2br w:val="nil"/>
                    <w:tr2bl w:val="nil"/>
                  </w:tcBorders>
                  <w:shd w:val="clear" w:color="auto" w:fill="auto"/>
                  <w:vAlign w:val="center"/>
                </w:tcPr>
                <w:p w14:paraId="455E05CC">
                  <w:pPr>
                    <w:jc w:val="center"/>
                    <w:rPr>
                      <w:rFonts w:hint="eastAsia"/>
                      <w:lang w:val="en-US" w:eastAsia="zh-CN"/>
                    </w:rPr>
                  </w:pPr>
                  <w:r>
                    <w:rPr>
                      <w:rFonts w:hint="eastAsia"/>
                    </w:rPr>
                    <w:t>100g</w:t>
                  </w:r>
                </w:p>
              </w:tc>
              <w:tc>
                <w:tcPr>
                  <w:tcW w:w="1487" w:type="dxa"/>
                  <w:tcBorders>
                    <w:tl2br w:val="nil"/>
                    <w:tr2bl w:val="nil"/>
                  </w:tcBorders>
                  <w:shd w:val="clear" w:color="auto" w:fill="auto"/>
                  <w:vAlign w:val="center"/>
                </w:tcPr>
                <w:p w14:paraId="4FF40480">
                  <w:pPr>
                    <w:jc w:val="center"/>
                    <w:rPr>
                      <w:rFonts w:hint="eastAsia"/>
                      <w:lang w:val="en-US" w:eastAsia="zh-CN"/>
                    </w:rPr>
                  </w:pPr>
                  <w:r>
                    <w:rPr>
                      <w:rFonts w:hint="eastAsia"/>
                    </w:rPr>
                    <w:t>200g</w:t>
                  </w:r>
                </w:p>
              </w:tc>
              <w:tc>
                <w:tcPr>
                  <w:tcW w:w="1487" w:type="dxa"/>
                  <w:tcBorders>
                    <w:tl2br w:val="nil"/>
                    <w:tr2bl w:val="nil"/>
                  </w:tcBorders>
                  <w:shd w:val="clear" w:color="auto" w:fill="auto"/>
                  <w:vAlign w:val="center"/>
                </w:tcPr>
                <w:p w14:paraId="5150239A">
                  <w:pPr>
                    <w:jc w:val="center"/>
                    <w:rPr>
                      <w:rFonts w:hint="eastAsia"/>
                    </w:rPr>
                  </w:pPr>
                  <w:r>
                    <w:rPr>
                      <w:rFonts w:hint="eastAsia"/>
                      <w:lang w:val="en-US" w:eastAsia="zh-CN"/>
                    </w:rPr>
                    <w:t>试剂室</w:t>
                  </w:r>
                </w:p>
              </w:tc>
            </w:tr>
            <w:tr w14:paraId="1BCAB3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06638AFC">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top"/>
                </w:tcPr>
                <w:p w14:paraId="6D36F165">
                  <w:pPr>
                    <w:jc w:val="center"/>
                    <w:rPr>
                      <w:rFonts w:hint="eastAsia"/>
                    </w:rPr>
                  </w:pPr>
                  <w:r>
                    <w:rPr>
                      <w:rFonts w:hint="eastAsia"/>
                    </w:rPr>
                    <w:t>1-苯基-3-甲基</w:t>
                  </w:r>
                </w:p>
                <w:p w14:paraId="7C031BAF">
                  <w:pPr>
                    <w:jc w:val="center"/>
                    <w:rPr>
                      <w:rFonts w:hint="eastAsia"/>
                      <w:lang w:val="en-US" w:eastAsia="zh-CN"/>
                    </w:rPr>
                  </w:pPr>
                  <w:r>
                    <w:rPr>
                      <w:rFonts w:hint="eastAsia"/>
                    </w:rPr>
                    <w:t>-5-吡唑啉酮</w:t>
                  </w:r>
                </w:p>
              </w:tc>
              <w:tc>
                <w:tcPr>
                  <w:tcW w:w="1388" w:type="dxa"/>
                  <w:tcBorders>
                    <w:tl2br w:val="nil"/>
                    <w:tr2bl w:val="nil"/>
                  </w:tcBorders>
                  <w:shd w:val="clear" w:color="auto" w:fill="auto"/>
                  <w:vAlign w:val="center"/>
                </w:tcPr>
                <w:p w14:paraId="14FD0E34">
                  <w:pPr>
                    <w:jc w:val="center"/>
                    <w:rPr>
                      <w:rFonts w:hint="eastAsia"/>
                      <w:lang w:val="en-US" w:eastAsia="zh-CN"/>
                    </w:rPr>
                  </w:pPr>
                  <w:r>
                    <w:rPr>
                      <w:rFonts w:hint="eastAsia"/>
                    </w:rPr>
                    <w:t>100g</w:t>
                  </w:r>
                </w:p>
              </w:tc>
              <w:tc>
                <w:tcPr>
                  <w:tcW w:w="1445" w:type="dxa"/>
                  <w:tcBorders>
                    <w:tl2br w:val="nil"/>
                    <w:tr2bl w:val="nil"/>
                  </w:tcBorders>
                  <w:shd w:val="clear" w:color="auto" w:fill="auto"/>
                  <w:vAlign w:val="center"/>
                </w:tcPr>
                <w:p w14:paraId="1F36A4DB">
                  <w:pPr>
                    <w:jc w:val="center"/>
                    <w:rPr>
                      <w:rFonts w:hint="eastAsia"/>
                      <w:lang w:val="en-US" w:eastAsia="zh-CN"/>
                    </w:rPr>
                  </w:pPr>
                  <w:r>
                    <w:rPr>
                      <w:rFonts w:hint="eastAsia"/>
                    </w:rPr>
                    <w:t>10g</w:t>
                  </w:r>
                </w:p>
              </w:tc>
              <w:tc>
                <w:tcPr>
                  <w:tcW w:w="1487" w:type="dxa"/>
                  <w:tcBorders>
                    <w:tl2br w:val="nil"/>
                    <w:tr2bl w:val="nil"/>
                  </w:tcBorders>
                  <w:shd w:val="clear" w:color="auto" w:fill="auto"/>
                  <w:vAlign w:val="center"/>
                </w:tcPr>
                <w:p w14:paraId="2142F10D">
                  <w:pPr>
                    <w:jc w:val="center"/>
                    <w:rPr>
                      <w:rFonts w:hint="eastAsia"/>
                      <w:lang w:val="en-US" w:eastAsia="zh-CN"/>
                    </w:rPr>
                  </w:pPr>
                  <w:r>
                    <w:rPr>
                      <w:rFonts w:hint="eastAsia"/>
                    </w:rPr>
                    <w:t>50g</w:t>
                  </w:r>
                </w:p>
              </w:tc>
              <w:tc>
                <w:tcPr>
                  <w:tcW w:w="1487" w:type="dxa"/>
                  <w:tcBorders>
                    <w:tl2br w:val="nil"/>
                    <w:tr2bl w:val="nil"/>
                  </w:tcBorders>
                  <w:shd w:val="clear" w:color="auto" w:fill="auto"/>
                  <w:vAlign w:val="center"/>
                </w:tcPr>
                <w:p w14:paraId="2DCBE7A7">
                  <w:pPr>
                    <w:jc w:val="center"/>
                    <w:rPr>
                      <w:rFonts w:hint="eastAsia"/>
                    </w:rPr>
                  </w:pPr>
                  <w:r>
                    <w:rPr>
                      <w:rFonts w:hint="eastAsia"/>
                      <w:lang w:val="en-US" w:eastAsia="zh-CN"/>
                    </w:rPr>
                    <w:t>试剂室</w:t>
                  </w:r>
                </w:p>
              </w:tc>
            </w:tr>
            <w:tr w14:paraId="6A2CF0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5923F807">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2C57875D">
                  <w:pPr>
                    <w:jc w:val="center"/>
                    <w:rPr>
                      <w:rFonts w:hint="eastAsia" w:ascii="Times New Roman" w:hAnsi="Times New Roman" w:eastAsia="宋体" w:cs="Times New Roman"/>
                      <w:kern w:val="2"/>
                      <w:sz w:val="21"/>
                      <w:szCs w:val="24"/>
                      <w:lang w:val="en-US" w:eastAsia="zh-CN" w:bidi="ar-SA"/>
                    </w:rPr>
                  </w:pPr>
                  <w:r>
                    <w:rPr>
                      <w:rFonts w:hint="eastAsia"/>
                    </w:rPr>
                    <w:t>乳糖胆盐培养基</w:t>
                  </w:r>
                </w:p>
              </w:tc>
              <w:tc>
                <w:tcPr>
                  <w:tcW w:w="1388" w:type="dxa"/>
                  <w:tcBorders>
                    <w:tl2br w:val="nil"/>
                    <w:tr2bl w:val="nil"/>
                  </w:tcBorders>
                  <w:shd w:val="clear" w:color="auto" w:fill="auto"/>
                  <w:vAlign w:val="center"/>
                </w:tcPr>
                <w:p w14:paraId="5070AD2E">
                  <w:pPr>
                    <w:jc w:val="center"/>
                    <w:rPr>
                      <w:rFonts w:hint="eastAsia" w:ascii="Times New Roman" w:hAnsi="Times New Roman" w:eastAsia="宋体" w:cs="Times New Roman"/>
                      <w:kern w:val="2"/>
                      <w:sz w:val="21"/>
                      <w:szCs w:val="24"/>
                      <w:lang w:val="en-US" w:eastAsia="zh-CN" w:bidi="ar-SA"/>
                    </w:rPr>
                  </w:pPr>
                  <w:r>
                    <w:rPr>
                      <w:rFonts w:hint="eastAsia"/>
                    </w:rPr>
                    <w:t>250g</w:t>
                  </w:r>
                </w:p>
              </w:tc>
              <w:tc>
                <w:tcPr>
                  <w:tcW w:w="1445" w:type="dxa"/>
                  <w:tcBorders>
                    <w:tl2br w:val="nil"/>
                    <w:tr2bl w:val="nil"/>
                  </w:tcBorders>
                  <w:shd w:val="clear" w:color="auto" w:fill="auto"/>
                  <w:vAlign w:val="center"/>
                </w:tcPr>
                <w:p w14:paraId="448E29E2">
                  <w:pPr>
                    <w:jc w:val="center"/>
                    <w:rPr>
                      <w:rFonts w:hint="eastAsia" w:ascii="Times New Roman" w:hAnsi="Times New Roman" w:eastAsia="宋体" w:cs="Times New Roman"/>
                      <w:kern w:val="2"/>
                      <w:sz w:val="21"/>
                      <w:szCs w:val="24"/>
                      <w:lang w:val="en-US" w:eastAsia="zh-CN" w:bidi="ar-SA"/>
                    </w:rPr>
                  </w:pPr>
                  <w:r>
                    <w:rPr>
                      <w:rFonts w:hint="eastAsia"/>
                    </w:rPr>
                    <w:t>1.5kg</w:t>
                  </w:r>
                </w:p>
              </w:tc>
              <w:tc>
                <w:tcPr>
                  <w:tcW w:w="1487" w:type="dxa"/>
                  <w:tcBorders>
                    <w:tl2br w:val="nil"/>
                    <w:tr2bl w:val="nil"/>
                  </w:tcBorders>
                  <w:shd w:val="clear" w:color="auto" w:fill="auto"/>
                  <w:vAlign w:val="center"/>
                </w:tcPr>
                <w:p w14:paraId="5B8E517C">
                  <w:pPr>
                    <w:jc w:val="center"/>
                    <w:rPr>
                      <w:rFonts w:hint="default" w:ascii="Times New Roman" w:hAnsi="Times New Roman" w:eastAsia="宋体" w:cs="Times New Roman"/>
                      <w:kern w:val="2"/>
                      <w:sz w:val="21"/>
                      <w:szCs w:val="24"/>
                      <w:lang w:val="en-US" w:eastAsia="zh-CN" w:bidi="ar-SA"/>
                    </w:rPr>
                  </w:pPr>
                  <w:r>
                    <w:rPr>
                      <w:rFonts w:hint="eastAsia"/>
                      <w:lang w:val="en-US" w:eastAsia="zh-CN"/>
                    </w:rPr>
                    <w:t>1.25kg</w:t>
                  </w:r>
                </w:p>
              </w:tc>
              <w:tc>
                <w:tcPr>
                  <w:tcW w:w="1487" w:type="dxa"/>
                  <w:tcBorders>
                    <w:tl2br w:val="nil"/>
                    <w:tr2bl w:val="nil"/>
                  </w:tcBorders>
                  <w:shd w:val="clear" w:color="auto" w:fill="auto"/>
                  <w:vAlign w:val="center"/>
                </w:tcPr>
                <w:p w14:paraId="449543B8">
                  <w:pPr>
                    <w:jc w:val="center"/>
                    <w:rPr>
                      <w:rFonts w:hint="eastAsia"/>
                      <w:lang w:val="en-US" w:eastAsia="zh-CN"/>
                    </w:rPr>
                  </w:pPr>
                  <w:r>
                    <w:rPr>
                      <w:rFonts w:hint="eastAsia"/>
                      <w:lang w:val="en-US" w:eastAsia="zh-CN"/>
                    </w:rPr>
                    <w:t>试剂室</w:t>
                  </w:r>
                </w:p>
              </w:tc>
            </w:tr>
            <w:tr w14:paraId="33BABC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0A3769C0">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5D5488E9">
                  <w:pPr>
                    <w:jc w:val="center"/>
                    <w:rPr>
                      <w:rFonts w:hint="eastAsia" w:ascii="Times New Roman" w:hAnsi="Times New Roman" w:eastAsia="宋体" w:cs="Times New Roman"/>
                      <w:kern w:val="2"/>
                      <w:sz w:val="21"/>
                      <w:szCs w:val="24"/>
                      <w:lang w:val="en-US" w:eastAsia="zh-CN" w:bidi="ar-SA"/>
                    </w:rPr>
                  </w:pPr>
                  <w:r>
                    <w:rPr>
                      <w:rFonts w:hint="eastAsia"/>
                    </w:rPr>
                    <w:t>营养琼脂</w:t>
                  </w:r>
                </w:p>
              </w:tc>
              <w:tc>
                <w:tcPr>
                  <w:tcW w:w="1388" w:type="dxa"/>
                  <w:tcBorders>
                    <w:tl2br w:val="nil"/>
                    <w:tr2bl w:val="nil"/>
                  </w:tcBorders>
                  <w:shd w:val="clear" w:color="auto" w:fill="auto"/>
                  <w:vAlign w:val="center"/>
                </w:tcPr>
                <w:p w14:paraId="09078932">
                  <w:pPr>
                    <w:jc w:val="center"/>
                    <w:rPr>
                      <w:rFonts w:hint="eastAsia" w:ascii="Times New Roman" w:hAnsi="Times New Roman" w:eastAsia="宋体" w:cs="Times New Roman"/>
                      <w:kern w:val="2"/>
                      <w:sz w:val="21"/>
                      <w:szCs w:val="24"/>
                      <w:lang w:val="en-US" w:eastAsia="zh-CN" w:bidi="ar-SA"/>
                    </w:rPr>
                  </w:pPr>
                  <w:r>
                    <w:rPr>
                      <w:rFonts w:hint="eastAsia"/>
                    </w:rPr>
                    <w:t>250g</w:t>
                  </w:r>
                </w:p>
              </w:tc>
              <w:tc>
                <w:tcPr>
                  <w:tcW w:w="1445" w:type="dxa"/>
                  <w:tcBorders>
                    <w:tl2br w:val="nil"/>
                    <w:tr2bl w:val="nil"/>
                  </w:tcBorders>
                  <w:shd w:val="clear" w:color="auto" w:fill="auto"/>
                  <w:vAlign w:val="center"/>
                </w:tcPr>
                <w:p w14:paraId="10C32C3A">
                  <w:pPr>
                    <w:jc w:val="center"/>
                    <w:rPr>
                      <w:rFonts w:hint="eastAsia" w:ascii="Times New Roman" w:hAnsi="Times New Roman" w:eastAsia="宋体" w:cs="Times New Roman"/>
                      <w:kern w:val="2"/>
                      <w:sz w:val="21"/>
                      <w:szCs w:val="24"/>
                      <w:lang w:val="en-US" w:eastAsia="zh-CN" w:bidi="ar-SA"/>
                    </w:rPr>
                  </w:pPr>
                  <w:r>
                    <w:rPr>
                      <w:rFonts w:hint="eastAsia"/>
                    </w:rPr>
                    <w:t>1kg</w:t>
                  </w:r>
                </w:p>
              </w:tc>
              <w:tc>
                <w:tcPr>
                  <w:tcW w:w="1487" w:type="dxa"/>
                  <w:tcBorders>
                    <w:tl2br w:val="nil"/>
                    <w:tr2bl w:val="nil"/>
                  </w:tcBorders>
                  <w:shd w:val="clear" w:color="auto" w:fill="auto"/>
                  <w:vAlign w:val="center"/>
                </w:tcPr>
                <w:p w14:paraId="7C99FD7C">
                  <w:pPr>
                    <w:jc w:val="center"/>
                    <w:rPr>
                      <w:rFonts w:hint="eastAsia" w:ascii="Times New Roman" w:hAnsi="Times New Roman" w:eastAsia="宋体" w:cs="Times New Roman"/>
                      <w:kern w:val="2"/>
                      <w:sz w:val="21"/>
                      <w:szCs w:val="24"/>
                      <w:lang w:val="en-US" w:eastAsia="zh-CN" w:bidi="ar-SA"/>
                    </w:rPr>
                  </w:pPr>
                  <w:r>
                    <w:rPr>
                      <w:rFonts w:hint="eastAsia"/>
                      <w:lang w:val="en-US" w:eastAsia="zh-CN"/>
                    </w:rPr>
                    <w:t>1.25kg</w:t>
                  </w:r>
                </w:p>
              </w:tc>
              <w:tc>
                <w:tcPr>
                  <w:tcW w:w="1487" w:type="dxa"/>
                  <w:tcBorders>
                    <w:tl2br w:val="nil"/>
                    <w:tr2bl w:val="nil"/>
                  </w:tcBorders>
                  <w:shd w:val="clear" w:color="auto" w:fill="auto"/>
                  <w:vAlign w:val="center"/>
                </w:tcPr>
                <w:p w14:paraId="1914C76E">
                  <w:pPr>
                    <w:jc w:val="center"/>
                    <w:rPr>
                      <w:rFonts w:hint="eastAsia"/>
                      <w:lang w:val="en-US" w:eastAsia="zh-CN"/>
                    </w:rPr>
                  </w:pPr>
                  <w:r>
                    <w:rPr>
                      <w:rFonts w:hint="eastAsia"/>
                      <w:lang w:val="en-US" w:eastAsia="zh-CN"/>
                    </w:rPr>
                    <w:t>试剂室</w:t>
                  </w:r>
                </w:p>
              </w:tc>
            </w:tr>
            <w:tr w14:paraId="19895D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2E162281">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417A7263">
                  <w:pPr>
                    <w:jc w:val="center"/>
                    <w:rPr>
                      <w:rFonts w:hint="eastAsia" w:ascii="Times New Roman" w:hAnsi="Times New Roman" w:eastAsia="宋体" w:cs="Times New Roman"/>
                      <w:kern w:val="2"/>
                      <w:sz w:val="21"/>
                      <w:szCs w:val="24"/>
                      <w:lang w:val="en-US" w:eastAsia="zh-CN" w:bidi="ar-SA"/>
                    </w:rPr>
                  </w:pPr>
                  <w:r>
                    <w:rPr>
                      <w:rFonts w:hint="eastAsia"/>
                    </w:rPr>
                    <w:t>EC培养基</w:t>
                  </w:r>
                </w:p>
              </w:tc>
              <w:tc>
                <w:tcPr>
                  <w:tcW w:w="1388" w:type="dxa"/>
                  <w:tcBorders>
                    <w:tl2br w:val="nil"/>
                    <w:tr2bl w:val="nil"/>
                  </w:tcBorders>
                  <w:shd w:val="clear" w:color="auto" w:fill="auto"/>
                  <w:vAlign w:val="center"/>
                </w:tcPr>
                <w:p w14:paraId="399C76AA">
                  <w:pPr>
                    <w:jc w:val="center"/>
                    <w:rPr>
                      <w:rFonts w:hint="eastAsia" w:ascii="Times New Roman" w:hAnsi="Times New Roman" w:eastAsia="宋体" w:cs="Times New Roman"/>
                      <w:kern w:val="2"/>
                      <w:sz w:val="21"/>
                      <w:szCs w:val="24"/>
                      <w:lang w:val="en-US" w:eastAsia="zh-CN" w:bidi="ar-SA"/>
                    </w:rPr>
                  </w:pPr>
                  <w:r>
                    <w:rPr>
                      <w:rFonts w:hint="eastAsia"/>
                    </w:rPr>
                    <w:t>250g</w:t>
                  </w:r>
                </w:p>
              </w:tc>
              <w:tc>
                <w:tcPr>
                  <w:tcW w:w="1445" w:type="dxa"/>
                  <w:tcBorders>
                    <w:tl2br w:val="nil"/>
                    <w:tr2bl w:val="nil"/>
                  </w:tcBorders>
                  <w:shd w:val="clear" w:color="auto" w:fill="auto"/>
                  <w:vAlign w:val="center"/>
                </w:tcPr>
                <w:p w14:paraId="21A64412">
                  <w:pPr>
                    <w:jc w:val="center"/>
                    <w:rPr>
                      <w:rFonts w:hint="eastAsia" w:ascii="Times New Roman" w:hAnsi="Times New Roman" w:eastAsia="宋体" w:cs="Times New Roman"/>
                      <w:kern w:val="2"/>
                      <w:sz w:val="21"/>
                      <w:szCs w:val="24"/>
                      <w:lang w:val="en-US" w:eastAsia="zh-CN" w:bidi="ar-SA"/>
                    </w:rPr>
                  </w:pPr>
                  <w:r>
                    <w:rPr>
                      <w:rFonts w:hint="eastAsia"/>
                    </w:rPr>
                    <w:t>3kg</w:t>
                  </w:r>
                </w:p>
              </w:tc>
              <w:tc>
                <w:tcPr>
                  <w:tcW w:w="1487" w:type="dxa"/>
                  <w:tcBorders>
                    <w:tl2br w:val="nil"/>
                    <w:tr2bl w:val="nil"/>
                  </w:tcBorders>
                  <w:shd w:val="clear" w:color="auto" w:fill="auto"/>
                  <w:vAlign w:val="center"/>
                </w:tcPr>
                <w:p w14:paraId="6DF98268">
                  <w:pPr>
                    <w:jc w:val="center"/>
                    <w:rPr>
                      <w:rFonts w:hint="eastAsia" w:ascii="Times New Roman" w:hAnsi="Times New Roman" w:eastAsia="宋体" w:cs="Times New Roman"/>
                      <w:kern w:val="2"/>
                      <w:sz w:val="21"/>
                      <w:szCs w:val="24"/>
                      <w:lang w:val="en-US" w:eastAsia="zh-CN" w:bidi="ar-SA"/>
                    </w:rPr>
                  </w:pPr>
                  <w:r>
                    <w:rPr>
                      <w:rFonts w:hint="eastAsia"/>
                      <w:lang w:val="en-US" w:eastAsia="zh-CN"/>
                    </w:rPr>
                    <w:t>1.25kg</w:t>
                  </w:r>
                </w:p>
              </w:tc>
              <w:tc>
                <w:tcPr>
                  <w:tcW w:w="1487" w:type="dxa"/>
                  <w:tcBorders>
                    <w:tl2br w:val="nil"/>
                    <w:tr2bl w:val="nil"/>
                  </w:tcBorders>
                  <w:shd w:val="clear" w:color="auto" w:fill="auto"/>
                  <w:vAlign w:val="center"/>
                </w:tcPr>
                <w:p w14:paraId="4C04D741">
                  <w:pPr>
                    <w:jc w:val="center"/>
                    <w:rPr>
                      <w:rFonts w:hint="eastAsia"/>
                      <w:lang w:val="en-US" w:eastAsia="zh-CN"/>
                    </w:rPr>
                  </w:pPr>
                  <w:r>
                    <w:rPr>
                      <w:rFonts w:hint="eastAsia"/>
                      <w:lang w:val="en-US" w:eastAsia="zh-CN"/>
                    </w:rPr>
                    <w:t>试剂室</w:t>
                  </w:r>
                </w:p>
              </w:tc>
            </w:tr>
            <w:tr w14:paraId="184014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539A8F23">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1D736623">
                  <w:pPr>
                    <w:jc w:val="center"/>
                    <w:rPr>
                      <w:rFonts w:hint="eastAsia" w:ascii="Times New Roman" w:hAnsi="Times New Roman" w:eastAsia="宋体" w:cs="Times New Roman"/>
                      <w:kern w:val="2"/>
                      <w:sz w:val="21"/>
                      <w:szCs w:val="24"/>
                      <w:lang w:val="en-US" w:eastAsia="zh-CN" w:bidi="ar-SA"/>
                    </w:rPr>
                  </w:pPr>
                  <w:r>
                    <w:rPr>
                      <w:rFonts w:hint="eastAsia"/>
                    </w:rPr>
                    <w:t>乳糖蛋白胨培养基</w:t>
                  </w:r>
                </w:p>
              </w:tc>
              <w:tc>
                <w:tcPr>
                  <w:tcW w:w="1388" w:type="dxa"/>
                  <w:tcBorders>
                    <w:tl2br w:val="nil"/>
                    <w:tr2bl w:val="nil"/>
                  </w:tcBorders>
                  <w:shd w:val="clear" w:color="auto" w:fill="auto"/>
                  <w:vAlign w:val="center"/>
                </w:tcPr>
                <w:p w14:paraId="449E62D8">
                  <w:pPr>
                    <w:jc w:val="center"/>
                    <w:rPr>
                      <w:rFonts w:hint="eastAsia" w:ascii="Times New Roman" w:hAnsi="Times New Roman" w:eastAsia="宋体" w:cs="Times New Roman"/>
                      <w:kern w:val="2"/>
                      <w:sz w:val="21"/>
                      <w:szCs w:val="24"/>
                      <w:lang w:val="en-US" w:eastAsia="zh-CN" w:bidi="ar-SA"/>
                    </w:rPr>
                  </w:pPr>
                  <w:r>
                    <w:rPr>
                      <w:rFonts w:hint="eastAsia"/>
                    </w:rPr>
                    <w:t>250g</w:t>
                  </w:r>
                </w:p>
              </w:tc>
              <w:tc>
                <w:tcPr>
                  <w:tcW w:w="1445" w:type="dxa"/>
                  <w:tcBorders>
                    <w:tl2br w:val="nil"/>
                    <w:tr2bl w:val="nil"/>
                  </w:tcBorders>
                  <w:shd w:val="clear" w:color="auto" w:fill="auto"/>
                  <w:vAlign w:val="center"/>
                </w:tcPr>
                <w:p w14:paraId="63F7863E">
                  <w:pPr>
                    <w:jc w:val="center"/>
                    <w:rPr>
                      <w:rFonts w:hint="eastAsia" w:ascii="Times New Roman" w:hAnsi="Times New Roman" w:eastAsia="宋体" w:cs="Times New Roman"/>
                      <w:kern w:val="2"/>
                      <w:sz w:val="21"/>
                      <w:szCs w:val="24"/>
                      <w:lang w:val="en-US" w:eastAsia="zh-CN" w:bidi="ar-SA"/>
                    </w:rPr>
                  </w:pPr>
                  <w:r>
                    <w:rPr>
                      <w:rFonts w:hint="eastAsia"/>
                    </w:rPr>
                    <w:t>1.5kg</w:t>
                  </w:r>
                </w:p>
              </w:tc>
              <w:tc>
                <w:tcPr>
                  <w:tcW w:w="1487" w:type="dxa"/>
                  <w:tcBorders>
                    <w:tl2br w:val="nil"/>
                    <w:tr2bl w:val="nil"/>
                  </w:tcBorders>
                  <w:shd w:val="clear" w:color="auto" w:fill="auto"/>
                  <w:vAlign w:val="center"/>
                </w:tcPr>
                <w:p w14:paraId="69353F7D">
                  <w:pPr>
                    <w:jc w:val="center"/>
                    <w:rPr>
                      <w:rFonts w:hint="eastAsia" w:ascii="Times New Roman" w:hAnsi="Times New Roman" w:eastAsia="宋体" w:cs="Times New Roman"/>
                      <w:kern w:val="2"/>
                      <w:sz w:val="21"/>
                      <w:szCs w:val="24"/>
                      <w:lang w:val="en-US" w:eastAsia="zh-CN" w:bidi="ar-SA"/>
                    </w:rPr>
                  </w:pPr>
                  <w:r>
                    <w:rPr>
                      <w:rFonts w:hint="eastAsia"/>
                      <w:lang w:val="en-US" w:eastAsia="zh-CN"/>
                    </w:rPr>
                    <w:t>1.25kg</w:t>
                  </w:r>
                </w:p>
              </w:tc>
              <w:tc>
                <w:tcPr>
                  <w:tcW w:w="1487" w:type="dxa"/>
                  <w:tcBorders>
                    <w:tl2br w:val="nil"/>
                    <w:tr2bl w:val="nil"/>
                  </w:tcBorders>
                  <w:shd w:val="clear" w:color="auto" w:fill="auto"/>
                  <w:vAlign w:val="center"/>
                </w:tcPr>
                <w:p w14:paraId="5275615E">
                  <w:pPr>
                    <w:jc w:val="center"/>
                    <w:rPr>
                      <w:rFonts w:hint="eastAsia"/>
                      <w:lang w:val="en-US" w:eastAsia="zh-CN"/>
                    </w:rPr>
                  </w:pPr>
                  <w:r>
                    <w:rPr>
                      <w:rFonts w:hint="eastAsia"/>
                      <w:lang w:val="en-US" w:eastAsia="zh-CN"/>
                    </w:rPr>
                    <w:t>试剂室</w:t>
                  </w:r>
                </w:p>
              </w:tc>
            </w:tr>
            <w:tr w14:paraId="5D7181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4A593F93">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6FE1D497">
                  <w:pPr>
                    <w:jc w:val="center"/>
                    <w:rPr>
                      <w:rFonts w:hint="eastAsia" w:ascii="Times New Roman" w:hAnsi="Times New Roman" w:eastAsia="宋体" w:cs="Times New Roman"/>
                      <w:kern w:val="2"/>
                      <w:sz w:val="21"/>
                      <w:szCs w:val="24"/>
                      <w:lang w:val="en-US" w:eastAsia="zh-CN" w:bidi="ar-SA"/>
                    </w:rPr>
                  </w:pPr>
                  <w:r>
                    <w:rPr>
                      <w:rFonts w:hint="eastAsia"/>
                    </w:rPr>
                    <w:t>标准菌株</w:t>
                  </w:r>
                </w:p>
              </w:tc>
              <w:tc>
                <w:tcPr>
                  <w:tcW w:w="1388" w:type="dxa"/>
                  <w:tcBorders>
                    <w:tl2br w:val="nil"/>
                    <w:tr2bl w:val="nil"/>
                  </w:tcBorders>
                  <w:shd w:val="clear" w:color="auto" w:fill="auto"/>
                  <w:vAlign w:val="center"/>
                </w:tcPr>
                <w:p w14:paraId="1D98A934">
                  <w:pPr>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w:t>
                  </w:r>
                </w:p>
              </w:tc>
              <w:tc>
                <w:tcPr>
                  <w:tcW w:w="1445" w:type="dxa"/>
                  <w:tcBorders>
                    <w:tl2br w:val="nil"/>
                    <w:tr2bl w:val="nil"/>
                  </w:tcBorders>
                  <w:shd w:val="clear" w:color="auto" w:fill="auto"/>
                  <w:vAlign w:val="center"/>
                </w:tcPr>
                <w:p w14:paraId="74CB893B">
                  <w:pPr>
                    <w:jc w:val="center"/>
                    <w:rPr>
                      <w:rFonts w:hint="eastAsia" w:ascii="Times New Roman" w:hAnsi="Times New Roman" w:eastAsia="宋体" w:cs="Times New Roman"/>
                      <w:kern w:val="2"/>
                      <w:sz w:val="21"/>
                      <w:szCs w:val="24"/>
                      <w:lang w:val="en-US" w:eastAsia="zh-CN" w:bidi="ar-SA"/>
                    </w:rPr>
                  </w:pPr>
                  <w:r>
                    <w:t>4</w:t>
                  </w:r>
                  <w:r>
                    <w:rPr>
                      <w:rFonts w:hint="eastAsia"/>
                    </w:rPr>
                    <w:t>套</w:t>
                  </w:r>
                </w:p>
              </w:tc>
              <w:tc>
                <w:tcPr>
                  <w:tcW w:w="1487" w:type="dxa"/>
                  <w:tcBorders>
                    <w:tl2br w:val="nil"/>
                    <w:tr2bl w:val="nil"/>
                  </w:tcBorders>
                  <w:shd w:val="clear" w:color="auto" w:fill="auto"/>
                  <w:vAlign w:val="center"/>
                </w:tcPr>
                <w:p w14:paraId="6EE36887">
                  <w:pPr>
                    <w:jc w:val="center"/>
                    <w:rPr>
                      <w:rFonts w:hint="eastAsia" w:ascii="Times New Roman" w:hAnsi="Times New Roman" w:eastAsia="宋体" w:cs="Times New Roman"/>
                      <w:kern w:val="2"/>
                      <w:sz w:val="21"/>
                      <w:szCs w:val="24"/>
                      <w:lang w:val="en-US" w:eastAsia="zh-CN" w:bidi="ar-SA"/>
                    </w:rPr>
                  </w:pPr>
                  <w:r>
                    <w:t>2</w:t>
                  </w:r>
                  <w:r>
                    <w:rPr>
                      <w:rFonts w:hint="eastAsia"/>
                    </w:rPr>
                    <w:t>套</w:t>
                  </w:r>
                </w:p>
              </w:tc>
              <w:tc>
                <w:tcPr>
                  <w:tcW w:w="1487" w:type="dxa"/>
                  <w:tcBorders>
                    <w:tl2br w:val="nil"/>
                    <w:tr2bl w:val="nil"/>
                  </w:tcBorders>
                  <w:shd w:val="clear" w:color="auto" w:fill="auto"/>
                  <w:vAlign w:val="center"/>
                </w:tcPr>
                <w:p w14:paraId="6DE43031">
                  <w:pPr>
                    <w:jc w:val="center"/>
                  </w:pPr>
                  <w:r>
                    <w:rPr>
                      <w:rFonts w:hint="eastAsia"/>
                      <w:lang w:val="en-US" w:eastAsia="zh-CN"/>
                    </w:rPr>
                    <w:t>试剂室</w:t>
                  </w:r>
                </w:p>
              </w:tc>
            </w:tr>
            <w:tr w14:paraId="6A9588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84" w:type="dxa"/>
                  <w:tcBorders>
                    <w:tl2br w:val="nil"/>
                    <w:tr2bl w:val="nil"/>
                  </w:tcBorders>
                  <w:vAlign w:val="center"/>
                </w:tcPr>
                <w:p w14:paraId="73907E2D">
                  <w:pPr>
                    <w:numPr>
                      <w:ilvl w:val="0"/>
                      <w:numId w:val="14"/>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323" w:type="dxa"/>
                  <w:tcBorders>
                    <w:tl2br w:val="nil"/>
                    <w:tr2bl w:val="nil"/>
                  </w:tcBorders>
                  <w:shd w:val="clear" w:color="auto" w:fill="auto"/>
                  <w:vAlign w:val="center"/>
                </w:tcPr>
                <w:p w14:paraId="10A13B9C">
                  <w:pPr>
                    <w:jc w:val="center"/>
                    <w:rPr>
                      <w:rFonts w:hint="eastAsia" w:ascii="Times New Roman" w:hAnsi="Times New Roman" w:eastAsia="宋体" w:cs="Times New Roman"/>
                      <w:kern w:val="2"/>
                      <w:sz w:val="21"/>
                      <w:szCs w:val="24"/>
                      <w:lang w:val="en-US" w:eastAsia="zh-CN" w:bidi="ar-SA"/>
                    </w:rPr>
                  </w:pPr>
                  <w:r>
                    <w:rPr>
                      <w:rFonts w:hint="eastAsia"/>
                    </w:rPr>
                    <w:t>伊红美蓝</w:t>
                  </w:r>
                </w:p>
              </w:tc>
              <w:tc>
                <w:tcPr>
                  <w:tcW w:w="1388" w:type="dxa"/>
                  <w:tcBorders>
                    <w:tl2br w:val="nil"/>
                    <w:tr2bl w:val="nil"/>
                  </w:tcBorders>
                  <w:shd w:val="clear" w:color="auto" w:fill="auto"/>
                  <w:vAlign w:val="center"/>
                </w:tcPr>
                <w:p w14:paraId="32BAA479">
                  <w:pPr>
                    <w:jc w:val="center"/>
                    <w:rPr>
                      <w:rFonts w:hint="eastAsia" w:ascii="Times New Roman" w:hAnsi="Times New Roman" w:eastAsia="宋体" w:cs="Times New Roman"/>
                      <w:kern w:val="2"/>
                      <w:sz w:val="21"/>
                      <w:szCs w:val="24"/>
                      <w:lang w:val="en-US" w:eastAsia="zh-CN" w:bidi="ar-SA"/>
                    </w:rPr>
                  </w:pPr>
                  <w:r>
                    <w:rPr>
                      <w:rFonts w:hint="eastAsia"/>
                    </w:rPr>
                    <w:t>250g</w:t>
                  </w:r>
                </w:p>
              </w:tc>
              <w:tc>
                <w:tcPr>
                  <w:tcW w:w="1445" w:type="dxa"/>
                  <w:tcBorders>
                    <w:tl2br w:val="nil"/>
                    <w:tr2bl w:val="nil"/>
                  </w:tcBorders>
                  <w:shd w:val="clear" w:color="auto" w:fill="auto"/>
                  <w:vAlign w:val="center"/>
                </w:tcPr>
                <w:p w14:paraId="702D0DF1">
                  <w:pPr>
                    <w:jc w:val="center"/>
                    <w:rPr>
                      <w:rFonts w:hint="eastAsia" w:ascii="Times New Roman" w:hAnsi="Times New Roman" w:eastAsia="宋体" w:cs="Times New Roman"/>
                      <w:kern w:val="2"/>
                      <w:sz w:val="21"/>
                      <w:szCs w:val="24"/>
                      <w:lang w:val="en-US" w:eastAsia="zh-CN" w:bidi="ar-SA"/>
                    </w:rPr>
                  </w:pPr>
                  <w:r>
                    <w:t>1kg</w:t>
                  </w:r>
                </w:p>
              </w:tc>
              <w:tc>
                <w:tcPr>
                  <w:tcW w:w="1487" w:type="dxa"/>
                  <w:tcBorders>
                    <w:tl2br w:val="nil"/>
                    <w:tr2bl w:val="nil"/>
                  </w:tcBorders>
                  <w:shd w:val="clear" w:color="auto" w:fill="auto"/>
                  <w:vAlign w:val="center"/>
                </w:tcPr>
                <w:p w14:paraId="0C6A6352">
                  <w:pPr>
                    <w:jc w:val="center"/>
                    <w:rPr>
                      <w:rFonts w:hint="eastAsia" w:ascii="Times New Roman" w:hAnsi="Times New Roman" w:eastAsia="宋体" w:cs="Times New Roman"/>
                      <w:kern w:val="2"/>
                      <w:sz w:val="21"/>
                      <w:szCs w:val="24"/>
                      <w:lang w:val="en-US" w:eastAsia="zh-CN" w:bidi="ar-SA"/>
                    </w:rPr>
                  </w:pPr>
                  <w:r>
                    <w:rPr>
                      <w:rFonts w:hint="eastAsia"/>
                      <w:lang w:val="en-US" w:eastAsia="zh-CN"/>
                    </w:rPr>
                    <w:t>1.25kg</w:t>
                  </w:r>
                </w:p>
              </w:tc>
              <w:tc>
                <w:tcPr>
                  <w:tcW w:w="1487" w:type="dxa"/>
                  <w:tcBorders>
                    <w:tl2br w:val="nil"/>
                    <w:tr2bl w:val="nil"/>
                  </w:tcBorders>
                  <w:shd w:val="clear" w:color="auto" w:fill="auto"/>
                  <w:vAlign w:val="center"/>
                </w:tcPr>
                <w:p w14:paraId="348B496A">
                  <w:pPr>
                    <w:jc w:val="center"/>
                    <w:rPr>
                      <w:rFonts w:hint="eastAsia"/>
                      <w:lang w:val="en-US" w:eastAsia="zh-CN"/>
                    </w:rPr>
                  </w:pPr>
                  <w:r>
                    <w:rPr>
                      <w:rFonts w:hint="eastAsia"/>
                      <w:lang w:val="en-US" w:eastAsia="zh-CN"/>
                    </w:rPr>
                    <w:t>试剂室</w:t>
                  </w:r>
                </w:p>
              </w:tc>
            </w:tr>
          </w:tbl>
          <w:p w14:paraId="72B59917">
            <w:pP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项目主要原辅材料理化性质详见下表。</w:t>
            </w:r>
          </w:p>
          <w:p w14:paraId="3BBF04DC">
            <w:pPr>
              <w:numPr>
                <w:ilvl w:val="0"/>
                <w:numId w:val="12"/>
              </w:numPr>
              <w:adjustRightInd w:val="0"/>
              <w:snapToGrid w:val="0"/>
              <w:spacing w:line="360" w:lineRule="auto"/>
              <w:jc w:val="center"/>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本</w:t>
            </w:r>
            <w:r>
              <w:rPr>
                <w:rFonts w:hint="default" w:ascii="Times New Roman" w:hAnsi="Times New Roman" w:eastAsia="宋体" w:cs="Times New Roman"/>
                <w:b/>
                <w:bCs/>
                <w:color w:val="auto"/>
                <w:sz w:val="24"/>
                <w:highlight w:val="none"/>
              </w:rPr>
              <w:t>主要原辅材料理化性质一览表</w:t>
            </w:r>
          </w:p>
          <w:tbl>
            <w:tblPr>
              <w:tblStyle w:val="23"/>
              <w:tblW w:w="787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003"/>
              <w:gridCol w:w="6261"/>
            </w:tblGrid>
            <w:tr w14:paraId="34A683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5329724">
                  <w:pPr>
                    <w:spacing w:before="53" w:line="240" w:lineRule="auto"/>
                    <w:jc w:val="center"/>
                    <w:rPr>
                      <w:b/>
                      <w:bCs/>
                      <w:color w:val="auto"/>
                      <w:spacing w:val="6"/>
                      <w:szCs w:val="21"/>
                      <w:highlight w:val="none"/>
                    </w:rPr>
                  </w:pPr>
                  <w:r>
                    <w:rPr>
                      <w:b/>
                      <w:bCs/>
                      <w:color w:val="auto"/>
                      <w:spacing w:val="6"/>
                      <w:szCs w:val="21"/>
                      <w:highlight w:val="none"/>
                    </w:rPr>
                    <w:t>序号</w:t>
                  </w:r>
                </w:p>
              </w:tc>
              <w:tc>
                <w:tcPr>
                  <w:tcW w:w="1003" w:type="dxa"/>
                  <w:tcBorders>
                    <w:tl2br w:val="nil"/>
                    <w:tr2bl w:val="nil"/>
                  </w:tcBorders>
                  <w:noWrap w:val="0"/>
                  <w:vAlign w:val="center"/>
                </w:tcPr>
                <w:p w14:paraId="74673331">
                  <w:pPr>
                    <w:spacing w:before="53" w:line="240" w:lineRule="auto"/>
                    <w:jc w:val="center"/>
                    <w:rPr>
                      <w:b/>
                      <w:bCs/>
                      <w:color w:val="auto"/>
                      <w:spacing w:val="6"/>
                      <w:szCs w:val="21"/>
                      <w:highlight w:val="none"/>
                    </w:rPr>
                  </w:pPr>
                  <w:r>
                    <w:rPr>
                      <w:b/>
                      <w:bCs/>
                      <w:color w:val="auto"/>
                      <w:spacing w:val="6"/>
                      <w:szCs w:val="21"/>
                      <w:highlight w:val="none"/>
                    </w:rPr>
                    <w:t>名称</w:t>
                  </w:r>
                </w:p>
              </w:tc>
              <w:tc>
                <w:tcPr>
                  <w:tcW w:w="6261" w:type="dxa"/>
                  <w:tcBorders>
                    <w:tl2br w:val="nil"/>
                    <w:tr2bl w:val="nil"/>
                  </w:tcBorders>
                  <w:noWrap w:val="0"/>
                  <w:vAlign w:val="center"/>
                </w:tcPr>
                <w:p w14:paraId="29960D93">
                  <w:pPr>
                    <w:spacing w:before="53" w:line="240" w:lineRule="auto"/>
                    <w:jc w:val="center"/>
                    <w:rPr>
                      <w:b/>
                      <w:bCs/>
                      <w:color w:val="auto"/>
                      <w:spacing w:val="6"/>
                      <w:szCs w:val="21"/>
                      <w:highlight w:val="none"/>
                    </w:rPr>
                  </w:pPr>
                  <w:r>
                    <w:rPr>
                      <w:b/>
                      <w:bCs/>
                      <w:color w:val="auto"/>
                      <w:spacing w:val="6"/>
                      <w:szCs w:val="21"/>
                      <w:highlight w:val="none"/>
                    </w:rPr>
                    <w:t>理化性质</w:t>
                  </w:r>
                </w:p>
              </w:tc>
            </w:tr>
            <w:tr w14:paraId="2B06C5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470596CF">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5809A3D7">
                  <w:pPr>
                    <w:spacing w:before="53" w:line="240"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eastAsia="Times New Roman"/>
                      <w:color w:val="auto"/>
                      <w:spacing w:val="6"/>
                      <w:szCs w:val="21"/>
                      <w:highlight w:val="none"/>
                    </w:rPr>
                    <w:t>甲醇</w:t>
                  </w:r>
                </w:p>
              </w:tc>
              <w:tc>
                <w:tcPr>
                  <w:tcW w:w="6261" w:type="dxa"/>
                  <w:tcBorders>
                    <w:tl2br w:val="nil"/>
                    <w:tr2bl w:val="nil"/>
                  </w:tcBorders>
                  <w:shd w:val="clear" w:color="auto" w:fill="auto"/>
                  <w:noWrap w:val="0"/>
                  <w:vAlign w:val="center"/>
                </w:tcPr>
                <w:p w14:paraId="4B09F721">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无色透明液体，有刺激性气味</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常温下甲醇的密度为0.791g/cm³</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熔点-97.8沸点64.7</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易燃，其蒸气与空气可形成爆炸性混合物</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遇明火、高热能引起燃烧、爆炸，与氧化剂接触发生化学反应或引起燃烧，在火场中，受热的容器有爆炸危险，能在较低处扩散到相当远的地方，遇明火会引着回燃，燃烧分解一氧化碳、二氧化碳。</w:t>
                  </w:r>
                </w:p>
              </w:tc>
            </w:tr>
            <w:tr w14:paraId="1F90EC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29EBB909">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AE506CB">
                  <w:pPr>
                    <w:spacing w:before="52" w:line="240" w:lineRule="auto"/>
                    <w:jc w:val="center"/>
                    <w:rPr>
                      <w:rFonts w:ascii="Times New Roman" w:hAnsi="Times New Roman" w:eastAsia="宋体" w:cs="Times New Roman"/>
                      <w:color w:val="auto"/>
                      <w:kern w:val="2"/>
                      <w:sz w:val="21"/>
                      <w:szCs w:val="21"/>
                      <w:highlight w:val="none"/>
                      <w:lang w:val="en-US" w:eastAsia="zh-CN" w:bidi="ar-SA"/>
                    </w:rPr>
                  </w:pPr>
                  <w:r>
                    <w:rPr>
                      <w:color w:val="auto"/>
                      <w:spacing w:val="-6"/>
                      <w:szCs w:val="21"/>
                      <w:highlight w:val="none"/>
                    </w:rPr>
                    <w:t>乙</w:t>
                  </w:r>
                  <w:r>
                    <w:rPr>
                      <w:color w:val="auto"/>
                      <w:spacing w:val="-5"/>
                      <w:szCs w:val="21"/>
                      <w:highlight w:val="none"/>
                    </w:rPr>
                    <w:t>醇</w:t>
                  </w:r>
                </w:p>
              </w:tc>
              <w:tc>
                <w:tcPr>
                  <w:tcW w:w="6261" w:type="dxa"/>
                  <w:tcBorders>
                    <w:tl2br w:val="nil"/>
                    <w:tr2bl w:val="nil"/>
                  </w:tcBorders>
                  <w:shd w:val="clear" w:color="auto" w:fill="auto"/>
                  <w:noWrap w:val="0"/>
                  <w:vAlign w:val="center"/>
                </w:tcPr>
                <w:p w14:paraId="1211465E">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易燃、易挥发的无色透明液体，它的水溶液具有酒香的气味，密度0.789g/cm</w:t>
                  </w:r>
                  <w:r>
                    <w:rPr>
                      <w:rFonts w:hint="default" w:ascii="Times New Roman" w:hAnsi="Times New Roman" w:eastAsia="宋体" w:cs="Times New Roman"/>
                      <w:color w:val="auto"/>
                      <w:szCs w:val="21"/>
                      <w:highlight w:val="none"/>
                      <w:shd w:val="clear" w:color="auto" w:fill="FFFFFF"/>
                      <w:vertAlign w:val="superscript"/>
                      <w:lang w:val="en-US" w:eastAsia="zh-CN"/>
                    </w:rPr>
                    <w:t>3</w:t>
                  </w:r>
                  <w:r>
                    <w:rPr>
                      <w:rFonts w:hint="default" w:ascii="Times New Roman" w:hAnsi="Times New Roman" w:eastAsia="宋体" w:cs="Times New Roman"/>
                      <w:color w:val="auto"/>
                      <w:szCs w:val="21"/>
                      <w:highlight w:val="none"/>
                      <w:shd w:val="clear" w:color="auto" w:fill="FFFFFF"/>
                      <w:lang w:val="en-US" w:eastAsia="zh-CN"/>
                    </w:rPr>
                    <w:t>(20℃)，沸点是78.3℃，熔点是-114.1℃，易燃，其蒸气能与空气形成爆炸性混合物，能与水以任意比互溶。能与氯仿、乙醚、甲醇、丙酮和其他多数有机溶剂混溶。</w:t>
                  </w:r>
                </w:p>
              </w:tc>
            </w:tr>
            <w:tr w14:paraId="58D2A1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5" w:type="dxa"/>
                  <w:tcBorders>
                    <w:tl2br w:val="nil"/>
                    <w:tr2bl w:val="nil"/>
                  </w:tcBorders>
                  <w:noWrap w:val="0"/>
                  <w:vAlign w:val="center"/>
                </w:tcPr>
                <w:p w14:paraId="3ACBF40D">
                  <w:pPr>
                    <w:numPr>
                      <w:ilvl w:val="0"/>
                      <w:numId w:val="15"/>
                    </w:numPr>
                    <w:spacing w:before="53" w:line="240" w:lineRule="auto"/>
                    <w:ind w:left="425" w:leftChars="0" w:hanging="425" w:firstLineChars="0"/>
                    <w:jc w:val="center"/>
                    <w:rPr>
                      <w:rFonts w:hint="default"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4B328DC7">
                  <w:pPr>
                    <w:jc w:val="center"/>
                    <w:rPr>
                      <w:rFonts w:hint="default" w:ascii="Times New Roman" w:hAnsi="Times New Roman" w:eastAsia="宋体" w:cs="Times New Roman"/>
                      <w:kern w:val="2"/>
                      <w:sz w:val="21"/>
                      <w:szCs w:val="24"/>
                      <w:lang w:val="en-US" w:eastAsia="zh-CN" w:bidi="ar-SA"/>
                    </w:rPr>
                  </w:pPr>
                  <w:r>
                    <w:rPr>
                      <w:rFonts w:hint="eastAsia"/>
                    </w:rPr>
                    <w:t>异丙酮</w:t>
                  </w:r>
                </w:p>
              </w:tc>
              <w:tc>
                <w:tcPr>
                  <w:tcW w:w="6261" w:type="dxa"/>
                  <w:tcBorders>
                    <w:tl2br w:val="nil"/>
                    <w:tr2bl w:val="nil"/>
                  </w:tcBorders>
                  <w:shd w:val="clear" w:color="auto" w:fill="auto"/>
                  <w:noWrap w:val="0"/>
                  <w:vAlign w:val="center"/>
                </w:tcPr>
                <w:p w14:paraId="08D56998">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其蒸气能与空气形成爆炸性混合物，密度0.789g/cm</w:t>
                  </w:r>
                  <w:r>
                    <w:rPr>
                      <w:rFonts w:hint="default" w:ascii="Times New Roman" w:hAnsi="Times New Roman" w:eastAsia="宋体" w:cs="Times New Roman"/>
                      <w:color w:val="auto"/>
                      <w:szCs w:val="21"/>
                      <w:highlight w:val="none"/>
                      <w:shd w:val="clear" w:color="auto" w:fill="FFFFFF"/>
                      <w:vertAlign w:val="superscript"/>
                      <w:lang w:val="en-US" w:eastAsia="zh-CN"/>
                    </w:rPr>
                    <w:t>3</w:t>
                  </w:r>
                  <w:r>
                    <w:rPr>
                      <w:rFonts w:hint="default" w:ascii="Times New Roman" w:hAnsi="Times New Roman" w:eastAsia="宋体" w:cs="Times New Roman"/>
                      <w:color w:val="auto"/>
                      <w:szCs w:val="21"/>
                      <w:highlight w:val="none"/>
                      <w:shd w:val="clear" w:color="auto" w:fill="FFFFFF"/>
                      <w:lang w:val="en-US" w:eastAsia="zh-CN"/>
                    </w:rPr>
                    <w:t>，爆炸极限为2.0%～12%（体积）。可以参与多种化学反应，如酯化、醚化、氧化等。可被氧化成为丙酮。</w:t>
                  </w:r>
                </w:p>
              </w:tc>
            </w:tr>
            <w:tr w14:paraId="638752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66C56AFF">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666EA8F3">
                  <w:pPr>
                    <w:jc w:val="center"/>
                    <w:rPr>
                      <w:rFonts w:hint="default" w:ascii="Times New Roman" w:hAnsi="Times New Roman" w:eastAsia="宋体" w:cs="Times New Roman"/>
                      <w:kern w:val="2"/>
                      <w:sz w:val="21"/>
                      <w:szCs w:val="24"/>
                      <w:lang w:val="en-US" w:eastAsia="zh-CN" w:bidi="ar-SA"/>
                    </w:rPr>
                  </w:pPr>
                  <w:r>
                    <w:rPr>
                      <w:rFonts w:hint="eastAsia"/>
                    </w:rPr>
                    <w:t>丙酮</w:t>
                  </w:r>
                </w:p>
              </w:tc>
              <w:tc>
                <w:tcPr>
                  <w:tcW w:w="6261" w:type="dxa"/>
                  <w:tcBorders>
                    <w:tl2br w:val="nil"/>
                    <w:tr2bl w:val="nil"/>
                  </w:tcBorders>
                  <w:shd w:val="clear" w:color="auto" w:fill="auto"/>
                  <w:noWrap w:val="0"/>
                  <w:vAlign w:val="center"/>
                </w:tcPr>
                <w:p w14:paraId="2CEB6AFE">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无色、易挥发的极性有机溶剂</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常温下为透明液体，具有独特的辛辣甜味，气味易辨识。沸点与熔点：沸点约56.5℃，熔点约-94.9℃，沸点低，常温下极易挥发</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20℃时密度约0.789g/cm³，小于水，且能与水以任意比例互溶。溶解性极强，除与水混溶外，还能溶解乙醇、乙醚、氯仿、油脂、树脂、橡胶等多种有机物，是工业中常用的“万能溶剂”之一。挥发性强，20℃时蒸气压约24.6kPa，易在空气中形成高浓度蒸气。</w:t>
                  </w:r>
                </w:p>
              </w:tc>
            </w:tr>
            <w:tr w14:paraId="392B73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4F9A9EC5">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5DEA2A21">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正己烷</w:t>
                  </w:r>
                </w:p>
              </w:tc>
              <w:tc>
                <w:tcPr>
                  <w:tcW w:w="6261" w:type="dxa"/>
                  <w:tcBorders>
                    <w:tl2br w:val="nil"/>
                    <w:tr2bl w:val="nil"/>
                  </w:tcBorders>
                  <w:shd w:val="clear" w:color="auto" w:fill="auto"/>
                  <w:noWrap w:val="0"/>
                  <w:vAlign w:val="center"/>
                </w:tcPr>
                <w:p w14:paraId="54E098FD">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无色、易挥发的直链烷烃，是典型的非极性有机溶剂。常温下为无色透明液体，具有微弱的特殊气味。沸点约68.7℃，熔点约95.3℃，常温下易挥发。20℃时密度约为0.659g/cm³，挥发性与蒸气压：挥发性强，20℃时蒸气压约17.3kPa，易形成可燃蒸气。</w:t>
                  </w:r>
                </w:p>
              </w:tc>
            </w:tr>
            <w:tr w14:paraId="0D84BB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1A9779F">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77B82727">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抗坏血酸</w:t>
                  </w:r>
                </w:p>
              </w:tc>
              <w:tc>
                <w:tcPr>
                  <w:tcW w:w="6261" w:type="dxa"/>
                  <w:tcBorders>
                    <w:tl2br w:val="nil"/>
                    <w:tr2bl w:val="nil"/>
                  </w:tcBorders>
                  <w:shd w:val="clear" w:color="auto" w:fill="auto"/>
                  <w:noWrap w:val="0"/>
                  <w:vAlign w:val="center"/>
                </w:tcPr>
                <w:p w14:paraId="5A8C25A2">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维生素C（VitaminC，AscorbicAcid）又叫L-抗坏血酸，是一种水溶性维生素，水果和蔬菜中含量丰富。在氧化还原代谢反应中起调节作用。</w:t>
                  </w:r>
                </w:p>
              </w:tc>
            </w:tr>
            <w:tr w14:paraId="12B1F8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54E6D3BF">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3C7D178D">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氯化钠</w:t>
                  </w:r>
                </w:p>
              </w:tc>
              <w:tc>
                <w:tcPr>
                  <w:tcW w:w="6261" w:type="dxa"/>
                  <w:tcBorders>
                    <w:tl2br w:val="nil"/>
                    <w:tr2bl w:val="nil"/>
                  </w:tcBorders>
                  <w:shd w:val="clear" w:color="auto" w:fill="auto"/>
                  <w:noWrap w:val="0"/>
                  <w:vAlign w:val="center"/>
                </w:tcPr>
                <w:p w14:paraId="6C0F5B39">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无色无味固体</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pH值</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4.5-7.0(100g/lH2O，20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801</w:t>
                  </w:r>
                  <w:r>
                    <w:rPr>
                      <w:rFonts w:hint="eastAsia" w:ascii="Times New Roman" w:hAnsi="Times New Roman" w:eastAsia="宋体" w:cs="Times New Roman"/>
                      <w:color w:val="auto"/>
                      <w:szCs w:val="21"/>
                      <w:highlight w:val="none"/>
                      <w:shd w:val="clear" w:color="auto" w:fill="FFFFFF"/>
                      <w:lang w:val="en-US" w:eastAsia="zh-CN"/>
                    </w:rPr>
                    <w:t>，体</w:t>
                  </w:r>
                  <w:r>
                    <w:rPr>
                      <w:rFonts w:hint="default" w:ascii="Times New Roman" w:hAnsi="Times New Roman" w:eastAsia="宋体" w:cs="Times New Roman"/>
                      <w:color w:val="auto"/>
                      <w:szCs w:val="21"/>
                      <w:highlight w:val="none"/>
                      <w:shd w:val="clear" w:color="auto" w:fill="FFFFFF"/>
                      <w:lang w:val="en-US" w:eastAsia="zh-CN"/>
                    </w:rPr>
                    <w:t>积密度</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1140kg/m</w:t>
                  </w:r>
                  <w:r>
                    <w:rPr>
                      <w:rFonts w:hint="default" w:ascii="Times New Roman" w:hAnsi="Times New Roman" w:eastAsia="宋体" w:cs="Times New Roman"/>
                      <w:color w:val="auto"/>
                      <w:szCs w:val="21"/>
                      <w:highlight w:val="none"/>
                      <w:shd w:val="clear" w:color="auto" w:fill="FFFFFF"/>
                      <w:vertAlign w:val="superscript"/>
                      <w:lang w:val="en-US" w:eastAsia="zh-CN"/>
                    </w:rPr>
                    <w:t>3</w:t>
                  </w:r>
                  <w:r>
                    <w:rPr>
                      <w:rFonts w:hint="eastAsia" w:ascii="Times New Roman" w:hAnsi="Times New Roman" w:cs="Times New Roman"/>
                      <w:color w:val="auto"/>
                      <w:szCs w:val="21"/>
                      <w:highlight w:val="none"/>
                      <w:shd w:val="clear" w:color="auto" w:fill="FFFFFF"/>
                      <w:lang w:val="en-US" w:eastAsia="zh-CN"/>
                    </w:rPr>
                    <w:t>。</w:t>
                  </w:r>
                </w:p>
              </w:tc>
            </w:tr>
            <w:tr w14:paraId="3102C2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63635E23">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335E1F58">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氢氧化钾</w:t>
                  </w:r>
                </w:p>
              </w:tc>
              <w:tc>
                <w:tcPr>
                  <w:tcW w:w="6261" w:type="dxa"/>
                  <w:tcBorders>
                    <w:tl2br w:val="nil"/>
                    <w:tr2bl w:val="nil"/>
                  </w:tcBorders>
                  <w:shd w:val="clear" w:color="auto" w:fill="auto"/>
                  <w:noWrap w:val="0"/>
                  <w:vAlign w:val="center"/>
                </w:tcPr>
                <w:p w14:paraId="2ADC5371">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外观与性状</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白色片状</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pH值(指明浓度)</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13.5</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初沸点和沸程</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1324</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熔点/凝固点(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380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折射率n20/D1.421</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蒸汽压1mmHg(719℃)相对密度(水=1)</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2.04(20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溶解性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与水混溶</w:t>
                  </w:r>
                  <w:r>
                    <w:rPr>
                      <w:rFonts w:hint="eastAsia" w:ascii="Times New Roman" w:hAnsi="Times New Roman" w:eastAsia="宋体" w:cs="Times New Roman"/>
                      <w:color w:val="auto"/>
                      <w:szCs w:val="21"/>
                      <w:highlight w:val="none"/>
                      <w:shd w:val="clear" w:color="auto" w:fill="FFFFFF"/>
                      <w:lang w:val="en-US" w:eastAsia="zh-CN"/>
                    </w:rPr>
                    <w:t>。</w:t>
                  </w:r>
                </w:p>
              </w:tc>
            </w:tr>
            <w:tr w14:paraId="6FCA2D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8FF0451">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323CB144">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氢氧化钠</w:t>
                  </w:r>
                </w:p>
              </w:tc>
              <w:tc>
                <w:tcPr>
                  <w:tcW w:w="6261" w:type="dxa"/>
                  <w:tcBorders>
                    <w:tl2br w:val="nil"/>
                    <w:tr2bl w:val="nil"/>
                  </w:tcBorders>
                  <w:shd w:val="clear" w:color="auto" w:fill="auto"/>
                  <w:noWrap w:val="0"/>
                  <w:vAlign w:val="center"/>
                </w:tcPr>
                <w:p w14:paraId="1D5021CF">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外观与性状</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白色不透明固体，易潮解。熔点(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318.4。沸点(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1390。相对密度(水=1)</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2.12。饱和蒸气压0.13(739</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)(kPa)。溶解性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易溶于水、乙醇、甘油，不溶于丙酮。</w:t>
                  </w:r>
                </w:p>
              </w:tc>
            </w:tr>
            <w:tr w14:paraId="3F7C88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221BB64B">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3C9B4834">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高锰酸钾</w:t>
                  </w:r>
                </w:p>
              </w:tc>
              <w:tc>
                <w:tcPr>
                  <w:tcW w:w="6261" w:type="dxa"/>
                  <w:tcBorders>
                    <w:tl2br w:val="nil"/>
                    <w:tr2bl w:val="nil"/>
                  </w:tcBorders>
                  <w:shd w:val="clear" w:color="auto" w:fill="auto"/>
                  <w:noWrap w:val="0"/>
                  <w:vAlign w:val="center"/>
                </w:tcPr>
                <w:p w14:paraId="106AE4E6">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外观：黑紫色结晶，带蓝色的金属光泽。受热易分解，在240°C左右时发生分解反应，生成锰酸钾、二氧化锰和氧气等</w:t>
                  </w:r>
                  <w:r>
                    <w:rPr>
                      <w:rFonts w:hint="eastAsia" w:ascii="Times New Roman" w:hAnsi="Times New Roman" w:eastAsia="宋体" w:cs="Times New Roman"/>
                      <w:color w:val="auto"/>
                      <w:szCs w:val="21"/>
                      <w:highlight w:val="none"/>
                      <w:shd w:val="clear" w:color="auto" w:fill="FFFFFF"/>
                      <w:lang w:val="en-US" w:eastAsia="zh-CN"/>
                    </w:rPr>
                    <w:t>。</w:t>
                  </w:r>
                </w:p>
              </w:tc>
            </w:tr>
            <w:tr w14:paraId="3F4EDF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578EBD7A">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25E420A1">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过氧化氢</w:t>
                  </w:r>
                </w:p>
              </w:tc>
              <w:tc>
                <w:tcPr>
                  <w:tcW w:w="6261" w:type="dxa"/>
                  <w:tcBorders>
                    <w:tl2br w:val="nil"/>
                    <w:tr2bl w:val="nil"/>
                  </w:tcBorders>
                  <w:shd w:val="clear" w:color="auto" w:fill="auto"/>
                  <w:noWrap w:val="0"/>
                  <w:vAlign w:val="center"/>
                </w:tcPr>
                <w:p w14:paraId="7E5919B4">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是一种强氧化剂，其氧化能力受pH影响很大，在酸性溶液中氧化能力最强。在酸性介质中，其还原产物为二价锰离子（Mn²⁺）</w:t>
                  </w:r>
                  <w:r>
                    <w:rPr>
                      <w:rFonts w:hint="eastAsia" w:ascii="Times New Roman" w:hAnsi="Times New Roman" w:eastAsia="宋体" w:cs="Times New Roman"/>
                      <w:color w:val="auto"/>
                      <w:szCs w:val="21"/>
                      <w:highlight w:val="none"/>
                      <w:shd w:val="clear" w:color="auto" w:fill="FFFFFF"/>
                      <w:lang w:val="en-US" w:eastAsia="zh-CN"/>
                    </w:rPr>
                    <w:t>。</w:t>
                  </w:r>
                </w:p>
              </w:tc>
            </w:tr>
            <w:tr w14:paraId="5A6589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78BA99C0">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2A45327A">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铬酸钾</w:t>
                  </w:r>
                </w:p>
              </w:tc>
              <w:tc>
                <w:tcPr>
                  <w:tcW w:w="6261" w:type="dxa"/>
                  <w:tcBorders>
                    <w:tl2br w:val="nil"/>
                    <w:tr2bl w:val="nil"/>
                  </w:tcBorders>
                  <w:shd w:val="clear" w:color="auto" w:fill="auto"/>
                  <w:noWrap w:val="0"/>
                  <w:vAlign w:val="center"/>
                </w:tcPr>
                <w:p w14:paraId="5FFAD5E7">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一个黄色固体，是</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"https://baike.so.com/doc/5710042-7117149.html"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铬酸</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所成的钾盐，用于鉴别氯离子</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铬酸钾中铬为六价，属于二级</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"https://baike.so.com/doc/5696479-5909184.html"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致癌物质</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，吸入或吞食会导致癌症。</w:t>
                  </w:r>
                </w:p>
              </w:tc>
            </w:tr>
            <w:tr w14:paraId="30D58B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328C025E">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ABED335">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酚酞</w:t>
                  </w:r>
                </w:p>
              </w:tc>
              <w:tc>
                <w:tcPr>
                  <w:tcW w:w="6261" w:type="dxa"/>
                  <w:tcBorders>
                    <w:tl2br w:val="nil"/>
                    <w:tr2bl w:val="nil"/>
                  </w:tcBorders>
                  <w:shd w:val="clear" w:color="auto" w:fill="auto"/>
                  <w:noWrap w:val="0"/>
                  <w:vAlign w:val="center"/>
                </w:tcPr>
                <w:p w14:paraId="25D79499">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白色或浅黄色三斜细小结晶，无味，在空气中稳定；1g溶于12mL乙醇、约100mL乙醚，溶于稀碱溶液呈深红色，极微溶于氯仿，几乎不溶于水；熔点262.5°C，密度1.227g/cm³（32°C）</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在酸性和中性溶液中为无色，在碱性溶液中为紫红色，极强酸性溶液中为橙色，极强碱性溶液中无色。</w:t>
                  </w:r>
                </w:p>
              </w:tc>
            </w:tr>
            <w:tr w14:paraId="6796A8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5505348D">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6CB0AF3D">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硝酸银</w:t>
                  </w:r>
                </w:p>
              </w:tc>
              <w:tc>
                <w:tcPr>
                  <w:tcW w:w="6261" w:type="dxa"/>
                  <w:tcBorders>
                    <w:tl2br w:val="nil"/>
                    <w:tr2bl w:val="nil"/>
                  </w:tcBorders>
                  <w:shd w:val="clear" w:color="auto" w:fill="auto"/>
                  <w:noWrap w:val="0"/>
                  <w:vAlign w:val="center"/>
                </w:tcPr>
                <w:p w14:paraId="61EC993D">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一种重要的无机银盐，无色透明的斜方晶系片状晶体，或白色结晶性粉末。无臭。熔点：212℃，温度超过熔点后会分解。易溶于水，20℃时溶解度约为222g/100mL；可溶于氨水、甘油，微溶于乙醇，不溶于浓硝酸。</w:t>
                  </w:r>
                </w:p>
              </w:tc>
            </w:tr>
            <w:tr w14:paraId="07E70B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47AF7BDD">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517A82FE">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碳酸钠</w:t>
                  </w:r>
                </w:p>
              </w:tc>
              <w:tc>
                <w:tcPr>
                  <w:tcW w:w="6261" w:type="dxa"/>
                  <w:tcBorders>
                    <w:tl2br w:val="nil"/>
                    <w:tr2bl w:val="nil"/>
                  </w:tcBorders>
                  <w:shd w:val="clear" w:color="auto" w:fill="auto"/>
                  <w:noWrap w:val="0"/>
                  <w:vAlign w:val="center"/>
                </w:tcPr>
                <w:p w14:paraId="4C3187FB">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俗称</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苛性钠</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火碱</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，是一种具有强腐蚀性的强碱</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强腐蚀性，危害皮肤黏膜，需严格防护，接触后立即用清水冲洗并就医</w:t>
                  </w:r>
                  <w:r>
                    <w:rPr>
                      <w:rFonts w:hint="eastAsia" w:ascii="Times New Roman" w:hAnsi="Times New Roman" w:eastAsia="宋体" w:cs="Times New Roman"/>
                      <w:color w:val="auto"/>
                      <w:szCs w:val="21"/>
                      <w:highlight w:val="none"/>
                      <w:shd w:val="clear" w:color="auto" w:fill="FFFFFF"/>
                      <w:lang w:val="en-US" w:eastAsia="zh-CN"/>
                    </w:rPr>
                    <w:t>。</w:t>
                  </w:r>
                </w:p>
              </w:tc>
            </w:tr>
            <w:tr w14:paraId="546FAB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6AEF308D">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73D6D985">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乙酸锌</w:t>
                  </w:r>
                </w:p>
              </w:tc>
              <w:tc>
                <w:tcPr>
                  <w:tcW w:w="6261" w:type="dxa"/>
                  <w:tcBorders>
                    <w:tl2br w:val="nil"/>
                    <w:tr2bl w:val="nil"/>
                  </w:tcBorders>
                  <w:shd w:val="clear" w:color="auto" w:fill="auto"/>
                  <w:noWrap w:val="0"/>
                  <w:vAlign w:val="center"/>
                </w:tcPr>
                <w:p w14:paraId="538347B9">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白色单斜片状晶体或白色结晶性粉末，无臭</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易溶于水，20℃时溶解度约为43g/100 mL；可溶于乙醇，微溶于乙醚和丙酮，不溶于苯。熔点：无水乙酸锌熔点约为237℃，加热至更高温度（约300℃）会分解。热分解性：受热易分解，温度超过300℃时，会分解生成氧化锌、乙酸酐、二氧化碳和甲烷等产物，无明确沸点。</w:t>
                  </w:r>
                </w:p>
              </w:tc>
            </w:tr>
            <w:tr w14:paraId="2B4B32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93115F7">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5591FF68">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甲基橙</w:t>
                  </w:r>
                </w:p>
              </w:tc>
              <w:tc>
                <w:tcPr>
                  <w:tcW w:w="6261" w:type="dxa"/>
                  <w:tcBorders>
                    <w:tl2br w:val="nil"/>
                    <w:tr2bl w:val="nil"/>
                  </w:tcBorders>
                  <w:shd w:val="clear" w:color="auto" w:fill="auto"/>
                  <w:noWrap w:val="0"/>
                  <w:vAlign w:val="center"/>
                </w:tcPr>
                <w:p w14:paraId="003BE298">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熔点：300℃</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密度：0.987g/cm³</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闪点：37℃</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外观：黄色至橙黄色粉末</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弱碱性，变色范围介于pH值3.1～4.4之间。具体变色情况为：pH≦3.1时呈红色，3.1～4.4时呈橙色，pH≧4.4时呈黄色。</w:t>
                  </w:r>
                </w:p>
              </w:tc>
            </w:tr>
            <w:tr w14:paraId="22721B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6720A7DE">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766F1523">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氯化铁</w:t>
                  </w:r>
                </w:p>
              </w:tc>
              <w:tc>
                <w:tcPr>
                  <w:tcW w:w="6261" w:type="dxa"/>
                  <w:tcBorders>
                    <w:tl2br w:val="nil"/>
                    <w:tr2bl w:val="nil"/>
                  </w:tcBorders>
                  <w:shd w:val="clear" w:color="auto" w:fill="auto"/>
                  <w:noWrap w:val="0"/>
                  <w:vAlign w:val="center"/>
                </w:tcPr>
                <w:p w14:paraId="1316F8AD">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氯化铁是一种共价无机化合物，化学式FeCl3。是一种共价化合物。为黑棕色结晶，也有薄片状，熔点306℃、沸点316℃ ，易溶于水并且有强烈的</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"https://baike.so.com/doc/6728418-6942701.html"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吸水性</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，能吸收空气里的水分而潮解。FeCl3从水溶液析出时带六个</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"https://baike.so.com/doc/6031438-6244439.html"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结晶水</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为FeCl3·6H2O，六水合氯化铁是橘黄色的晶体。氯化铁是一种很重要的</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"https://baike.so.com/doc/1671389-1767153.html"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铁盐</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w:t>
                  </w:r>
                </w:p>
              </w:tc>
            </w:tr>
            <w:tr w14:paraId="388290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8F0ADB1">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4E153A30">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氨水</w:t>
                  </w:r>
                </w:p>
              </w:tc>
              <w:tc>
                <w:tcPr>
                  <w:tcW w:w="6261" w:type="dxa"/>
                  <w:tcBorders>
                    <w:tl2br w:val="nil"/>
                    <w:tr2bl w:val="nil"/>
                  </w:tcBorders>
                  <w:shd w:val="clear" w:color="auto" w:fill="auto"/>
                  <w:noWrap w:val="0"/>
                  <w:vAlign w:val="center"/>
                </w:tcPr>
                <w:p w14:paraId="30110C58">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溶于水、易挥发，对眼、鼻、皮肤有刺激性和腐蚀性，能使人窒息，</w:t>
                  </w:r>
                </w:p>
                <w:p w14:paraId="4DAD649B">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熔点</w:t>
                  </w:r>
                  <w:r>
                    <w:rPr>
                      <w:rFonts w:hint="default" w:ascii="Times New Roman" w:hAnsi="Times New Roman" w:eastAsia="宋体" w:cs="Times New Roman"/>
                      <w:color w:val="auto"/>
                      <w:szCs w:val="21"/>
                      <w:highlight w:val="none"/>
                      <w:shd w:val="clear" w:color="auto" w:fill="FFFFFF"/>
                      <w:lang w:val="en-US" w:eastAsia="zh-CN"/>
                    </w:rPr>
                    <w:t>-77℃</w:t>
                  </w:r>
                  <w:r>
                    <w:rPr>
                      <w:rFonts w:hint="eastAsia" w:ascii="Times New Roman" w:hAnsi="Times New Roman" w:eastAsia="宋体" w:cs="Times New Roman"/>
                      <w:color w:val="auto"/>
                      <w:szCs w:val="21"/>
                      <w:highlight w:val="none"/>
                      <w:shd w:val="clear" w:color="auto" w:fill="FFFFFF"/>
                      <w:lang w:val="en-US" w:eastAsia="zh-CN"/>
                    </w:rPr>
                    <w:t>，沸点</w:t>
                  </w:r>
                  <w:r>
                    <w:rPr>
                      <w:rFonts w:hint="default" w:ascii="Times New Roman" w:hAnsi="Times New Roman" w:eastAsia="宋体" w:cs="Times New Roman"/>
                      <w:color w:val="auto"/>
                      <w:szCs w:val="21"/>
                      <w:highlight w:val="none"/>
                      <w:shd w:val="clear" w:color="auto" w:fill="FFFFFF"/>
                      <w:lang w:val="en-US" w:eastAsia="zh-CN"/>
                    </w:rPr>
                    <w:t>36℃</w:t>
                  </w:r>
                  <w:r>
                    <w:rPr>
                      <w:rFonts w:hint="eastAsia" w:ascii="Times New Roman" w:hAnsi="Times New Roman" w:eastAsia="宋体" w:cs="Times New Roman"/>
                      <w:color w:val="auto"/>
                      <w:szCs w:val="21"/>
                      <w:highlight w:val="none"/>
                      <w:shd w:val="clear" w:color="auto" w:fill="FFFFFF"/>
                      <w:lang w:val="en-US" w:eastAsia="zh-CN"/>
                    </w:rPr>
                    <w:t>，密度</w:t>
                  </w:r>
                  <w:r>
                    <w:rPr>
                      <w:rFonts w:hint="default" w:ascii="Times New Roman" w:hAnsi="Times New Roman" w:eastAsia="宋体" w:cs="Times New Roman"/>
                      <w:color w:val="auto"/>
                      <w:szCs w:val="21"/>
                      <w:highlight w:val="none"/>
                      <w:shd w:val="clear" w:color="auto" w:fill="FFFFFF"/>
                      <w:lang w:val="en-US" w:eastAsia="zh-CN"/>
                    </w:rPr>
                    <w:t>0.9</w:t>
                  </w:r>
                  <w:r>
                    <w:rPr>
                      <w:rFonts w:hint="eastAsia" w:ascii="Times New Roman" w:hAnsi="Times New Roman" w:eastAsia="宋体" w:cs="Times New Roman"/>
                      <w:color w:val="auto"/>
                      <w:szCs w:val="21"/>
                      <w:highlight w:val="none"/>
                      <w:shd w:val="clear" w:color="auto" w:fill="FFFFFF"/>
                      <w:lang w:val="en-US" w:eastAsia="zh-CN"/>
                    </w:rPr>
                    <w:t>08</w:t>
                  </w:r>
                  <w:r>
                    <w:rPr>
                      <w:rFonts w:hint="default" w:ascii="Times New Roman" w:hAnsi="Times New Roman" w:eastAsia="宋体" w:cs="Times New Roman"/>
                      <w:color w:val="auto"/>
                      <w:szCs w:val="21"/>
                      <w:highlight w:val="none"/>
                      <w:shd w:val="clear" w:color="auto" w:fill="FFFFFF"/>
                      <w:lang w:val="en-US" w:eastAsia="zh-CN"/>
                    </w:rPr>
                    <w:t>g/cm3</w:t>
                  </w:r>
                  <w:r>
                    <w:rPr>
                      <w:rFonts w:hint="eastAsia" w:ascii="Times New Roman" w:hAnsi="Times New Roman" w:eastAsia="宋体" w:cs="Times New Roman"/>
                      <w:color w:val="auto"/>
                      <w:szCs w:val="21"/>
                      <w:highlight w:val="none"/>
                      <w:shd w:val="clear" w:color="auto" w:fill="FFFFFF"/>
                      <w:lang w:val="en-US" w:eastAsia="zh-CN"/>
                    </w:rPr>
                    <w:t>。</w:t>
                  </w:r>
                </w:p>
              </w:tc>
            </w:tr>
            <w:tr w14:paraId="411562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1B04C4A5">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18DB563">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硫酸</w:t>
                  </w:r>
                </w:p>
              </w:tc>
              <w:tc>
                <w:tcPr>
                  <w:tcW w:w="6261" w:type="dxa"/>
                  <w:tcBorders>
                    <w:tl2br w:val="nil"/>
                    <w:tr2bl w:val="nil"/>
                  </w:tcBorders>
                  <w:shd w:val="clear" w:color="auto" w:fill="auto"/>
                  <w:noWrap w:val="0"/>
                  <w:vAlign w:val="center"/>
                </w:tcPr>
                <w:p w14:paraId="22006771">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无水硫酸为无色油状液体，通常使用的是它的各种不同浓度的水溶液</w:t>
                  </w:r>
                  <w:r>
                    <w:rPr>
                      <w:rFonts w:hint="eastAsia" w:ascii="Times New Roman" w:hAnsi="Times New Roman" w:eastAsia="宋体" w:cs="Times New Roman"/>
                      <w:color w:val="auto"/>
                      <w:szCs w:val="21"/>
                      <w:highlight w:val="none"/>
                      <w:shd w:val="clear" w:color="auto" w:fill="FFFFFF"/>
                      <w:lang w:val="en-US" w:eastAsia="zh-CN"/>
                    </w:rPr>
                    <w:t>，具有氧化性、吸收性</w:t>
                  </w:r>
                  <w:r>
                    <w:rPr>
                      <w:rFonts w:hint="default" w:ascii="Times New Roman" w:hAnsi="Times New Roman" w:eastAsia="宋体" w:cs="Times New Roman"/>
                      <w:color w:val="auto"/>
                      <w:szCs w:val="21"/>
                      <w:highlight w:val="none"/>
                      <w:shd w:val="clear" w:color="auto" w:fill="FFFFFF"/>
                      <w:lang w:val="en-US" w:eastAsia="zh-CN"/>
                    </w:rPr>
                    <w:t>，沸点338℃，相对密度1.8</w:t>
                  </w:r>
                  <w:r>
                    <w:rPr>
                      <w:rFonts w:hint="eastAsia" w:ascii="Times New Roman" w:hAnsi="Times New Roman" w:cs="Times New Roman"/>
                      <w:color w:val="auto"/>
                      <w:szCs w:val="21"/>
                      <w:highlight w:val="none"/>
                      <w:shd w:val="clear" w:color="auto" w:fill="FFFFFF"/>
                      <w:lang w:val="en-US" w:eastAsia="zh-CN"/>
                    </w:rPr>
                    <w:t>36</w:t>
                  </w:r>
                  <w:r>
                    <w:rPr>
                      <w:rFonts w:hint="default" w:ascii="Times New Roman" w:hAnsi="Times New Roman" w:eastAsia="宋体" w:cs="Times New Roman"/>
                      <w:color w:val="auto"/>
                      <w:szCs w:val="21"/>
                      <w:highlight w:val="none"/>
                      <w:shd w:val="clear" w:color="auto" w:fill="FFFFFF"/>
                      <w:lang w:val="en-US" w:eastAsia="zh-CN"/>
                    </w:rPr>
                    <w:t>。</w:t>
                  </w:r>
                </w:p>
              </w:tc>
            </w:tr>
            <w:tr w14:paraId="4FA1CF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2A8CB73D">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69283296">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草酸</w:t>
                  </w:r>
                </w:p>
              </w:tc>
              <w:tc>
                <w:tcPr>
                  <w:tcW w:w="6261" w:type="dxa"/>
                  <w:tcBorders>
                    <w:tl2br w:val="nil"/>
                    <w:tr2bl w:val="nil"/>
                  </w:tcBorders>
                  <w:shd w:val="clear" w:color="auto" w:fill="auto"/>
                  <w:noWrap w:val="0"/>
                  <w:vAlign w:val="center"/>
                </w:tcPr>
                <w:p w14:paraId="201866BF">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密度1.8±0.1g/cm</w:t>
                  </w:r>
                  <w:r>
                    <w:rPr>
                      <w:rFonts w:hint="default" w:ascii="Times New Roman" w:hAnsi="Times New Roman" w:eastAsia="宋体" w:cs="Times New Roman"/>
                      <w:color w:val="auto"/>
                      <w:szCs w:val="21"/>
                      <w:highlight w:val="none"/>
                      <w:shd w:val="clear" w:color="auto" w:fill="FFFFFF"/>
                      <w:vertAlign w:val="superscript"/>
                      <w:lang w:val="en-US" w:eastAsia="zh-CN"/>
                    </w:rPr>
                    <w:t>3</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沸点365.1±25.0°Cat760mmHg</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熔点189.5°C(dec.)(lit.)</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分子式C2H2O4</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分子量90.035</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闪点188.8±19.7°C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外观性状无气味的白色固体</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蒸汽密度4.4(vsair)</w:t>
                  </w:r>
                  <w:r>
                    <w:rPr>
                      <w:rFonts w:hint="eastAsia" w:ascii="Times New Roman" w:hAnsi="Times New Roman" w:eastAsia="宋体" w:cs="Times New Roman"/>
                      <w:color w:val="auto"/>
                      <w:szCs w:val="21"/>
                      <w:highlight w:val="none"/>
                      <w:shd w:val="clear" w:color="auto" w:fill="FFFFFF"/>
                      <w:lang w:val="en-US" w:eastAsia="zh-CN"/>
                    </w:rPr>
                    <w:t>。</w:t>
                  </w:r>
                </w:p>
              </w:tc>
            </w:tr>
            <w:tr w14:paraId="371E75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3468ECE5">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C6B8F85">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硝酸</w:t>
                  </w:r>
                </w:p>
              </w:tc>
              <w:tc>
                <w:tcPr>
                  <w:tcW w:w="6261" w:type="dxa"/>
                  <w:tcBorders>
                    <w:tl2br w:val="nil"/>
                    <w:tr2bl w:val="nil"/>
                  </w:tcBorders>
                  <w:shd w:val="clear" w:color="auto" w:fill="auto"/>
                  <w:noWrap w:val="0"/>
                  <w:vAlign w:val="center"/>
                </w:tcPr>
                <w:p w14:paraId="46D9DEA0">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强氧化性、腐蚀性的强酸</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熔点:-42℃，沸点:78℃，易溶于水，常温下纯硝酸溶液无色透明</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硝酸不稳定，遇光或热会分解而放出二氧化氮，分解产生的二氧化氮溶于硝酸，从而使外观带有浅黄色，应在棕色瓶中于阴暗处避光保存，严禁与还原剂接触，相对密度1.</w:t>
                  </w:r>
                  <w:r>
                    <w:rPr>
                      <w:rFonts w:hint="eastAsia" w:ascii="Times New Roman" w:hAnsi="Times New Roman" w:cs="Times New Roman"/>
                      <w:color w:val="auto"/>
                      <w:szCs w:val="21"/>
                      <w:highlight w:val="none"/>
                      <w:shd w:val="clear" w:color="auto" w:fill="FFFFFF"/>
                      <w:lang w:val="en-US" w:eastAsia="zh-CN"/>
                    </w:rPr>
                    <w:t>649</w:t>
                  </w:r>
                  <w:r>
                    <w:rPr>
                      <w:rFonts w:hint="default" w:ascii="Times New Roman" w:hAnsi="Times New Roman" w:eastAsia="宋体" w:cs="Times New Roman"/>
                      <w:color w:val="auto"/>
                      <w:szCs w:val="21"/>
                      <w:highlight w:val="none"/>
                      <w:shd w:val="clear" w:color="auto" w:fill="FFFFFF"/>
                      <w:lang w:val="en-US" w:eastAsia="zh-CN"/>
                    </w:rPr>
                    <w:t>。</w:t>
                  </w:r>
                </w:p>
              </w:tc>
            </w:tr>
            <w:tr w14:paraId="6B1B8A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1876E3F1">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2E1A9D6D">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eastAsia="宋体" w:cs="Times New Roman"/>
                      <w:color w:val="auto"/>
                      <w:szCs w:val="21"/>
                      <w:highlight w:val="none"/>
                      <w:shd w:val="clear" w:color="auto" w:fill="FFFFFF"/>
                      <w:lang w:val="en-US" w:eastAsia="zh-CN"/>
                    </w:rPr>
                    <w:t>盐酸</w:t>
                  </w:r>
                </w:p>
              </w:tc>
              <w:tc>
                <w:tcPr>
                  <w:tcW w:w="6261" w:type="dxa"/>
                  <w:tcBorders>
                    <w:tl2br w:val="nil"/>
                    <w:tr2bl w:val="nil"/>
                  </w:tcBorders>
                  <w:shd w:val="clear" w:color="auto" w:fill="auto"/>
                  <w:noWrap w:val="0"/>
                  <w:vAlign w:val="center"/>
                </w:tcPr>
                <w:p w14:paraId="525C34C0">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氯化氢(HCl)的水溶液</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性状为无色透明的液体，有强烈的刺鼻气味，具有较高的腐蚀性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浓盐酸(质量分数约为37%)具有极强的挥发性，因此盛有浓盐酸的容器打开后氯化氢气体会挥发。</w:t>
                  </w:r>
                </w:p>
              </w:tc>
            </w:tr>
            <w:tr w14:paraId="16D50A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96427AE">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157A4CC3">
                  <w:pPr>
                    <w:jc w:val="center"/>
                    <w:rPr>
                      <w:rFonts w:hint="default" w:ascii="Times New Roman" w:hAnsi="Times New Roman" w:eastAsia="宋体" w:cs="Times New Roman"/>
                      <w:kern w:val="2"/>
                      <w:sz w:val="21"/>
                      <w:szCs w:val="24"/>
                      <w:lang w:val="en-US" w:eastAsia="zh-CN" w:bidi="ar-SA"/>
                    </w:rPr>
                  </w:pPr>
                  <w:r>
                    <w:rPr>
                      <w:rFonts w:hint="eastAsia"/>
                    </w:rPr>
                    <w:t>高氯酸</w:t>
                  </w:r>
                </w:p>
              </w:tc>
              <w:tc>
                <w:tcPr>
                  <w:tcW w:w="6261" w:type="dxa"/>
                  <w:tcBorders>
                    <w:tl2br w:val="nil"/>
                    <w:tr2bl w:val="nil"/>
                  </w:tcBorders>
                  <w:shd w:val="clear" w:color="auto" w:fill="auto"/>
                  <w:noWrap w:val="0"/>
                  <w:vAlign w:val="center"/>
                </w:tcPr>
                <w:p w14:paraId="1DDABB34">
                  <w:pPr>
                    <w:spacing w:before="51" w:line="240" w:lineRule="auto"/>
                    <w:jc w:val="both"/>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无机化合物，六大无机强酸之一，氯的含氧酸。是无色透明的发烟液体。高氯酸在无机含氧酸中</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"https://baike.so.com/doc/406233-430177.html"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酸性</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最强。可助燃，具强腐蚀性、强刺激性，可致人体灼伤。</w:t>
                  </w:r>
                </w:p>
              </w:tc>
            </w:tr>
            <w:tr w14:paraId="3798C2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4EAE6F3B">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444964B7">
                  <w:pPr>
                    <w:jc w:val="center"/>
                    <w:rPr>
                      <w:rFonts w:hint="default" w:ascii="Times New Roman" w:hAnsi="Times New Roman" w:eastAsia="宋体" w:cs="Times New Roman"/>
                      <w:kern w:val="2"/>
                      <w:sz w:val="21"/>
                      <w:szCs w:val="24"/>
                      <w:lang w:val="en-US" w:eastAsia="zh-CN" w:bidi="ar-SA"/>
                    </w:rPr>
                  </w:pPr>
                  <w:r>
                    <w:rPr>
                      <w:rFonts w:hint="eastAsia"/>
                    </w:rPr>
                    <w:t>磷酸</w:t>
                  </w:r>
                </w:p>
              </w:tc>
              <w:tc>
                <w:tcPr>
                  <w:tcW w:w="6261" w:type="dxa"/>
                  <w:tcBorders>
                    <w:tl2br w:val="nil"/>
                    <w:tr2bl w:val="nil"/>
                  </w:tcBorders>
                  <w:shd w:val="clear" w:color="auto" w:fill="auto"/>
                  <w:noWrap w:val="0"/>
                  <w:vAlign w:val="center"/>
                </w:tcPr>
                <w:p w14:paraId="28F968D9">
                  <w:pPr>
                    <w:spacing w:before="51" w:line="240" w:lineRule="auto"/>
                    <w:jc w:val="both"/>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一种常见的</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"https://baike.so.com/doc/6275961-6489395.html"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无机酸</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，是</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"https://baike.so.com/doc/7777042-8051137.html"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中强酸</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。由十氧化四磷溶于热水中即可得到。正磷酸工业上用硫酸处理</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"https://baike.so.com/doc/3962310-4157854.html"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磷灰石</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即得。磷酸在空气中容易</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"https://baike.so.com/doc/5791570-6004362.html"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潮解</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。加热会失水得到</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"https://baike.so.com/doc/5575148-7117205.html"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焦磷酸</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，再进一步失水得到</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"https://baike.so.com/doc/6677317-7116822.html"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偏磷酸</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w:t>
                  </w:r>
                </w:p>
              </w:tc>
            </w:tr>
            <w:tr w14:paraId="1E684D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1619AA80">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6B71F9E0">
                  <w:pPr>
                    <w:jc w:val="center"/>
                    <w:rPr>
                      <w:rFonts w:hint="default" w:ascii="Times New Roman" w:hAnsi="Times New Roman" w:eastAsia="宋体" w:cs="Times New Roman"/>
                      <w:kern w:val="2"/>
                      <w:sz w:val="21"/>
                      <w:szCs w:val="24"/>
                      <w:lang w:val="en-US" w:eastAsia="zh-CN" w:bidi="ar-SA"/>
                    </w:rPr>
                  </w:pPr>
                  <w:r>
                    <w:rPr>
                      <w:rFonts w:hint="eastAsia"/>
                    </w:rPr>
                    <w:t>冰醋酸</w:t>
                  </w:r>
                </w:p>
              </w:tc>
              <w:tc>
                <w:tcPr>
                  <w:tcW w:w="6261" w:type="dxa"/>
                  <w:tcBorders>
                    <w:tl2br w:val="nil"/>
                    <w:tr2bl w:val="nil"/>
                  </w:tcBorders>
                  <w:shd w:val="clear" w:color="auto" w:fill="auto"/>
                  <w:noWrap w:val="0"/>
                  <w:vAlign w:val="center"/>
                </w:tcPr>
                <w:p w14:paraId="74291B2D">
                  <w:pPr>
                    <w:spacing w:before="51" w:line="240" w:lineRule="auto"/>
                    <w:jc w:val="both"/>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一种有机一元酸</w:t>
                  </w:r>
                  <w:r>
                    <w:rPr>
                      <w:rFonts w:hint="eastAsia" w:ascii="Times New Roman" w:hAnsi="Times New Roman" w:eastAsia="宋体" w:cs="Times New Roman"/>
                      <w:color w:val="auto"/>
                      <w:kern w:val="2"/>
                      <w:sz w:val="21"/>
                      <w:szCs w:val="21"/>
                      <w:highlight w:val="none"/>
                      <w:shd w:val="clear" w:color="auto" w:fill="FFFFFF"/>
                      <w:lang w:val="en-US" w:eastAsia="zh-CN" w:bidi="ar-SA"/>
                    </w:rPr>
                    <w:t>；</w:t>
                  </w:r>
                  <w:r>
                    <w:rPr>
                      <w:rFonts w:hint="default" w:ascii="Times New Roman" w:hAnsi="Times New Roman" w:eastAsia="宋体" w:cs="Times New Roman"/>
                      <w:color w:val="auto"/>
                      <w:kern w:val="2"/>
                      <w:sz w:val="21"/>
                      <w:szCs w:val="21"/>
                      <w:highlight w:val="none"/>
                      <w:shd w:val="clear" w:color="auto" w:fill="FFFFFF"/>
                      <w:lang w:val="en-US" w:eastAsia="zh-CN" w:bidi="ar-SA"/>
                    </w:rPr>
                    <w:t>沸点（ºC</w:t>
                  </w:r>
                  <w:r>
                    <w:rPr>
                      <w:rFonts w:hint="eastAsia" w:ascii="Times New Roman" w:hAnsi="Times New Roman" w:eastAsia="宋体" w:cs="Times New Roman"/>
                      <w:color w:val="auto"/>
                      <w:kern w:val="2"/>
                      <w:sz w:val="21"/>
                      <w:szCs w:val="21"/>
                      <w:highlight w:val="none"/>
                      <w:shd w:val="clear" w:color="auto" w:fill="FFFFFF"/>
                      <w:lang w:val="en-US" w:eastAsia="zh-CN" w:bidi="ar-SA"/>
                    </w:rPr>
                    <w:t>，</w:t>
                  </w:r>
                  <w:r>
                    <w:rPr>
                      <w:rFonts w:hint="default" w:ascii="Times New Roman" w:hAnsi="Times New Roman" w:eastAsia="宋体" w:cs="Times New Roman"/>
                      <w:color w:val="auto"/>
                      <w:kern w:val="2"/>
                      <w:sz w:val="21"/>
                      <w:szCs w:val="21"/>
                      <w:highlight w:val="none"/>
                      <w:shd w:val="clear" w:color="auto" w:fill="FFFFFF"/>
                      <w:lang w:val="en-US" w:eastAsia="zh-CN" w:bidi="ar-SA"/>
                    </w:rPr>
                    <w:t>常压）：100</w:t>
                  </w:r>
                  <w:r>
                    <w:rPr>
                      <w:rFonts w:hint="eastAsia" w:ascii="Times New Roman" w:hAnsi="Times New Roman" w:eastAsia="宋体" w:cs="Times New Roman"/>
                      <w:color w:val="auto"/>
                      <w:kern w:val="2"/>
                      <w:sz w:val="21"/>
                      <w:szCs w:val="21"/>
                      <w:highlight w:val="none"/>
                      <w:shd w:val="clear" w:color="auto" w:fill="FFFFFF"/>
                      <w:lang w:val="en-US" w:eastAsia="zh-CN" w:bidi="ar-SA"/>
                    </w:rPr>
                    <w:t>；</w:t>
                  </w:r>
                  <w:r>
                    <w:rPr>
                      <w:rFonts w:hint="default" w:ascii="Times New Roman" w:hAnsi="Times New Roman" w:eastAsia="宋体" w:cs="Times New Roman"/>
                      <w:color w:val="auto"/>
                      <w:kern w:val="2"/>
                      <w:sz w:val="21"/>
                      <w:szCs w:val="21"/>
                      <w:highlight w:val="none"/>
                      <w:shd w:val="clear" w:color="auto" w:fill="FFFFFF"/>
                      <w:lang w:val="en-US" w:eastAsia="zh-CN" w:bidi="ar-SA"/>
                    </w:rPr>
                    <w:t>折射率：1.353</w:t>
                  </w:r>
                  <w:r>
                    <w:rPr>
                      <w:rFonts w:hint="eastAsia" w:ascii="Times New Roman" w:hAnsi="Times New Roman" w:eastAsia="宋体" w:cs="Times New Roman"/>
                      <w:color w:val="auto"/>
                      <w:kern w:val="2"/>
                      <w:sz w:val="21"/>
                      <w:szCs w:val="21"/>
                      <w:highlight w:val="none"/>
                      <w:shd w:val="clear" w:color="auto" w:fill="FFFFFF"/>
                      <w:lang w:val="en-US" w:eastAsia="zh-CN" w:bidi="ar-SA"/>
                    </w:rPr>
                    <w:t>；</w:t>
                  </w:r>
                  <w:r>
                    <w:rPr>
                      <w:rFonts w:hint="default" w:ascii="Times New Roman" w:hAnsi="Times New Roman" w:eastAsia="宋体" w:cs="Times New Roman"/>
                      <w:color w:val="auto"/>
                      <w:kern w:val="2"/>
                      <w:sz w:val="21"/>
                      <w:szCs w:val="21"/>
                      <w:highlight w:val="none"/>
                      <w:shd w:val="clear" w:color="auto" w:fill="FFFFFF"/>
                      <w:lang w:val="en-US" w:eastAsia="zh-CN" w:bidi="ar-SA"/>
                    </w:rPr>
                    <w:t>闪点（ºC）：15急性毒性LD50：3530mg/kg（大鼠经口）；1060mg/kg（兔经皮）LC50：13791mg/m</w:t>
                  </w:r>
                  <w:r>
                    <w:rPr>
                      <w:rFonts w:hint="default" w:ascii="Times New Roman" w:hAnsi="Times New Roman" w:eastAsia="宋体" w:cs="Times New Roman"/>
                      <w:color w:val="auto"/>
                      <w:kern w:val="2"/>
                      <w:sz w:val="21"/>
                      <w:szCs w:val="21"/>
                      <w:highlight w:val="none"/>
                      <w:shd w:val="clear" w:color="auto" w:fill="FFFFFF"/>
                      <w:vertAlign w:val="superscript"/>
                      <w:lang w:val="en-US" w:eastAsia="zh-CN" w:bidi="ar-SA"/>
                    </w:rPr>
                    <w:t>3</w:t>
                  </w:r>
                  <w:r>
                    <w:rPr>
                      <w:rFonts w:hint="default" w:ascii="Times New Roman" w:hAnsi="Times New Roman" w:eastAsia="宋体" w:cs="Times New Roman"/>
                      <w:color w:val="auto"/>
                      <w:kern w:val="2"/>
                      <w:sz w:val="21"/>
                      <w:szCs w:val="21"/>
                      <w:highlight w:val="none"/>
                      <w:shd w:val="clear" w:color="auto" w:fill="FFFFFF"/>
                      <w:lang w:val="en-US" w:eastAsia="zh-CN" w:bidi="ar-SA"/>
                    </w:rPr>
                    <w:t>（小鼠吸入，1h）</w:t>
                  </w:r>
                  <w:r>
                    <w:rPr>
                      <w:rFonts w:hint="eastAsia" w:ascii="Times New Roman" w:hAnsi="Times New Roman" w:cs="Times New Roman"/>
                      <w:color w:val="auto"/>
                      <w:kern w:val="2"/>
                      <w:sz w:val="21"/>
                      <w:szCs w:val="21"/>
                      <w:highlight w:val="none"/>
                      <w:shd w:val="clear" w:color="auto" w:fill="FFFFFF"/>
                      <w:lang w:val="en-US" w:eastAsia="zh-CN" w:bidi="ar-SA"/>
                    </w:rPr>
                    <w:t>，密度1.050</w:t>
                  </w:r>
                  <w:r>
                    <w:rPr>
                      <w:rFonts w:hint="default" w:ascii="Times New Roman" w:hAnsi="Times New Roman" w:eastAsia="宋体" w:cs="Times New Roman"/>
                      <w:color w:val="auto"/>
                      <w:kern w:val="2"/>
                      <w:sz w:val="21"/>
                      <w:szCs w:val="21"/>
                      <w:highlight w:val="none"/>
                      <w:shd w:val="clear" w:color="auto" w:fill="FFFFFF"/>
                      <w:lang w:val="en-US" w:eastAsia="zh-CN" w:bidi="ar-SA"/>
                    </w:rPr>
                    <w:t>g/m</w:t>
                  </w:r>
                  <w:r>
                    <w:rPr>
                      <w:rFonts w:hint="default" w:ascii="Times New Roman" w:hAnsi="Times New Roman" w:eastAsia="宋体" w:cs="Times New Roman"/>
                      <w:color w:val="auto"/>
                      <w:kern w:val="2"/>
                      <w:sz w:val="21"/>
                      <w:szCs w:val="21"/>
                      <w:highlight w:val="none"/>
                      <w:shd w:val="clear" w:color="auto" w:fill="FFFFFF"/>
                      <w:vertAlign w:val="superscript"/>
                      <w:lang w:val="en-US" w:eastAsia="zh-CN" w:bidi="ar-SA"/>
                    </w:rPr>
                    <w:t>3</w:t>
                  </w:r>
                  <w:r>
                    <w:rPr>
                      <w:rFonts w:hint="eastAsia" w:ascii="Times New Roman" w:hAnsi="Times New Roman" w:eastAsia="宋体" w:cs="Times New Roman"/>
                      <w:color w:val="auto"/>
                      <w:kern w:val="2"/>
                      <w:sz w:val="21"/>
                      <w:szCs w:val="21"/>
                      <w:highlight w:val="none"/>
                      <w:shd w:val="clear" w:color="auto" w:fill="FFFFFF"/>
                      <w:lang w:val="en-US" w:eastAsia="zh-CN" w:bidi="ar-SA"/>
                    </w:rPr>
                    <w:t>。</w:t>
                  </w:r>
                </w:p>
              </w:tc>
            </w:tr>
            <w:tr w14:paraId="118227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615" w:type="dxa"/>
                  <w:tcBorders>
                    <w:tl2br w:val="nil"/>
                    <w:tr2bl w:val="nil"/>
                  </w:tcBorders>
                  <w:noWrap w:val="0"/>
                  <w:vAlign w:val="center"/>
                </w:tcPr>
                <w:p w14:paraId="669D7414">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66EC83CD">
                  <w:pPr>
                    <w:spacing w:before="51" w:line="240" w:lineRule="auto"/>
                    <w:jc w:val="center"/>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eastAsia" w:ascii="Times New Roman" w:hAnsi="Times New Roman" w:eastAsia="宋体" w:cs="Times New Roman"/>
                      <w:color w:val="auto"/>
                      <w:kern w:val="2"/>
                      <w:sz w:val="21"/>
                      <w:szCs w:val="21"/>
                      <w:highlight w:val="none"/>
                      <w:shd w:val="clear" w:color="auto" w:fill="FFFFFF"/>
                      <w:lang w:val="en-US" w:eastAsia="zh-CN" w:bidi="ar-SA"/>
                    </w:rPr>
                    <w:t>磷酸氢二铵</w:t>
                  </w:r>
                </w:p>
              </w:tc>
              <w:tc>
                <w:tcPr>
                  <w:tcW w:w="6261" w:type="dxa"/>
                  <w:tcBorders>
                    <w:tl2br w:val="nil"/>
                    <w:tr2bl w:val="nil"/>
                  </w:tcBorders>
                  <w:shd w:val="clear" w:color="auto" w:fill="auto"/>
                  <w:noWrap w:val="0"/>
                  <w:vAlign w:val="center"/>
                </w:tcPr>
                <w:p w14:paraId="48F4FADA">
                  <w:pPr>
                    <w:spacing w:before="51" w:line="240" w:lineRule="auto"/>
                    <w:jc w:val="both"/>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一种无机化合物，无色透明单斜晶体或白色粉末，广泛用于印刷制版、</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"https://baike.so.com/doc/2572053-2716133.html"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医药</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"https://baike.so.com/doc/6789872-7006483.html"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防火</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"https://baike.so.com/doc/19050-19768.html"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电子管</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等，是一种广泛适用于蔬菜、水果、水稻和小麦的</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"https://baike.so.com/doc/8214345-8531334.html"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高效肥料</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，工业上用作</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"https://baike.so.com/doc/4995947-5220075.html"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饲料添加剂</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begin"/>
                  </w:r>
                  <w:r>
                    <w:rPr>
                      <w:rFonts w:hint="default" w:ascii="Times New Roman" w:hAnsi="Times New Roman" w:eastAsia="宋体" w:cs="Times New Roman"/>
                      <w:color w:val="auto"/>
                      <w:kern w:val="2"/>
                      <w:sz w:val="21"/>
                      <w:szCs w:val="21"/>
                      <w:highlight w:val="none"/>
                      <w:shd w:val="clear" w:color="auto" w:fill="FFFFFF"/>
                      <w:lang w:val="en-US" w:eastAsia="zh-CN" w:bidi="ar-SA"/>
                    </w:rPr>
                    <w:instrText xml:space="preserve"> HYPERLINK "https://baike.so.com/doc/1558242-1647204.html" \t "https://baike.so.com/doc/_blank" </w:instrTex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separate"/>
                  </w:r>
                  <w:r>
                    <w:rPr>
                      <w:rFonts w:hint="default" w:ascii="Times New Roman" w:hAnsi="Times New Roman" w:eastAsia="宋体" w:cs="Times New Roman"/>
                      <w:color w:val="auto"/>
                      <w:kern w:val="2"/>
                      <w:sz w:val="21"/>
                      <w:szCs w:val="21"/>
                      <w:highlight w:val="none"/>
                      <w:shd w:val="clear" w:color="auto" w:fill="FFFFFF"/>
                      <w:lang w:val="en-US" w:eastAsia="zh-CN" w:bidi="ar-SA"/>
                    </w:rPr>
                    <w:t>阻燃剂</w:t>
                  </w:r>
                  <w:r>
                    <w:rPr>
                      <w:rFonts w:hint="default" w:ascii="Times New Roman" w:hAnsi="Times New Roman" w:eastAsia="宋体" w:cs="Times New Roman"/>
                      <w:color w:val="auto"/>
                      <w:kern w:val="2"/>
                      <w:sz w:val="21"/>
                      <w:szCs w:val="21"/>
                      <w:highlight w:val="none"/>
                      <w:shd w:val="clear" w:color="auto" w:fill="FFFFFF"/>
                      <w:lang w:val="en-US" w:eastAsia="zh-CN" w:bidi="ar-SA"/>
                    </w:rPr>
                    <w:fldChar w:fldCharType="end"/>
                  </w:r>
                  <w:r>
                    <w:rPr>
                      <w:rFonts w:hint="default" w:ascii="Times New Roman" w:hAnsi="Times New Roman" w:eastAsia="宋体" w:cs="Times New Roman"/>
                      <w:color w:val="auto"/>
                      <w:kern w:val="2"/>
                      <w:sz w:val="21"/>
                      <w:szCs w:val="21"/>
                      <w:highlight w:val="none"/>
                      <w:shd w:val="clear" w:color="auto" w:fill="FFFFFF"/>
                      <w:lang w:val="en-US" w:eastAsia="zh-CN" w:bidi="ar-SA"/>
                    </w:rPr>
                    <w:t>和灭火剂的配料等。</w:t>
                  </w:r>
                </w:p>
              </w:tc>
            </w:tr>
            <w:tr w14:paraId="753118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4BD0C208">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284C5F34">
                  <w:pPr>
                    <w:spacing w:before="51" w:line="240" w:lineRule="auto"/>
                    <w:jc w:val="center"/>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eastAsia" w:ascii="Times New Roman" w:hAnsi="Times New Roman" w:eastAsia="宋体" w:cs="Times New Roman"/>
                      <w:color w:val="auto"/>
                      <w:kern w:val="2"/>
                      <w:sz w:val="21"/>
                      <w:szCs w:val="21"/>
                      <w:highlight w:val="none"/>
                      <w:shd w:val="clear" w:color="auto" w:fill="FFFFFF"/>
                      <w:lang w:val="en-US" w:eastAsia="zh-CN" w:bidi="ar-SA"/>
                    </w:rPr>
                    <w:t>磷酸二氢铵</w:t>
                  </w:r>
                </w:p>
              </w:tc>
              <w:tc>
                <w:tcPr>
                  <w:tcW w:w="6261" w:type="dxa"/>
                  <w:tcBorders>
                    <w:tl2br w:val="nil"/>
                    <w:tr2bl w:val="nil"/>
                  </w:tcBorders>
                  <w:shd w:val="clear" w:color="auto" w:fill="auto"/>
                  <w:noWrap w:val="0"/>
                  <w:vAlign w:val="center"/>
                </w:tcPr>
                <w:p w14:paraId="7EA62CD5">
                  <w:pPr>
                    <w:spacing w:before="51" w:line="240" w:lineRule="auto"/>
                    <w:jc w:val="both"/>
                    <w:rPr>
                      <w:rFonts w:hint="default" w:ascii="Times New Roman" w:hAnsi="Times New Roman" w:eastAsia="宋体" w:cs="Times New Roman"/>
                      <w:color w:val="auto"/>
                      <w:kern w:val="2"/>
                      <w:sz w:val="21"/>
                      <w:szCs w:val="21"/>
                      <w:highlight w:val="none"/>
                      <w:shd w:val="clear" w:color="auto" w:fill="FFFFFF"/>
                      <w:lang w:val="en-US" w:eastAsia="zh-CN" w:bidi="ar-SA"/>
                    </w:rPr>
                  </w:pPr>
                  <w:r>
                    <w:rPr>
                      <w:rFonts w:hint="default" w:ascii="Times New Roman" w:hAnsi="Times New Roman" w:eastAsia="宋体" w:cs="Times New Roman"/>
                      <w:color w:val="auto"/>
                      <w:kern w:val="2"/>
                      <w:sz w:val="21"/>
                      <w:szCs w:val="21"/>
                      <w:highlight w:val="none"/>
                      <w:shd w:val="clear" w:color="auto" w:fill="FFFFFF"/>
                      <w:lang w:val="en-US" w:eastAsia="zh-CN" w:bidi="ar-SA"/>
                    </w:rPr>
                    <w:t>透明四角晶体</w:t>
                  </w:r>
                  <w:r>
                    <w:rPr>
                      <w:rFonts w:hint="eastAsia" w:ascii="Times New Roman" w:hAnsi="Times New Roman" w:eastAsia="宋体" w:cs="Times New Roman"/>
                      <w:color w:val="auto"/>
                      <w:kern w:val="2"/>
                      <w:sz w:val="21"/>
                      <w:szCs w:val="21"/>
                      <w:highlight w:val="none"/>
                      <w:shd w:val="clear" w:color="auto" w:fill="FFFFFF"/>
                      <w:lang w:val="en-US" w:eastAsia="zh-CN" w:bidi="ar-SA"/>
                    </w:rPr>
                    <w:t>；</w:t>
                  </w:r>
                  <w:r>
                    <w:rPr>
                      <w:rFonts w:hint="default" w:ascii="Times New Roman" w:hAnsi="Times New Roman" w:eastAsia="宋体" w:cs="Times New Roman"/>
                      <w:color w:val="auto"/>
                      <w:kern w:val="2"/>
                      <w:sz w:val="21"/>
                      <w:szCs w:val="21"/>
                      <w:highlight w:val="none"/>
                      <w:shd w:val="clear" w:color="auto" w:fill="FFFFFF"/>
                      <w:lang w:val="en-US" w:eastAsia="zh-CN" w:bidi="ar-SA"/>
                    </w:rPr>
                    <w:t>溶于水、微溶于乙醇，不溶于乙酸</w:t>
                  </w:r>
                  <w:r>
                    <w:rPr>
                      <w:rFonts w:hint="eastAsia" w:ascii="Times New Roman" w:hAnsi="Times New Roman" w:eastAsia="宋体" w:cs="Times New Roman"/>
                      <w:color w:val="auto"/>
                      <w:kern w:val="2"/>
                      <w:sz w:val="21"/>
                      <w:szCs w:val="21"/>
                      <w:highlight w:val="none"/>
                      <w:shd w:val="clear" w:color="auto" w:fill="FFFFFF"/>
                      <w:lang w:val="en-US" w:eastAsia="zh-CN" w:bidi="ar-SA"/>
                    </w:rPr>
                    <w:t>；</w:t>
                  </w:r>
                  <w:r>
                    <w:rPr>
                      <w:rFonts w:hint="default" w:ascii="Times New Roman" w:hAnsi="Times New Roman" w:eastAsia="宋体" w:cs="Times New Roman"/>
                      <w:color w:val="auto"/>
                      <w:kern w:val="2"/>
                      <w:sz w:val="21"/>
                      <w:szCs w:val="21"/>
                      <w:highlight w:val="none"/>
                      <w:shd w:val="clear" w:color="auto" w:fill="FFFFFF"/>
                      <w:lang w:val="en-US" w:eastAsia="zh-CN" w:bidi="ar-SA"/>
                    </w:rPr>
                    <w:t>密度</w:t>
                  </w:r>
                  <w:r>
                    <w:rPr>
                      <w:rFonts w:hint="eastAsia" w:ascii="Times New Roman" w:hAnsi="Times New Roman" w:eastAsia="宋体" w:cs="Times New Roman"/>
                      <w:color w:val="auto"/>
                      <w:kern w:val="2"/>
                      <w:sz w:val="21"/>
                      <w:szCs w:val="21"/>
                      <w:highlight w:val="none"/>
                      <w:shd w:val="clear" w:color="auto" w:fill="FFFFFF"/>
                      <w:lang w:val="en-US" w:eastAsia="zh-CN" w:bidi="ar-SA"/>
                    </w:rPr>
                    <w:t>：</w:t>
                  </w:r>
                  <w:r>
                    <w:rPr>
                      <w:rFonts w:hint="default" w:ascii="Times New Roman" w:hAnsi="Times New Roman" w:eastAsia="宋体" w:cs="Times New Roman"/>
                      <w:color w:val="auto"/>
                      <w:kern w:val="2"/>
                      <w:sz w:val="21"/>
                      <w:szCs w:val="21"/>
                      <w:highlight w:val="none"/>
                      <w:shd w:val="clear" w:color="auto" w:fill="FFFFFF"/>
                      <w:lang w:val="en-US" w:eastAsia="zh-CN" w:bidi="ar-SA"/>
                    </w:rPr>
                    <w:t>1.803</w:t>
                  </w:r>
                  <w:r>
                    <w:rPr>
                      <w:rFonts w:hint="eastAsia" w:ascii="Times New Roman" w:hAnsi="Times New Roman" w:eastAsia="宋体" w:cs="Times New Roman"/>
                      <w:color w:val="auto"/>
                      <w:kern w:val="2"/>
                      <w:sz w:val="21"/>
                      <w:szCs w:val="21"/>
                      <w:highlight w:val="none"/>
                      <w:shd w:val="clear" w:color="auto" w:fill="FFFFFF"/>
                      <w:lang w:val="en-US" w:eastAsia="zh-CN" w:bidi="ar-SA"/>
                    </w:rPr>
                    <w:t>；</w:t>
                  </w:r>
                  <w:r>
                    <w:rPr>
                      <w:rFonts w:hint="default" w:ascii="Times New Roman" w:hAnsi="Times New Roman" w:eastAsia="宋体" w:cs="Times New Roman"/>
                      <w:color w:val="auto"/>
                      <w:kern w:val="2"/>
                      <w:sz w:val="21"/>
                      <w:szCs w:val="21"/>
                      <w:highlight w:val="none"/>
                      <w:shd w:val="clear" w:color="auto" w:fill="FFFFFF"/>
                      <w:lang w:val="en-US" w:eastAsia="zh-CN" w:bidi="ar-SA"/>
                    </w:rPr>
                    <w:t>熔点(°C)</w:t>
                  </w:r>
                  <w:r>
                    <w:rPr>
                      <w:rFonts w:hint="eastAsia" w:ascii="Times New Roman" w:hAnsi="Times New Roman" w:eastAsia="宋体" w:cs="Times New Roman"/>
                      <w:color w:val="auto"/>
                      <w:kern w:val="2"/>
                      <w:sz w:val="21"/>
                      <w:szCs w:val="21"/>
                      <w:highlight w:val="none"/>
                      <w:shd w:val="clear" w:color="auto" w:fill="FFFFFF"/>
                      <w:lang w:val="en-US" w:eastAsia="zh-CN" w:bidi="ar-SA"/>
                    </w:rPr>
                    <w:t>：</w:t>
                  </w:r>
                  <w:r>
                    <w:rPr>
                      <w:rFonts w:hint="default" w:ascii="Times New Roman" w:hAnsi="Times New Roman" w:eastAsia="宋体" w:cs="Times New Roman"/>
                      <w:color w:val="auto"/>
                      <w:kern w:val="2"/>
                      <w:sz w:val="21"/>
                      <w:szCs w:val="21"/>
                      <w:highlight w:val="none"/>
                      <w:shd w:val="clear" w:color="auto" w:fill="FFFFFF"/>
                      <w:lang w:val="en-US" w:eastAsia="zh-CN" w:bidi="ar-SA"/>
                    </w:rPr>
                    <w:t>180</w:t>
                  </w:r>
                  <w:r>
                    <w:rPr>
                      <w:rFonts w:hint="eastAsia" w:ascii="Times New Roman" w:hAnsi="Times New Roman" w:eastAsia="宋体" w:cs="Times New Roman"/>
                      <w:color w:val="auto"/>
                      <w:kern w:val="2"/>
                      <w:sz w:val="21"/>
                      <w:szCs w:val="21"/>
                      <w:highlight w:val="none"/>
                      <w:shd w:val="clear" w:color="auto" w:fill="FFFFFF"/>
                      <w:lang w:val="en-US" w:eastAsia="zh-CN" w:bidi="ar-SA"/>
                    </w:rPr>
                    <w:t>。</w:t>
                  </w:r>
                </w:p>
              </w:tc>
            </w:tr>
            <w:tr w14:paraId="0A55C1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65D5B225">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4DCDCCB5">
                  <w:pPr>
                    <w:jc w:val="center"/>
                    <w:rPr>
                      <w:rFonts w:hint="default" w:ascii="Times New Roman" w:hAnsi="Times New Roman" w:eastAsia="宋体" w:cs="Times New Roman"/>
                      <w:kern w:val="2"/>
                      <w:sz w:val="21"/>
                      <w:szCs w:val="24"/>
                      <w:lang w:val="en-US" w:eastAsia="zh-CN" w:bidi="ar-SA"/>
                    </w:rPr>
                  </w:pPr>
                  <w:r>
                    <w:rPr>
                      <w:rFonts w:hint="eastAsia"/>
                    </w:rPr>
                    <w:t>溴化钾</w:t>
                  </w:r>
                </w:p>
              </w:tc>
              <w:tc>
                <w:tcPr>
                  <w:tcW w:w="6261" w:type="dxa"/>
                  <w:tcBorders>
                    <w:tl2br w:val="nil"/>
                    <w:tr2bl w:val="nil"/>
                  </w:tcBorders>
                  <w:shd w:val="clear" w:color="auto" w:fill="auto"/>
                  <w:noWrap w:val="0"/>
                  <w:vAlign w:val="center"/>
                </w:tcPr>
                <w:p w14:paraId="2394743D">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熔点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734°C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沸点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1380°C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相对密度(水=1)</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2.75(25°C)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饱和蒸气压(kPa)</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0.13(0.795°C)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溶解性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溶于水，溶于甘油，微溶于乙醇、乙醚。</w:t>
                  </w:r>
                </w:p>
              </w:tc>
            </w:tr>
            <w:tr w14:paraId="1A6887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38DE0C4F">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74072616">
                  <w:pPr>
                    <w:jc w:val="center"/>
                    <w:rPr>
                      <w:rFonts w:hint="default" w:ascii="Times New Roman" w:hAnsi="Times New Roman" w:eastAsia="宋体" w:cs="Times New Roman"/>
                      <w:kern w:val="2"/>
                      <w:sz w:val="21"/>
                      <w:szCs w:val="24"/>
                      <w:lang w:val="en-US" w:eastAsia="zh-CN" w:bidi="ar-SA"/>
                    </w:rPr>
                  </w:pPr>
                  <w:r>
                    <w:rPr>
                      <w:rFonts w:hint="eastAsia"/>
                    </w:rPr>
                    <w:t>尿素</w:t>
                  </w:r>
                </w:p>
              </w:tc>
              <w:tc>
                <w:tcPr>
                  <w:tcW w:w="6261" w:type="dxa"/>
                  <w:tcBorders>
                    <w:tl2br w:val="nil"/>
                    <w:tr2bl w:val="nil"/>
                  </w:tcBorders>
                  <w:shd w:val="clear" w:color="auto" w:fill="auto"/>
                  <w:noWrap w:val="0"/>
                  <w:vAlign w:val="center"/>
                </w:tcPr>
                <w:p w14:paraId="459BFFAE">
                  <w:pPr>
                    <w:spacing w:before="51" w:line="240" w:lineRule="auto"/>
                    <w:jc w:val="left"/>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是一种由碳、氮、氧和氢组成的有机化合物</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白色无臭固体</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熔点133-135℃</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相对密度1.323(20/4℃)</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易溶于水和乙醇</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强热时分解成氨和二氧化碳。是哺乳动物体内蛋白质代谢的最终产物。</w:t>
                  </w:r>
                </w:p>
              </w:tc>
            </w:tr>
            <w:tr w14:paraId="0B87B1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5" w:type="dxa"/>
                  <w:tcBorders>
                    <w:tl2br w:val="nil"/>
                    <w:tr2bl w:val="nil"/>
                  </w:tcBorders>
                  <w:noWrap w:val="0"/>
                  <w:vAlign w:val="center"/>
                </w:tcPr>
                <w:p w14:paraId="0FD2403F">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137CD013">
                  <w:pPr>
                    <w:jc w:val="center"/>
                    <w:rPr>
                      <w:rFonts w:hint="default" w:ascii="Times New Roman" w:hAnsi="Times New Roman" w:eastAsia="宋体" w:cs="Times New Roman"/>
                      <w:kern w:val="2"/>
                      <w:sz w:val="21"/>
                      <w:szCs w:val="24"/>
                      <w:lang w:val="en-US" w:eastAsia="zh-CN" w:bidi="ar-SA"/>
                    </w:rPr>
                  </w:pPr>
                  <w:r>
                    <w:rPr>
                      <w:rFonts w:hint="eastAsia"/>
                    </w:rPr>
                    <w:t>氯化铵</w:t>
                  </w:r>
                </w:p>
              </w:tc>
              <w:tc>
                <w:tcPr>
                  <w:tcW w:w="6261" w:type="dxa"/>
                  <w:tcBorders>
                    <w:tl2br w:val="nil"/>
                    <w:tr2bl w:val="nil"/>
                  </w:tcBorders>
                  <w:shd w:val="clear" w:color="auto" w:fill="auto"/>
                  <w:noWrap w:val="0"/>
                  <w:vAlign w:val="center"/>
                </w:tcPr>
                <w:p w14:paraId="4F545BC8">
                  <w:pPr>
                    <w:spacing w:before="51" w:line="240" w:lineRule="auto"/>
                    <w:jc w:val="left"/>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无色晶体或白色结晶性粉末</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无臭，味咸、有引湿性。本品在水中</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"https://baike.so.com/doc/5249044-5482205.html"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易溶</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，在</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"https://baike.so.com/doc/3036121-3200992.html"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乙醇</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中微溶。</w:t>
                  </w:r>
                </w:p>
              </w:tc>
            </w:tr>
            <w:tr w14:paraId="1B69EE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7277C605">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7DDAC521">
                  <w:pPr>
                    <w:jc w:val="center"/>
                    <w:rPr>
                      <w:rFonts w:hint="default" w:ascii="Times New Roman" w:hAnsi="Times New Roman" w:eastAsia="宋体" w:cs="Times New Roman"/>
                      <w:kern w:val="2"/>
                      <w:sz w:val="21"/>
                      <w:szCs w:val="24"/>
                      <w:lang w:val="en-US" w:eastAsia="zh-CN" w:bidi="ar-SA"/>
                    </w:rPr>
                  </w:pPr>
                  <w:r>
                    <w:rPr>
                      <w:rFonts w:hint="eastAsia"/>
                    </w:rPr>
                    <w:t>硫代硫酸钠</w:t>
                  </w:r>
                </w:p>
              </w:tc>
              <w:tc>
                <w:tcPr>
                  <w:tcW w:w="6261" w:type="dxa"/>
                  <w:tcBorders>
                    <w:tl2br w:val="nil"/>
                    <w:tr2bl w:val="nil"/>
                  </w:tcBorders>
                  <w:shd w:val="clear" w:color="auto" w:fill="auto"/>
                  <w:noWrap w:val="0"/>
                  <w:vAlign w:val="center"/>
                </w:tcPr>
                <w:p w14:paraId="7FA25E62">
                  <w:pPr>
                    <w:spacing w:before="51" w:line="240" w:lineRule="auto"/>
                    <w:jc w:val="left"/>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无色透明的单斜晶体；无水硫代硫酸钠为白色结晶性粉末，无臭。易溶于水，20℃时溶解度约70.1g/100mL，溶液呈弱碱性；不溶于乙醇、乙醚等有机溶剂</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常温下干燥状态较稳定，但易吸潮结块；暴露于空气中会缓慢氧化，生成硫酸钠和硫</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还原性，能与多种氧化剂发生反应。</w:t>
                  </w:r>
                </w:p>
              </w:tc>
            </w:tr>
            <w:tr w14:paraId="4F9D95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7123455">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2DF6094">
                  <w:pPr>
                    <w:jc w:val="center"/>
                    <w:rPr>
                      <w:rFonts w:hint="default" w:ascii="Times New Roman" w:hAnsi="Times New Roman" w:eastAsia="宋体" w:cs="Times New Roman"/>
                      <w:kern w:val="2"/>
                      <w:sz w:val="21"/>
                      <w:szCs w:val="24"/>
                      <w:lang w:val="en-US" w:eastAsia="zh-CN" w:bidi="ar-SA"/>
                    </w:rPr>
                  </w:pPr>
                  <w:r>
                    <w:rPr>
                      <w:rFonts w:hint="eastAsia"/>
                    </w:rPr>
                    <w:t>十二水</w:t>
                  </w:r>
                  <w:r>
                    <w:rPr>
                      <w:rFonts w:hint="eastAsia"/>
                      <w:lang w:val="en-US" w:eastAsia="zh-CN"/>
                    </w:rPr>
                    <w:t>合</w:t>
                  </w:r>
                  <w:r>
                    <w:rPr>
                      <w:rFonts w:hint="eastAsia"/>
                    </w:rPr>
                    <w:t>磷酸氢二钠</w:t>
                  </w:r>
                </w:p>
              </w:tc>
              <w:tc>
                <w:tcPr>
                  <w:tcW w:w="6261" w:type="dxa"/>
                  <w:tcBorders>
                    <w:tl2br w:val="nil"/>
                    <w:tr2bl w:val="nil"/>
                  </w:tcBorders>
                  <w:shd w:val="clear" w:color="auto" w:fill="auto"/>
                  <w:noWrap w:val="0"/>
                  <w:vAlign w:val="center"/>
                </w:tcPr>
                <w:p w14:paraId="4AC46DCF">
                  <w:pPr>
                    <w:spacing w:before="51" w:line="240" w:lineRule="auto"/>
                    <w:jc w:val="left"/>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无色半透明结晶或白色结晶性粉末</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相对密度1.52</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35.1</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3.5%的水溶液P</w:t>
                  </w:r>
                  <w:r>
                    <w:rPr>
                      <w:rFonts w:hint="eastAsia" w:ascii="Times New Roman" w:hAnsi="Times New Roman" w:eastAsia="宋体" w:cs="Times New Roman"/>
                      <w:color w:val="auto"/>
                      <w:szCs w:val="21"/>
                      <w:highlight w:val="none"/>
                      <w:shd w:val="clear" w:color="auto" w:fill="FFFFFF"/>
                      <w:lang w:val="en-US" w:eastAsia="zh-CN"/>
                    </w:rPr>
                    <w:t>H</w:t>
                  </w:r>
                  <w:r>
                    <w:rPr>
                      <w:rFonts w:hint="default" w:ascii="Times New Roman" w:hAnsi="Times New Roman" w:eastAsia="宋体" w:cs="Times New Roman"/>
                      <w:color w:val="auto"/>
                      <w:szCs w:val="21"/>
                      <w:highlight w:val="none"/>
                      <w:shd w:val="clear" w:color="auto" w:fill="FFFFFF"/>
                      <w:lang w:val="en-US" w:eastAsia="zh-CN"/>
                    </w:rPr>
                    <w:t>值</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9.0～9.4</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溶解性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易溶于水，不溶于乙醇。</w:t>
                  </w:r>
                </w:p>
              </w:tc>
            </w:tr>
            <w:tr w14:paraId="3E6EEE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7EAC0326">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6288B55">
                  <w:pPr>
                    <w:jc w:val="center"/>
                    <w:rPr>
                      <w:rFonts w:hint="default" w:ascii="Times New Roman" w:hAnsi="Times New Roman" w:eastAsia="宋体" w:cs="Times New Roman"/>
                      <w:kern w:val="2"/>
                      <w:sz w:val="21"/>
                      <w:szCs w:val="24"/>
                      <w:lang w:val="en-US" w:eastAsia="zh-CN" w:bidi="ar-SA"/>
                    </w:rPr>
                  </w:pPr>
                  <w:r>
                    <w:rPr>
                      <w:rFonts w:hint="eastAsia"/>
                    </w:rPr>
                    <w:t>无水氯化钙</w:t>
                  </w:r>
                </w:p>
              </w:tc>
              <w:tc>
                <w:tcPr>
                  <w:tcW w:w="6261" w:type="dxa"/>
                  <w:tcBorders>
                    <w:tl2br w:val="nil"/>
                    <w:tr2bl w:val="nil"/>
                  </w:tcBorders>
                  <w:shd w:val="clear" w:color="auto" w:fill="auto"/>
                  <w:noWrap w:val="0"/>
                  <w:vAlign w:val="center"/>
                </w:tcPr>
                <w:p w14:paraId="59ECC2BB">
                  <w:pPr>
                    <w:spacing w:before="51" w:line="240" w:lineRule="auto"/>
                    <w:jc w:val="left"/>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外观与性状</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无色或白色晶体，固体易潮解</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787</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沸点(°C)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&gt;1600</w:t>
                  </w:r>
                </w:p>
                <w:p w14:paraId="76F4E5F7">
                  <w:pPr>
                    <w:spacing w:before="51" w:line="240" w:lineRule="auto"/>
                    <w:jc w:val="left"/>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相对密度</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1.71(25)</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溶解性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溶解度</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74.5(25)</w:t>
                  </w:r>
                  <w:r>
                    <w:rPr>
                      <w:rFonts w:hint="eastAsia" w:ascii="Times New Roman" w:hAnsi="Times New Roman" w:eastAsia="宋体" w:cs="Times New Roman"/>
                      <w:color w:val="auto"/>
                      <w:szCs w:val="21"/>
                      <w:highlight w:val="none"/>
                      <w:shd w:val="clear" w:color="auto" w:fill="FFFFFF"/>
                      <w:lang w:val="en-US" w:eastAsia="zh-CN"/>
                    </w:rPr>
                    <w:t>。</w:t>
                  </w:r>
                </w:p>
              </w:tc>
            </w:tr>
            <w:tr w14:paraId="641451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3EE3A573">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3837BAAA">
                  <w:pPr>
                    <w:jc w:val="center"/>
                    <w:rPr>
                      <w:rFonts w:hint="default" w:ascii="Times New Roman" w:hAnsi="Times New Roman" w:eastAsia="宋体" w:cs="Times New Roman"/>
                      <w:kern w:val="2"/>
                      <w:sz w:val="21"/>
                      <w:szCs w:val="24"/>
                      <w:lang w:val="en-US" w:eastAsia="zh-CN" w:bidi="ar-SA"/>
                    </w:rPr>
                  </w:pPr>
                  <w:r>
                    <w:rPr>
                      <w:rFonts w:hint="eastAsia"/>
                    </w:rPr>
                    <w:t>二水合氯化钙</w:t>
                  </w:r>
                </w:p>
              </w:tc>
              <w:tc>
                <w:tcPr>
                  <w:tcW w:w="6261" w:type="dxa"/>
                  <w:tcBorders>
                    <w:tl2br w:val="nil"/>
                    <w:tr2bl w:val="nil"/>
                  </w:tcBorders>
                  <w:shd w:val="clear" w:color="auto" w:fill="auto"/>
                  <w:noWrap w:val="0"/>
                  <w:vAlign w:val="center"/>
                </w:tcPr>
                <w:p w14:paraId="1762B4D0">
                  <w:pPr>
                    <w:jc w:val="left"/>
                    <w:rPr>
                      <w:rFonts w:hint="eastAsia" w:ascii="Times New Roman" w:hAnsi="Times New Roman" w:cs="Times New Roman"/>
                    </w:rPr>
                  </w:pPr>
                  <w:r>
                    <w:rPr>
                      <w:rFonts w:hint="eastAsia" w:ascii="Times New Roman" w:hAnsi="Times New Roman" w:cs="Times New Roman"/>
                      <w:lang w:val="en-US" w:eastAsia="zh-CN"/>
                    </w:rPr>
                    <w:t>无机盐</w:t>
                  </w:r>
                  <w:r>
                    <w:rPr>
                      <w:rFonts w:hint="eastAsia" w:ascii="Times New Roman" w:hAnsi="Times New Roman" w:cs="Times New Roman"/>
                    </w:rPr>
                    <w:t>，用于熔冰和熔雪，棉织物的整理和精加工的阻燃剂。</w:t>
                  </w:r>
                </w:p>
                <w:p w14:paraId="2A237D2D">
                  <w:pPr>
                    <w:jc w:val="left"/>
                    <w:rPr>
                      <w:rFonts w:hint="default" w:ascii="Times New Roman" w:hAnsi="Times New Roman" w:cs="Times New Roman"/>
                      <w:lang w:val="en-US" w:eastAsia="zh-CN"/>
                    </w:rPr>
                  </w:pPr>
                </w:p>
              </w:tc>
            </w:tr>
            <w:tr w14:paraId="572882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3AFFA3B0">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5F5C7B3C">
                  <w:pPr>
                    <w:jc w:val="center"/>
                    <w:rPr>
                      <w:rFonts w:hint="default" w:ascii="Times New Roman" w:hAnsi="Times New Roman" w:eastAsia="宋体" w:cs="Times New Roman"/>
                      <w:kern w:val="2"/>
                      <w:sz w:val="21"/>
                      <w:szCs w:val="24"/>
                      <w:lang w:val="en-US" w:eastAsia="zh-CN" w:bidi="ar-SA"/>
                    </w:rPr>
                  </w:pPr>
                  <w:r>
                    <w:rPr>
                      <w:rFonts w:hint="eastAsia"/>
                    </w:rPr>
                    <w:t>硫脲</w:t>
                  </w:r>
                </w:p>
              </w:tc>
              <w:tc>
                <w:tcPr>
                  <w:tcW w:w="6261" w:type="dxa"/>
                  <w:tcBorders>
                    <w:tl2br w:val="nil"/>
                    <w:tr2bl w:val="nil"/>
                  </w:tcBorders>
                  <w:shd w:val="clear" w:color="auto" w:fill="auto"/>
                  <w:noWrap w:val="0"/>
                  <w:vAlign w:val="center"/>
                </w:tcPr>
                <w:p w14:paraId="3602EBBA">
                  <w:pPr>
                    <w:jc w:val="left"/>
                    <w:rPr>
                      <w:rFonts w:hint="default" w:ascii="Times New Roman" w:hAnsi="Times New Roman" w:cs="Times New Roman"/>
                      <w:lang w:val="en-US" w:eastAsia="zh-CN"/>
                    </w:rPr>
                  </w:pPr>
                  <w:r>
                    <w:rPr>
                      <w:rFonts w:hint="default" w:ascii="Times New Roman" w:hAnsi="Times New Roman" w:cs="Times New Roman"/>
                      <w:lang w:val="en-US" w:eastAsia="zh-CN"/>
                    </w:rPr>
                    <w:t>白色光亮苦味晶体</w:t>
                  </w:r>
                  <w:r>
                    <w:rPr>
                      <w:rFonts w:hint="eastAsia" w:ascii="Times New Roman" w:hAnsi="Times New Roman" w:cs="Times New Roman"/>
                      <w:lang w:val="en-US" w:eastAsia="zh-CN"/>
                    </w:rPr>
                    <w:t>；</w:t>
                  </w:r>
                  <w:r>
                    <w:rPr>
                      <w:rFonts w:hint="default" w:ascii="Times New Roman" w:hAnsi="Times New Roman" w:cs="Times New Roman"/>
                      <w:lang w:val="en-US" w:eastAsia="zh-CN"/>
                    </w:rPr>
                    <w:t>熔点（℃）：176～178</w:t>
                  </w:r>
                  <w:r>
                    <w:rPr>
                      <w:rFonts w:hint="eastAsia" w:ascii="Times New Roman" w:hAnsi="Times New Roman" w:cs="Times New Roman"/>
                      <w:lang w:val="en-US" w:eastAsia="zh-CN"/>
                    </w:rPr>
                    <w:t>；</w:t>
                  </w:r>
                  <w:r>
                    <w:rPr>
                      <w:rFonts w:hint="default" w:ascii="Times New Roman" w:hAnsi="Times New Roman" w:cs="Times New Roman"/>
                      <w:lang w:val="en-US" w:eastAsia="zh-CN"/>
                    </w:rPr>
                    <w:t>相对密度（水＝1）：1.41</w:t>
                  </w:r>
                  <w:r>
                    <w:rPr>
                      <w:rFonts w:hint="eastAsia" w:ascii="Times New Roman" w:hAnsi="Times New Roman" w:cs="Times New Roman"/>
                      <w:lang w:val="en-US" w:eastAsia="zh-CN"/>
                    </w:rPr>
                    <w:t>；</w:t>
                  </w:r>
                  <w:r>
                    <w:rPr>
                      <w:rFonts w:hint="default" w:ascii="Times New Roman" w:hAnsi="Times New Roman" w:cs="Times New Roman"/>
                      <w:lang w:val="en-US" w:eastAsia="zh-CN"/>
                    </w:rPr>
                    <w:t>溶解性：溶于冷水、乙醇，微溶于乙醚。</w:t>
                  </w:r>
                </w:p>
              </w:tc>
            </w:tr>
            <w:tr w14:paraId="401FB6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921D6E4">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270CABD">
                  <w:pPr>
                    <w:jc w:val="center"/>
                    <w:rPr>
                      <w:rFonts w:hint="default" w:ascii="Times New Roman" w:hAnsi="Times New Roman" w:eastAsia="宋体" w:cs="Times New Roman"/>
                      <w:kern w:val="2"/>
                      <w:sz w:val="21"/>
                      <w:szCs w:val="24"/>
                      <w:lang w:val="en-US" w:eastAsia="zh-CN" w:bidi="ar-SA"/>
                    </w:rPr>
                  </w:pPr>
                  <w:r>
                    <w:rPr>
                      <w:rFonts w:hint="eastAsia"/>
                    </w:rPr>
                    <w:t>铁氰化钾</w:t>
                  </w:r>
                </w:p>
              </w:tc>
              <w:tc>
                <w:tcPr>
                  <w:tcW w:w="6261" w:type="dxa"/>
                  <w:tcBorders>
                    <w:tl2br w:val="nil"/>
                    <w:tr2bl w:val="nil"/>
                  </w:tcBorders>
                  <w:shd w:val="clear" w:color="auto" w:fill="auto"/>
                  <w:noWrap w:val="0"/>
                  <w:vAlign w:val="center"/>
                </w:tcPr>
                <w:p w14:paraId="46186634">
                  <w:pPr>
                    <w:jc w:val="left"/>
                    <w:rPr>
                      <w:rFonts w:hint="default" w:ascii="Times New Roman" w:hAnsi="Times New Roman" w:cs="Times New Roman"/>
                      <w:lang w:val="en-US" w:eastAsia="zh-CN"/>
                    </w:rPr>
                  </w:pPr>
                  <w:r>
                    <w:rPr>
                      <w:rFonts w:hint="default" w:ascii="Times New Roman" w:hAnsi="Times New Roman" w:cs="Times New Roman"/>
                      <w:lang w:val="en-US" w:eastAsia="zh-CN"/>
                    </w:rPr>
                    <w:t>红色晶体</w:t>
                  </w:r>
                  <w:r>
                    <w:rPr>
                      <w:rFonts w:hint="eastAsia" w:ascii="Times New Roman" w:hAnsi="Times New Roman" w:cs="Times New Roman"/>
                      <w:lang w:val="en-US" w:eastAsia="zh-CN"/>
                    </w:rPr>
                    <w:t>；</w:t>
                  </w:r>
                  <w:r>
                    <w:rPr>
                      <w:rFonts w:hint="default" w:ascii="Times New Roman" w:hAnsi="Times New Roman" w:cs="Times New Roman"/>
                      <w:lang w:val="en-US" w:eastAsia="zh-CN"/>
                    </w:rPr>
                    <w:t>相对密度(水=1)</w:t>
                  </w:r>
                  <w:r>
                    <w:rPr>
                      <w:rFonts w:hint="eastAsia" w:ascii="Times New Roman" w:hAnsi="Times New Roman" w:cs="Times New Roman"/>
                      <w:lang w:val="en-US" w:eastAsia="zh-CN"/>
                    </w:rPr>
                    <w:t>：</w:t>
                  </w:r>
                  <w:r>
                    <w:rPr>
                      <w:rFonts w:hint="default" w:ascii="Times New Roman" w:hAnsi="Times New Roman" w:cs="Times New Roman"/>
                      <w:lang w:val="en-US" w:eastAsia="zh-CN"/>
                    </w:rPr>
                    <w:t>1.85(179°C)</w:t>
                  </w:r>
                  <w:r>
                    <w:rPr>
                      <w:rFonts w:hint="eastAsia" w:ascii="Times New Roman" w:hAnsi="Times New Roman" w:cs="Times New Roman"/>
                      <w:lang w:val="en-US" w:eastAsia="zh-CN"/>
                    </w:rPr>
                    <w:t>；</w:t>
                  </w:r>
                  <w:r>
                    <w:rPr>
                      <w:rFonts w:hint="default" w:ascii="Times New Roman" w:hAnsi="Times New Roman" w:cs="Times New Roman"/>
                      <w:lang w:val="en-US" w:eastAsia="zh-CN"/>
                    </w:rPr>
                    <w:t>溶解性</w:t>
                  </w:r>
                  <w:r>
                    <w:rPr>
                      <w:rFonts w:hint="eastAsia" w:ascii="Times New Roman" w:hAnsi="Times New Roman" w:cs="Times New Roman"/>
                      <w:lang w:val="en-US" w:eastAsia="zh-CN"/>
                    </w:rPr>
                    <w:t>：</w:t>
                  </w:r>
                  <w:r>
                    <w:rPr>
                      <w:rFonts w:hint="default" w:ascii="Times New Roman" w:hAnsi="Times New Roman" w:cs="Times New Roman"/>
                      <w:lang w:val="en-US" w:eastAsia="zh-CN"/>
                    </w:rPr>
                    <w:t>溶于水，溶于丙酮，微溶于醇</w:t>
                  </w:r>
                  <w:r>
                    <w:rPr>
                      <w:rFonts w:hint="eastAsia" w:ascii="Times New Roman" w:hAnsi="Times New Roman" w:cs="Times New Roman"/>
                      <w:lang w:val="en-US" w:eastAsia="zh-CN"/>
                    </w:rPr>
                    <w:t>；</w:t>
                  </w:r>
                  <w:r>
                    <w:rPr>
                      <w:rFonts w:hint="default" w:ascii="Times New Roman" w:hAnsi="Times New Roman" w:cs="Times New Roman"/>
                      <w:lang w:val="en-US" w:eastAsia="zh-CN"/>
                    </w:rPr>
                    <w:t>主要用途</w:t>
                  </w:r>
                  <w:r>
                    <w:rPr>
                      <w:rFonts w:hint="eastAsia" w:ascii="Times New Roman" w:hAnsi="Times New Roman" w:cs="Times New Roman"/>
                      <w:lang w:val="en-US" w:eastAsia="zh-CN"/>
                    </w:rPr>
                    <w:t>：</w:t>
                  </w:r>
                  <w:r>
                    <w:rPr>
                      <w:rFonts w:hint="default" w:ascii="Times New Roman" w:hAnsi="Times New Roman" w:cs="Times New Roman"/>
                      <w:lang w:val="en-US" w:eastAsia="zh-CN"/>
                    </w:rPr>
                    <w:t>用作化学试剂，也用于冶金、照相、颜料等行业。</w:t>
                  </w:r>
                </w:p>
              </w:tc>
            </w:tr>
            <w:tr w14:paraId="4A0009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7963E6F4">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6317D1A">
                  <w:pPr>
                    <w:jc w:val="center"/>
                    <w:rPr>
                      <w:rFonts w:hint="default" w:ascii="Times New Roman" w:hAnsi="Times New Roman" w:eastAsia="宋体" w:cs="Times New Roman"/>
                      <w:kern w:val="2"/>
                      <w:sz w:val="21"/>
                      <w:szCs w:val="24"/>
                      <w:lang w:val="en-US" w:eastAsia="zh-CN" w:bidi="ar-SA"/>
                    </w:rPr>
                  </w:pPr>
                  <w:r>
                    <w:rPr>
                      <w:rFonts w:hint="eastAsia"/>
                    </w:rPr>
                    <w:t>氢氧化钾</w:t>
                  </w:r>
                </w:p>
              </w:tc>
              <w:tc>
                <w:tcPr>
                  <w:tcW w:w="6261" w:type="dxa"/>
                  <w:tcBorders>
                    <w:tl2br w:val="nil"/>
                    <w:tr2bl w:val="nil"/>
                  </w:tcBorders>
                  <w:shd w:val="clear" w:color="auto" w:fill="auto"/>
                  <w:noWrap w:val="0"/>
                  <w:vAlign w:val="center"/>
                </w:tcPr>
                <w:p w14:paraId="0972013F">
                  <w:pPr>
                    <w:jc w:val="left"/>
                    <w:rPr>
                      <w:rFonts w:hint="default" w:ascii="Times New Roman" w:hAnsi="Times New Roman" w:cs="Times New Roman"/>
                      <w:lang w:val="en-US" w:eastAsia="zh-CN"/>
                    </w:rPr>
                  </w:pPr>
                  <w:r>
                    <w:rPr>
                      <w:rFonts w:hint="default" w:ascii="Times New Roman" w:hAnsi="Times New Roman" w:cs="Times New Roman"/>
                      <w:lang w:val="en-US" w:eastAsia="zh-CN"/>
                    </w:rPr>
                    <w:t>白色片状</w:t>
                  </w:r>
                  <w:r>
                    <w:rPr>
                      <w:rFonts w:hint="eastAsia" w:ascii="Times New Roman" w:hAnsi="Times New Roman" w:cs="Times New Roman"/>
                      <w:lang w:val="en-US" w:eastAsia="zh-CN"/>
                    </w:rPr>
                    <w:t>；</w:t>
                  </w:r>
                  <w:r>
                    <w:rPr>
                      <w:rFonts w:hint="default" w:ascii="Times New Roman" w:hAnsi="Times New Roman" w:cs="Times New Roman"/>
                      <w:lang w:val="en-US" w:eastAsia="zh-CN"/>
                    </w:rPr>
                    <w:t>沸点初沸点和沸程(</w:t>
                  </w:r>
                  <w:r>
                    <w:rPr>
                      <w:rFonts w:hint="eastAsia" w:ascii="Times New Roman" w:hAnsi="Times New Roman" w:cs="Times New Roman"/>
                      <w:lang w:val="en-US" w:eastAsia="zh-CN"/>
                    </w:rPr>
                    <w:t>℃</w:t>
                  </w:r>
                  <w:r>
                    <w:rPr>
                      <w:rFonts w:hint="default" w:ascii="Times New Roman" w:hAnsi="Times New Roman" w:cs="Times New Roman"/>
                      <w:lang w:val="en-US" w:eastAsia="zh-CN"/>
                    </w:rPr>
                    <w:t>)</w:t>
                  </w:r>
                  <w:r>
                    <w:rPr>
                      <w:rFonts w:hint="eastAsia" w:ascii="Times New Roman" w:hAnsi="Times New Roman" w:cs="Times New Roman"/>
                      <w:lang w:val="en-US" w:eastAsia="zh-CN"/>
                    </w:rPr>
                    <w:t>：</w:t>
                  </w:r>
                  <w:r>
                    <w:rPr>
                      <w:rFonts w:hint="default" w:ascii="Times New Roman" w:hAnsi="Times New Roman" w:cs="Times New Roman"/>
                      <w:lang w:val="en-US" w:eastAsia="zh-CN"/>
                    </w:rPr>
                    <w:t>1324</w:t>
                  </w:r>
                  <w:r>
                    <w:rPr>
                      <w:rFonts w:hint="eastAsia" w:ascii="Times New Roman" w:hAnsi="Times New Roman" w:cs="Times New Roman"/>
                      <w:lang w:val="en-US" w:eastAsia="zh-CN"/>
                    </w:rPr>
                    <w:t>；</w:t>
                  </w:r>
                  <w:r>
                    <w:rPr>
                      <w:rFonts w:hint="default" w:ascii="Times New Roman" w:hAnsi="Times New Roman" w:cs="Times New Roman"/>
                      <w:lang w:val="en-US" w:eastAsia="zh-CN"/>
                    </w:rPr>
                    <w:t>熔点/凝固点(</w:t>
                  </w:r>
                  <w:r>
                    <w:rPr>
                      <w:rFonts w:hint="eastAsia" w:ascii="Times New Roman" w:hAnsi="Times New Roman" w:cs="Times New Roman"/>
                      <w:lang w:val="en-US" w:eastAsia="zh-CN"/>
                    </w:rPr>
                    <w:t>℃</w:t>
                  </w:r>
                  <w:r>
                    <w:rPr>
                      <w:rFonts w:hint="default" w:ascii="Times New Roman" w:hAnsi="Times New Roman" w:cs="Times New Roman"/>
                      <w:lang w:val="en-US" w:eastAsia="zh-CN"/>
                    </w:rPr>
                    <w:t>)</w:t>
                  </w:r>
                  <w:r>
                    <w:rPr>
                      <w:rFonts w:hint="eastAsia" w:ascii="Times New Roman" w:hAnsi="Times New Roman" w:cs="Times New Roman"/>
                      <w:lang w:val="en-US" w:eastAsia="zh-CN"/>
                    </w:rPr>
                    <w:t>：</w:t>
                  </w:r>
                  <w:r>
                    <w:rPr>
                      <w:rFonts w:hint="default" w:ascii="Times New Roman" w:hAnsi="Times New Roman" w:cs="Times New Roman"/>
                      <w:lang w:val="en-US" w:eastAsia="zh-CN"/>
                    </w:rPr>
                    <w:t>380</w:t>
                  </w:r>
                  <w:r>
                    <w:rPr>
                      <w:rFonts w:hint="eastAsia" w:ascii="Times New Roman" w:hAnsi="Times New Roman" w:cs="Times New Roman"/>
                      <w:lang w:val="en-US" w:eastAsia="zh-CN"/>
                    </w:rPr>
                    <w:t>；</w:t>
                  </w:r>
                  <w:r>
                    <w:rPr>
                      <w:rFonts w:hint="default" w:ascii="Times New Roman" w:hAnsi="Times New Roman" w:cs="Times New Roman"/>
                      <w:lang w:val="en-US" w:eastAsia="zh-CN"/>
                    </w:rPr>
                    <w:t>折射率n20/D1.421</w:t>
                  </w:r>
                  <w:r>
                    <w:rPr>
                      <w:rFonts w:hint="eastAsia" w:ascii="Times New Roman" w:hAnsi="Times New Roman" w:cs="Times New Roman"/>
                      <w:lang w:val="en-US" w:eastAsia="zh-CN"/>
                    </w:rPr>
                    <w:t>；</w:t>
                  </w:r>
                  <w:r>
                    <w:rPr>
                      <w:rFonts w:hint="default" w:ascii="Times New Roman" w:hAnsi="Times New Roman" w:cs="Times New Roman"/>
                      <w:lang w:val="en-US" w:eastAsia="zh-CN"/>
                    </w:rPr>
                    <w:t>蒸汽压1mmHg(719℃)</w:t>
                  </w:r>
                  <w:r>
                    <w:rPr>
                      <w:rFonts w:hint="eastAsia" w:ascii="Times New Roman" w:hAnsi="Times New Roman" w:cs="Times New Roman"/>
                      <w:lang w:val="en-US" w:eastAsia="zh-CN"/>
                    </w:rPr>
                    <w:t>；</w:t>
                  </w:r>
                  <w:r>
                    <w:rPr>
                      <w:rFonts w:hint="default" w:ascii="Times New Roman" w:hAnsi="Times New Roman" w:cs="Times New Roman"/>
                      <w:lang w:val="en-US" w:eastAsia="zh-CN"/>
                    </w:rPr>
                    <w:t>相对密度(水=1)</w:t>
                  </w:r>
                  <w:r>
                    <w:rPr>
                      <w:rFonts w:hint="eastAsia" w:ascii="Times New Roman" w:hAnsi="Times New Roman" w:cs="Times New Roman"/>
                      <w:lang w:val="en-US" w:eastAsia="zh-CN"/>
                    </w:rPr>
                    <w:t>：</w:t>
                  </w:r>
                  <w:r>
                    <w:rPr>
                      <w:rFonts w:hint="default" w:ascii="Times New Roman" w:hAnsi="Times New Roman" w:cs="Times New Roman"/>
                      <w:lang w:val="en-US" w:eastAsia="zh-CN"/>
                    </w:rPr>
                    <w:t>2.04(20</w:t>
                  </w:r>
                  <w:r>
                    <w:rPr>
                      <w:rFonts w:hint="eastAsia" w:ascii="Times New Roman" w:hAnsi="Times New Roman" w:cs="Times New Roman"/>
                      <w:lang w:val="en-US" w:eastAsia="zh-CN"/>
                    </w:rPr>
                    <w:t>℃</w:t>
                  </w:r>
                  <w:r>
                    <w:rPr>
                      <w:rFonts w:hint="default" w:ascii="Times New Roman" w:hAnsi="Times New Roman" w:cs="Times New Roman"/>
                      <w:lang w:val="en-US" w:eastAsia="zh-CN"/>
                    </w:rPr>
                    <w:t>)</w:t>
                  </w:r>
                  <w:r>
                    <w:rPr>
                      <w:rFonts w:hint="eastAsia" w:ascii="Times New Roman" w:hAnsi="Times New Roman" w:cs="Times New Roman"/>
                      <w:lang w:val="en-US" w:eastAsia="zh-CN"/>
                    </w:rPr>
                    <w:t>；</w:t>
                  </w:r>
                  <w:r>
                    <w:rPr>
                      <w:rFonts w:hint="default" w:ascii="Times New Roman" w:hAnsi="Times New Roman" w:cs="Times New Roman"/>
                      <w:lang w:val="en-US" w:eastAsia="zh-CN"/>
                    </w:rPr>
                    <w:t>溶解性</w:t>
                  </w:r>
                  <w:r>
                    <w:rPr>
                      <w:rFonts w:hint="eastAsia" w:ascii="Times New Roman" w:hAnsi="Times New Roman" w:cs="Times New Roman"/>
                      <w:lang w:val="en-US" w:eastAsia="zh-CN"/>
                    </w:rPr>
                    <w:t>：</w:t>
                  </w:r>
                  <w:r>
                    <w:rPr>
                      <w:rFonts w:hint="default" w:ascii="Times New Roman" w:hAnsi="Times New Roman" w:cs="Times New Roman"/>
                      <w:lang w:val="en-US" w:eastAsia="zh-CN"/>
                    </w:rPr>
                    <w:t>与水混溶</w:t>
                  </w:r>
                  <w:r>
                    <w:rPr>
                      <w:rFonts w:hint="eastAsia" w:ascii="Times New Roman" w:hAnsi="Times New Roman" w:cs="Times New Roman"/>
                      <w:lang w:val="en-US" w:eastAsia="zh-CN"/>
                    </w:rPr>
                    <w:t>。</w:t>
                  </w:r>
                </w:p>
              </w:tc>
            </w:tr>
            <w:tr w14:paraId="37676F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79835A58">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58B38D57">
                  <w:pPr>
                    <w:jc w:val="center"/>
                    <w:rPr>
                      <w:rFonts w:hint="default" w:ascii="Times New Roman" w:hAnsi="Times New Roman" w:eastAsia="宋体" w:cs="Times New Roman"/>
                      <w:kern w:val="2"/>
                      <w:sz w:val="21"/>
                      <w:szCs w:val="24"/>
                      <w:lang w:val="en-US" w:eastAsia="zh-CN" w:bidi="ar-SA"/>
                    </w:rPr>
                  </w:pPr>
                  <w:r>
                    <w:rPr>
                      <w:rFonts w:hint="eastAsia"/>
                    </w:rPr>
                    <w:t>过硫酸钾</w:t>
                  </w:r>
                </w:p>
              </w:tc>
              <w:tc>
                <w:tcPr>
                  <w:tcW w:w="6261" w:type="dxa"/>
                  <w:tcBorders>
                    <w:tl2br w:val="nil"/>
                    <w:tr2bl w:val="nil"/>
                  </w:tcBorders>
                  <w:shd w:val="clear" w:color="auto" w:fill="auto"/>
                  <w:noWrap w:val="0"/>
                  <w:vAlign w:val="center"/>
                </w:tcPr>
                <w:p w14:paraId="54F4EED7">
                  <w:pPr>
                    <w:spacing w:before="51" w:line="240" w:lineRule="auto"/>
                    <w:jc w:val="left"/>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沸点1689°C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熔点1067°C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外观性状</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无色无臭晶体或白色粉末</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急性毒性LD50：802mg/kg（大鼠经口）</w:t>
                  </w:r>
                  <w:r>
                    <w:rPr>
                      <w:rFonts w:hint="eastAsia" w:ascii="Times New Roman" w:hAnsi="Times New Roman" w:eastAsia="宋体" w:cs="Times New Roman"/>
                      <w:color w:val="auto"/>
                      <w:szCs w:val="21"/>
                      <w:highlight w:val="none"/>
                      <w:shd w:val="clear" w:color="auto" w:fill="FFFFFF"/>
                      <w:lang w:val="en-US" w:eastAsia="zh-CN"/>
                    </w:rPr>
                    <w:t>。</w:t>
                  </w:r>
                </w:p>
              </w:tc>
            </w:tr>
            <w:tr w14:paraId="3E19E1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6C002AF5">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12B1C284">
                  <w:pPr>
                    <w:jc w:val="center"/>
                    <w:rPr>
                      <w:rFonts w:hint="default" w:ascii="Times New Roman" w:hAnsi="Times New Roman" w:eastAsia="宋体" w:cs="Times New Roman"/>
                      <w:kern w:val="2"/>
                      <w:sz w:val="21"/>
                      <w:szCs w:val="24"/>
                      <w:lang w:val="en-US" w:eastAsia="zh-CN" w:bidi="ar-SA"/>
                    </w:rPr>
                  </w:pPr>
                  <w:r>
                    <w:rPr>
                      <w:rFonts w:hint="eastAsia"/>
                    </w:rPr>
                    <w:t>碘化钾</w:t>
                  </w:r>
                </w:p>
              </w:tc>
              <w:tc>
                <w:tcPr>
                  <w:tcW w:w="6261" w:type="dxa"/>
                  <w:tcBorders>
                    <w:tl2br w:val="nil"/>
                    <w:tr2bl w:val="nil"/>
                  </w:tcBorders>
                  <w:shd w:val="clear" w:color="auto" w:fill="auto"/>
                  <w:noWrap w:val="0"/>
                  <w:vAlign w:val="center"/>
                </w:tcPr>
                <w:p w14:paraId="4C494F3F">
                  <w:pPr>
                    <w:spacing w:before="51" w:line="240" w:lineRule="auto"/>
                    <w:jc w:val="left"/>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无色或白色晶状粉末，无臭</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pH值：5~8（5%水溶液）</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.熔点（℃）：560（分解）</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.相对密度（水=1）：3.89</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溶解性：溶于水、稀硫酸，不溶于乙醇、液氨</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最低致死剂量经口-老鼠-531mg/kg</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最低致死剂量经口-豚鼠-400mg/kg半数致死剂量(LD50)腹膜内的-老鼠-136mg/kg</w:t>
                  </w:r>
                  <w:r>
                    <w:rPr>
                      <w:rFonts w:hint="eastAsia" w:ascii="Times New Roman" w:hAnsi="Times New Roman" w:eastAsia="宋体" w:cs="Times New Roman"/>
                      <w:color w:val="auto"/>
                      <w:szCs w:val="21"/>
                      <w:highlight w:val="none"/>
                      <w:shd w:val="clear" w:color="auto" w:fill="FFFFFF"/>
                      <w:lang w:val="en-US" w:eastAsia="zh-CN"/>
                    </w:rPr>
                    <w:t>。</w:t>
                  </w:r>
                </w:p>
              </w:tc>
            </w:tr>
            <w:tr w14:paraId="7D9EC0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5" w:type="dxa"/>
                  <w:tcBorders>
                    <w:tl2br w:val="nil"/>
                    <w:tr2bl w:val="nil"/>
                  </w:tcBorders>
                  <w:noWrap w:val="0"/>
                  <w:vAlign w:val="center"/>
                </w:tcPr>
                <w:p w14:paraId="26DC277D">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2B067F6">
                  <w:pPr>
                    <w:jc w:val="center"/>
                    <w:rPr>
                      <w:rFonts w:hint="default" w:ascii="Times New Roman" w:hAnsi="Times New Roman" w:eastAsia="宋体" w:cs="Times New Roman"/>
                      <w:kern w:val="2"/>
                      <w:sz w:val="21"/>
                      <w:szCs w:val="24"/>
                      <w:lang w:val="en-US" w:eastAsia="zh-CN" w:bidi="ar-SA"/>
                    </w:rPr>
                  </w:pPr>
                  <w:r>
                    <w:rPr>
                      <w:rFonts w:hint="eastAsia"/>
                    </w:rPr>
                    <w:t>无水硫酸钠</w:t>
                  </w:r>
                </w:p>
              </w:tc>
              <w:tc>
                <w:tcPr>
                  <w:tcW w:w="6261" w:type="dxa"/>
                  <w:tcBorders>
                    <w:tl2br w:val="nil"/>
                    <w:tr2bl w:val="nil"/>
                  </w:tcBorders>
                  <w:shd w:val="clear" w:color="auto" w:fill="auto"/>
                  <w:noWrap w:val="0"/>
                  <w:vAlign w:val="center"/>
                </w:tcPr>
                <w:p w14:paraId="72B3057E">
                  <w:pPr>
                    <w:spacing w:before="51" w:line="240" w:lineRule="auto"/>
                    <w:jc w:val="left"/>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外形为无色、透明、大的结晶或颗粒性小结晶。相对密度(水=1)</w:t>
                  </w:r>
                  <w:r>
                    <w:rPr>
                      <w:rFonts w:hint="eastAsia" w:ascii="Times New Roman" w:hAnsi="Times New Roman" w:eastAsia="宋体" w:cs="Times New Roman"/>
                      <w:color w:val="auto"/>
                      <w:szCs w:val="21"/>
                      <w:highlight w:val="none"/>
                      <w:shd w:val="clear" w:color="auto" w:fill="FFFFFF"/>
                      <w:lang w:val="en-US" w:eastAsia="zh-CN"/>
                    </w:rPr>
                    <w:t>：2.68；</w:t>
                  </w:r>
                  <w:r>
                    <w:rPr>
                      <w:rFonts w:hint="default" w:ascii="Times New Roman" w:hAnsi="Times New Roman" w:eastAsia="宋体" w:cs="Times New Roman"/>
                      <w:color w:val="auto"/>
                      <w:szCs w:val="21"/>
                      <w:highlight w:val="none"/>
                      <w:shd w:val="clear" w:color="auto" w:fill="FFFFFF"/>
                      <w:lang w:val="en-US" w:eastAsia="zh-CN"/>
                    </w:rPr>
                    <w:t>溶解性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不溶于乙醇，溶于水，溶于甘油。</w:t>
                  </w:r>
                </w:p>
              </w:tc>
            </w:tr>
            <w:tr w14:paraId="2B8387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980D1F9">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7F6CDE9D">
                  <w:pPr>
                    <w:jc w:val="center"/>
                    <w:rPr>
                      <w:rFonts w:hint="eastAsia" w:ascii="Times New Roman" w:hAnsi="Times New Roman" w:eastAsia="宋体" w:cs="Times New Roman"/>
                      <w:kern w:val="2"/>
                      <w:sz w:val="21"/>
                      <w:szCs w:val="24"/>
                      <w:lang w:val="en-US" w:eastAsia="zh-CN" w:bidi="ar-SA"/>
                    </w:rPr>
                  </w:pPr>
                  <w:r>
                    <w:rPr>
                      <w:rFonts w:hint="eastAsia"/>
                    </w:rPr>
                    <w:t>乙二胺四乙酸</w:t>
                  </w:r>
                  <w:r>
                    <w:rPr>
                      <w:rFonts w:hint="eastAsia"/>
                      <w:lang w:val="en-US" w:eastAsia="zh-CN"/>
                    </w:rPr>
                    <w:t>二钠</w:t>
                  </w:r>
                </w:p>
              </w:tc>
              <w:tc>
                <w:tcPr>
                  <w:tcW w:w="6261" w:type="dxa"/>
                  <w:tcBorders>
                    <w:tl2br w:val="nil"/>
                    <w:tr2bl w:val="nil"/>
                  </w:tcBorders>
                  <w:shd w:val="clear" w:color="auto" w:fill="auto"/>
                  <w:noWrap w:val="0"/>
                  <w:vAlign w:val="center"/>
                </w:tcPr>
                <w:p w14:paraId="29020329">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是一种重要的</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"https://baike.so.com/doc/6045856-6258872.html"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络合剂</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，可用作彩色感光材料冲洗加工的漂白</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"https://baike.so.com/doc/5137381-5367027.html"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定影液</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，染色助剂，纤维处理助剂，化妆品添加剂，血液</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"https://baike.so.com/doc/6157238-6370454.html"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抗凝剂</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，洗涤剂，稳定剂，合成橡胶聚合</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"https://baike.so.com/doc/391481-414523.html"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引发剂</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，是螯合剂的代表性物质。能和</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"https://baike.so.com/doc/5004730-5229492.html"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碱金属</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、稀土元素和</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"https://baike.so.com/doc/647060-684895.html"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过渡金属</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等形成稳定的</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"https://baike.so.com/doc/409163-433335.html"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水溶性</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配合物。</w:t>
                  </w:r>
                </w:p>
              </w:tc>
            </w:tr>
            <w:tr w14:paraId="479611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428B57F5">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0E0794D">
                  <w:pPr>
                    <w:jc w:val="center"/>
                    <w:rPr>
                      <w:rFonts w:hint="default" w:ascii="Times New Roman" w:hAnsi="Times New Roman" w:eastAsia="宋体" w:cs="Times New Roman"/>
                      <w:kern w:val="2"/>
                      <w:sz w:val="21"/>
                      <w:szCs w:val="24"/>
                      <w:lang w:val="en-US" w:eastAsia="zh-CN" w:bidi="ar-SA"/>
                    </w:rPr>
                  </w:pPr>
                  <w:r>
                    <w:rPr>
                      <w:rFonts w:hint="eastAsia"/>
                    </w:rPr>
                    <w:t>酒石酸钾钠</w:t>
                  </w:r>
                </w:p>
              </w:tc>
              <w:tc>
                <w:tcPr>
                  <w:tcW w:w="6261" w:type="dxa"/>
                  <w:tcBorders>
                    <w:tl2br w:val="nil"/>
                    <w:tr2bl w:val="nil"/>
                  </w:tcBorders>
                  <w:shd w:val="clear" w:color="auto" w:fill="auto"/>
                  <w:noWrap w:val="0"/>
                  <w:vAlign w:val="center"/>
                </w:tcPr>
                <w:p w14:paraId="348179DA">
                  <w:pPr>
                    <w:spacing w:before="51" w:line="240" w:lineRule="auto"/>
                    <w:jc w:val="both"/>
                    <w:rPr>
                      <w:rFonts w:hint="eastAsia"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无色半透明结晶或白色结晶粉末</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密度：1.79g/cm³</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熔点：75℃</w:t>
                  </w:r>
                  <w:r>
                    <w:rPr>
                      <w:rFonts w:hint="eastAsia" w:ascii="Times New Roman" w:hAnsi="Times New Roman" w:eastAsia="宋体" w:cs="Times New Roman"/>
                      <w:color w:val="auto"/>
                      <w:szCs w:val="21"/>
                      <w:highlight w:val="none"/>
                      <w:shd w:val="clear" w:color="auto" w:fill="FFFFFF"/>
                      <w:lang w:val="en-US" w:eastAsia="zh-CN"/>
                    </w:rPr>
                    <w:t>，</w:t>
                  </w:r>
                </w:p>
                <w:p w14:paraId="5A91CD9F">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易溶于水，不溶于乙醇</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在热空气中有风化性，60℃失去部分结晶水，215℃失去全部结晶水</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水溶液呈微碱性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具有一定的还原性。</w:t>
                  </w:r>
                </w:p>
              </w:tc>
            </w:tr>
            <w:tr w14:paraId="5368E3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2D72D33">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18E16A16">
                  <w:pPr>
                    <w:jc w:val="center"/>
                    <w:rPr>
                      <w:rFonts w:hint="default" w:ascii="Times New Roman" w:hAnsi="Times New Roman" w:eastAsia="宋体" w:cs="Times New Roman"/>
                      <w:kern w:val="2"/>
                      <w:sz w:val="21"/>
                      <w:szCs w:val="24"/>
                      <w:lang w:val="en-US" w:eastAsia="zh-CN" w:bidi="ar-SA"/>
                    </w:rPr>
                  </w:pPr>
                  <w:r>
                    <w:rPr>
                      <w:rFonts w:hint="eastAsia"/>
                    </w:rPr>
                    <w:t>无水磷酸氢二钠</w:t>
                  </w:r>
                </w:p>
              </w:tc>
              <w:tc>
                <w:tcPr>
                  <w:tcW w:w="6261" w:type="dxa"/>
                  <w:tcBorders>
                    <w:tl2br w:val="nil"/>
                    <w:tr2bl w:val="nil"/>
                  </w:tcBorders>
                  <w:shd w:val="clear" w:color="auto" w:fill="auto"/>
                  <w:noWrap w:val="0"/>
                  <w:vAlign w:val="center"/>
                </w:tcPr>
                <w:p w14:paraId="077E2C33">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外观</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无色透明单斜晶系棱形晶体</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熔点/凝固点(°C)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34.6</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溶解性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溶于水，不溶于乙醇</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相对密度(水=1)</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1.5</w:t>
                  </w:r>
                </w:p>
              </w:tc>
            </w:tr>
            <w:tr w14:paraId="6558AB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6ED31571">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155F616B">
                  <w:pPr>
                    <w:jc w:val="center"/>
                    <w:rPr>
                      <w:rFonts w:hint="default" w:ascii="Times New Roman" w:hAnsi="Times New Roman" w:eastAsia="宋体" w:cs="Times New Roman"/>
                      <w:kern w:val="2"/>
                      <w:sz w:val="21"/>
                      <w:szCs w:val="24"/>
                      <w:lang w:val="en-US" w:eastAsia="zh-CN" w:bidi="ar-SA"/>
                    </w:rPr>
                  </w:pPr>
                  <w:r>
                    <w:rPr>
                      <w:rFonts w:hint="eastAsia"/>
                    </w:rPr>
                    <w:t>柠檬酸三钠</w:t>
                  </w:r>
                </w:p>
              </w:tc>
              <w:tc>
                <w:tcPr>
                  <w:tcW w:w="6261" w:type="dxa"/>
                  <w:tcBorders>
                    <w:tl2br w:val="nil"/>
                    <w:tr2bl w:val="nil"/>
                  </w:tcBorders>
                  <w:shd w:val="clear" w:color="auto" w:fill="auto"/>
                  <w:noWrap w:val="0"/>
                  <w:vAlign w:val="center"/>
                </w:tcPr>
                <w:p w14:paraId="33D8C3C6">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水溶性：720g/L(25ºC)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沸点：熔点：&gt;300°C(lit.)</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蒸气压：闪点：173.9°C</w:t>
                  </w:r>
                </w:p>
                <w:p w14:paraId="5848738D">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溶解度：H2O</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100mg/mL</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颜色与性状：白色晶体或粉末，无嗅，有盐的咸味</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PH值：7.0-9.0(25℃</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50mg/mLinH2O)</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溶解性：微溶于乙醇，易溶于水和甘油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水溶液呈碱性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敏感性：对湿度敏感</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密度：1.76</w:t>
                  </w:r>
                  <w:r>
                    <w:rPr>
                      <w:rFonts w:hint="eastAsia" w:ascii="Times New Roman" w:hAnsi="Times New Roman" w:eastAsia="宋体" w:cs="Times New Roman"/>
                      <w:color w:val="auto"/>
                      <w:szCs w:val="21"/>
                      <w:highlight w:val="none"/>
                      <w:shd w:val="clear" w:color="auto" w:fill="FFFFFF"/>
                      <w:lang w:val="en-US" w:eastAsia="zh-CN"/>
                    </w:rPr>
                    <w:t>。</w:t>
                  </w:r>
                </w:p>
              </w:tc>
            </w:tr>
            <w:tr w14:paraId="5AA36B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131D26AD">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6F6B3A35">
                  <w:pPr>
                    <w:jc w:val="center"/>
                    <w:rPr>
                      <w:rFonts w:hint="default" w:ascii="Times New Roman" w:hAnsi="Times New Roman" w:eastAsia="宋体" w:cs="Times New Roman"/>
                      <w:kern w:val="2"/>
                      <w:sz w:val="21"/>
                      <w:szCs w:val="24"/>
                      <w:lang w:val="en-US" w:eastAsia="zh-CN" w:bidi="ar-SA"/>
                    </w:rPr>
                  </w:pPr>
                  <w:r>
                    <w:rPr>
                      <w:rFonts w:hint="eastAsia"/>
                    </w:rPr>
                    <w:t>二水磷酸二氢钠</w:t>
                  </w:r>
                </w:p>
              </w:tc>
              <w:tc>
                <w:tcPr>
                  <w:tcW w:w="6261" w:type="dxa"/>
                  <w:tcBorders>
                    <w:tl2br w:val="nil"/>
                    <w:tr2bl w:val="nil"/>
                  </w:tcBorders>
                  <w:shd w:val="clear" w:color="auto" w:fill="auto"/>
                  <w:noWrap w:val="0"/>
                  <w:vAlign w:val="center"/>
                </w:tcPr>
                <w:p w14:paraId="7E1D163F">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外观与性状</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白色结品粉木或颗粒、无味、微吸湿</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用于制革、处理锅炉水等</w:t>
                  </w:r>
                  <w:r>
                    <w:rPr>
                      <w:rFonts w:hint="eastAsia" w:ascii="Times New Roman" w:hAnsi="Times New Roman" w:eastAsia="宋体" w:cs="Times New Roman"/>
                      <w:color w:val="auto"/>
                      <w:szCs w:val="21"/>
                      <w:highlight w:val="none"/>
                      <w:shd w:val="clear" w:color="auto" w:fill="FFFFFF"/>
                      <w:lang w:val="en-US" w:eastAsia="zh-CN"/>
                    </w:rPr>
                    <w:t>；熔点：</w:t>
                  </w:r>
                  <w:r>
                    <w:rPr>
                      <w:rFonts w:hint="default" w:ascii="Times New Roman" w:hAnsi="Times New Roman" w:eastAsia="宋体" w:cs="Times New Roman"/>
                      <w:color w:val="auto"/>
                      <w:szCs w:val="21"/>
                      <w:highlight w:val="none"/>
                      <w:shd w:val="clear" w:color="auto" w:fill="FFFFFF"/>
                      <w:lang w:val="en-US" w:eastAsia="zh-CN"/>
                    </w:rPr>
                    <w:t>100(H</w:t>
                  </w:r>
                  <w:r>
                    <w:rPr>
                      <w:rFonts w:hint="eastAsia" w:ascii="Times New Roman" w:hAnsi="Times New Roman" w:eastAsia="宋体" w:cs="Times New Roman"/>
                      <w:color w:val="auto"/>
                      <w:szCs w:val="21"/>
                      <w:highlight w:val="none"/>
                      <w:shd w:val="clear" w:color="auto" w:fill="FFFFFF"/>
                      <w:lang w:val="en-US" w:eastAsia="zh-CN"/>
                    </w:rPr>
                    <w:t>2O</w:t>
                  </w:r>
                  <w:r>
                    <w:rPr>
                      <w:rFonts w:hint="default" w:ascii="Times New Roman" w:hAnsi="Times New Roman" w:eastAsia="宋体" w:cs="Times New Roman"/>
                      <w:color w:val="auto"/>
                      <w:szCs w:val="21"/>
                      <w:highlight w:val="none"/>
                      <w:shd w:val="clear" w:color="auto" w:fill="FFFFFF"/>
                      <w:lang w:val="en-US" w:eastAsia="zh-CN"/>
                    </w:rPr>
                    <w:t>)</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相对密度(水=1)</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2.040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溶于水，不溶于醇。急性毒性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LD50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8290mg/kg(大鼠经口)</w:t>
                  </w:r>
                  <w:r>
                    <w:rPr>
                      <w:rFonts w:hint="eastAsia" w:ascii="Times New Roman" w:hAnsi="Times New Roman" w:eastAsia="宋体" w:cs="Times New Roman"/>
                      <w:color w:val="auto"/>
                      <w:szCs w:val="21"/>
                      <w:highlight w:val="none"/>
                      <w:shd w:val="clear" w:color="auto" w:fill="FFFFFF"/>
                      <w:lang w:val="en-US" w:eastAsia="zh-CN"/>
                    </w:rPr>
                    <w:t>。</w:t>
                  </w:r>
                </w:p>
              </w:tc>
            </w:tr>
            <w:tr w14:paraId="0957C1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8AB7FBE">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767199BF">
                  <w:pPr>
                    <w:jc w:val="center"/>
                    <w:rPr>
                      <w:rFonts w:hint="default" w:ascii="Times New Roman" w:hAnsi="Times New Roman" w:eastAsia="宋体" w:cs="Times New Roman"/>
                      <w:kern w:val="2"/>
                      <w:sz w:val="21"/>
                      <w:szCs w:val="24"/>
                      <w:lang w:val="en-US" w:eastAsia="zh-CN" w:bidi="ar-SA"/>
                    </w:rPr>
                  </w:pPr>
                  <w:r>
                    <w:rPr>
                      <w:rFonts w:hint="eastAsia"/>
                    </w:rPr>
                    <w:t>碳酸氢钠</w:t>
                  </w:r>
                </w:p>
              </w:tc>
              <w:tc>
                <w:tcPr>
                  <w:tcW w:w="6261" w:type="dxa"/>
                  <w:tcBorders>
                    <w:tl2br w:val="nil"/>
                    <w:tr2bl w:val="nil"/>
                  </w:tcBorders>
                  <w:shd w:val="clear" w:color="auto" w:fill="auto"/>
                  <w:noWrap w:val="0"/>
                  <w:vAlign w:val="center"/>
                </w:tcPr>
                <w:p w14:paraId="74B08CDD">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白色结晶性粉末，无臭。易溶于水，20℃时溶解度约为9.6g/100 mL；不溶于乙醇、乙醚等有机溶剂。受热易分解，通常在50℃以上开始逐渐分解。热不稳定</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受热易分解，温度超过270℃时会完全分解，生成碳酸钠、水和二氧化碳</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可与氢氧化钠、氢氧化钾等强碱反应，生成正盐和水</w:t>
                  </w:r>
                  <w:r>
                    <w:rPr>
                      <w:rFonts w:hint="eastAsia" w:ascii="Times New Roman" w:hAnsi="Times New Roman" w:eastAsia="宋体" w:cs="Times New Roman"/>
                      <w:color w:val="auto"/>
                      <w:szCs w:val="21"/>
                      <w:highlight w:val="none"/>
                      <w:shd w:val="clear" w:color="auto" w:fill="FFFFFF"/>
                      <w:lang w:val="en-US" w:eastAsia="zh-CN"/>
                    </w:rPr>
                    <w:t>。</w:t>
                  </w:r>
                </w:p>
              </w:tc>
            </w:tr>
            <w:tr w14:paraId="0942BB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7B00881C">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34677E28">
                  <w:pPr>
                    <w:jc w:val="center"/>
                    <w:rPr>
                      <w:rFonts w:hint="default" w:ascii="Times New Roman" w:hAnsi="Times New Roman" w:eastAsia="宋体" w:cs="Times New Roman"/>
                      <w:kern w:val="2"/>
                      <w:sz w:val="21"/>
                      <w:szCs w:val="24"/>
                      <w:lang w:val="en-US" w:eastAsia="zh-CN" w:bidi="ar-SA"/>
                    </w:rPr>
                  </w:pPr>
                  <w:r>
                    <w:rPr>
                      <w:rFonts w:hint="eastAsia"/>
                    </w:rPr>
                    <w:t>亚硝酸钠</w:t>
                  </w:r>
                </w:p>
              </w:tc>
              <w:tc>
                <w:tcPr>
                  <w:tcW w:w="6261" w:type="dxa"/>
                  <w:tcBorders>
                    <w:tl2br w:val="nil"/>
                    <w:tr2bl w:val="nil"/>
                  </w:tcBorders>
                  <w:shd w:val="clear" w:color="auto" w:fill="auto"/>
                  <w:noWrap w:val="0"/>
                  <w:vAlign w:val="center"/>
                </w:tcPr>
                <w:p w14:paraId="5D4359DA">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白色或淡黄色细结晶，无臭，略有咸味，易潮解</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.pH值：9（水溶液）</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.熔点（℃）：271</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沸点（℃）：320（分解）</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相对密度（水=1）：2.17</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溶解性：易溶于水，微溶于乙醇、甲醇、乙醚。中等毒，半数致死量(大鼠，经口)180mg/kg。</w:t>
                  </w:r>
                </w:p>
              </w:tc>
            </w:tr>
            <w:tr w14:paraId="7727B9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15" w:type="dxa"/>
                  <w:tcBorders>
                    <w:tl2br w:val="nil"/>
                    <w:tr2bl w:val="nil"/>
                  </w:tcBorders>
                  <w:noWrap w:val="0"/>
                  <w:vAlign w:val="center"/>
                </w:tcPr>
                <w:p w14:paraId="1DD66C73">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559B3E1">
                  <w:pPr>
                    <w:jc w:val="center"/>
                    <w:rPr>
                      <w:rFonts w:hint="default" w:ascii="Times New Roman" w:hAnsi="Times New Roman" w:eastAsia="宋体" w:cs="Times New Roman"/>
                      <w:kern w:val="2"/>
                      <w:sz w:val="21"/>
                      <w:szCs w:val="24"/>
                      <w:lang w:val="en-US" w:eastAsia="zh-CN" w:bidi="ar-SA"/>
                    </w:rPr>
                  </w:pPr>
                  <w:r>
                    <w:rPr>
                      <w:rFonts w:hint="eastAsia"/>
                    </w:rPr>
                    <w:t>钼酸铵</w:t>
                  </w:r>
                </w:p>
              </w:tc>
              <w:tc>
                <w:tcPr>
                  <w:tcW w:w="6261" w:type="dxa"/>
                  <w:tcBorders>
                    <w:tl2br w:val="nil"/>
                    <w:tr2bl w:val="nil"/>
                  </w:tcBorders>
                  <w:shd w:val="clear" w:color="auto" w:fill="auto"/>
                  <w:noWrap w:val="0"/>
                  <w:vAlign w:val="center"/>
                </w:tcPr>
                <w:p w14:paraId="06863BA6">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外观与性状</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白色氨气味晶体</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分子式</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H8MoN2O4</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分子量</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1235.86</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90急性毒性LD50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333mg/kg(大鼠经口)</w:t>
                  </w:r>
                  <w:r>
                    <w:rPr>
                      <w:rFonts w:hint="eastAsia" w:ascii="Times New Roman" w:hAnsi="Times New Roman" w:cs="Times New Roman"/>
                      <w:color w:val="auto"/>
                      <w:szCs w:val="21"/>
                      <w:highlight w:val="none"/>
                      <w:shd w:val="clear" w:color="auto" w:fill="FFFFFF"/>
                      <w:lang w:val="en-US" w:eastAsia="zh-CN"/>
                    </w:rPr>
                    <w:t>。</w:t>
                  </w:r>
                </w:p>
              </w:tc>
            </w:tr>
            <w:tr w14:paraId="55929A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A5C7359">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78490F8E">
                  <w:pPr>
                    <w:jc w:val="center"/>
                    <w:rPr>
                      <w:rFonts w:hint="default" w:ascii="Times New Roman" w:hAnsi="Times New Roman" w:eastAsia="宋体" w:cs="Times New Roman"/>
                      <w:kern w:val="2"/>
                      <w:sz w:val="21"/>
                      <w:szCs w:val="24"/>
                      <w:lang w:val="en-US" w:eastAsia="zh-CN" w:bidi="ar-SA"/>
                    </w:rPr>
                  </w:pPr>
                  <w:r>
                    <w:rPr>
                      <w:rFonts w:hint="eastAsia"/>
                    </w:rPr>
                    <w:t>硫酸亚铁</w:t>
                  </w:r>
                </w:p>
              </w:tc>
              <w:tc>
                <w:tcPr>
                  <w:tcW w:w="6261" w:type="dxa"/>
                  <w:tcBorders>
                    <w:tl2br w:val="nil"/>
                    <w:tr2bl w:val="nil"/>
                  </w:tcBorders>
                  <w:shd w:val="clear" w:color="auto" w:fill="auto"/>
                  <w:noWrap w:val="0"/>
                  <w:vAlign w:val="center"/>
                </w:tcPr>
                <w:p w14:paraId="4548AF02">
                  <w:pPr>
                    <w:jc w:val="left"/>
                    <w:rPr>
                      <w:rFonts w:hint="default" w:ascii="Times New Roman" w:hAnsi="Times New Roman" w:cs="Times New Roman"/>
                      <w:lang w:val="en-US" w:eastAsia="zh-CN"/>
                    </w:rPr>
                  </w:pPr>
                  <w:r>
                    <w:rPr>
                      <w:rFonts w:hint="default" w:ascii="Times New Roman" w:hAnsi="Times New Roman" w:cs="Times New Roman"/>
                    </w:rPr>
                    <w:t>一种无机化合物，无水</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"https://baike.so.com/doc/1246072-1317817.html" \t "https://baike.so.com/doc/_blank" </w:instrText>
                  </w:r>
                  <w:r>
                    <w:rPr>
                      <w:rFonts w:hint="default" w:ascii="Times New Roman" w:hAnsi="Times New Roman" w:cs="Times New Roman"/>
                    </w:rPr>
                    <w:fldChar w:fldCharType="separate"/>
                  </w:r>
                  <w:r>
                    <w:rPr>
                      <w:rFonts w:hint="default" w:ascii="Times New Roman" w:hAnsi="Times New Roman" w:cs="Times New Roman"/>
                    </w:rPr>
                    <w:t>硫酸</w:t>
                  </w:r>
                  <w:r>
                    <w:rPr>
                      <w:rFonts w:hint="default" w:ascii="Times New Roman" w:hAnsi="Times New Roman" w:cs="Times New Roman"/>
                    </w:rPr>
                    <w:fldChar w:fldCharType="end"/>
                  </w:r>
                  <w:r>
                    <w:rPr>
                      <w:rFonts w:hint="default" w:ascii="Times New Roman" w:hAnsi="Times New Roman" w:cs="Times New Roman"/>
                    </w:rPr>
                    <w:t>亚铁是白色粉末，溶于水，水溶液为浅绿色，常见其七水合物（绿矾），对人体</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"https://baike.so.com/doc/4744684-4959890.html" \t "https://baike.so.com/doc/_blank" </w:instrText>
                  </w:r>
                  <w:r>
                    <w:rPr>
                      <w:rFonts w:hint="default" w:ascii="Times New Roman" w:hAnsi="Times New Roman" w:cs="Times New Roman"/>
                    </w:rPr>
                    <w:fldChar w:fldCharType="separate"/>
                  </w:r>
                  <w:r>
                    <w:rPr>
                      <w:rFonts w:hint="default" w:ascii="Times New Roman" w:hAnsi="Times New Roman" w:cs="Times New Roman"/>
                    </w:rPr>
                    <w:t>呼吸系统</w:t>
                  </w:r>
                  <w:r>
                    <w:rPr>
                      <w:rFonts w:hint="default" w:ascii="Times New Roman" w:hAnsi="Times New Roman" w:cs="Times New Roman"/>
                    </w:rPr>
                    <w:fldChar w:fldCharType="end"/>
                  </w:r>
                  <w:r>
                    <w:rPr>
                      <w:rFonts w:hint="default" w:ascii="Times New Roman" w:hAnsi="Times New Roman" w:cs="Times New Roman"/>
                    </w:rPr>
                    <w:t>及消化系统有刺激性，过量服用可导致生命危险。</w:t>
                  </w:r>
                </w:p>
              </w:tc>
            </w:tr>
            <w:tr w14:paraId="3A0A4F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3F0F52B3">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4A97193">
                  <w:pPr>
                    <w:jc w:val="center"/>
                    <w:rPr>
                      <w:rFonts w:hint="default" w:ascii="Times New Roman" w:hAnsi="Times New Roman" w:eastAsia="宋体" w:cs="Times New Roman"/>
                      <w:kern w:val="2"/>
                      <w:sz w:val="21"/>
                      <w:szCs w:val="24"/>
                      <w:lang w:val="en-US" w:eastAsia="zh-CN" w:bidi="ar-SA"/>
                    </w:rPr>
                  </w:pPr>
                  <w:r>
                    <w:rPr>
                      <w:rFonts w:hint="eastAsia"/>
                    </w:rPr>
                    <w:t>硫酸锌</w:t>
                  </w:r>
                </w:p>
              </w:tc>
              <w:tc>
                <w:tcPr>
                  <w:tcW w:w="6261" w:type="dxa"/>
                  <w:tcBorders>
                    <w:tl2br w:val="nil"/>
                    <w:tr2bl w:val="nil"/>
                  </w:tcBorders>
                  <w:shd w:val="clear" w:color="auto" w:fill="auto"/>
                  <w:noWrap w:val="0"/>
                  <w:vAlign w:val="center"/>
                </w:tcPr>
                <w:p w14:paraId="1E13BCC4">
                  <w:pPr>
                    <w:jc w:val="left"/>
                    <w:rPr>
                      <w:rFonts w:hint="default" w:ascii="Times New Roman" w:hAnsi="Times New Roman" w:cs="Times New Roman"/>
                      <w:lang w:val="en-US" w:eastAsia="zh-CN"/>
                    </w:rPr>
                  </w:pPr>
                  <w:r>
                    <w:rPr>
                      <w:rFonts w:hint="default" w:ascii="Times New Roman" w:hAnsi="Times New Roman" w:cs="Times New Roman"/>
                      <w:lang w:val="en-US" w:eastAsia="zh-CN"/>
                    </w:rPr>
                    <w:t>无色透明的针状或棱柱状晶体，或白色结晶性粉末；无水硫酸锌为白色粉末，无臭</w:t>
                  </w:r>
                  <w:r>
                    <w:rPr>
                      <w:rFonts w:hint="eastAsia" w:ascii="Times New Roman" w:hAnsi="Times New Roman" w:cs="Times New Roman"/>
                      <w:lang w:val="en-US" w:eastAsia="zh-CN"/>
                    </w:rPr>
                    <w:t>；</w:t>
                  </w:r>
                  <w:r>
                    <w:rPr>
                      <w:rFonts w:hint="default" w:ascii="Times New Roman" w:hAnsi="Times New Roman" w:cs="Times New Roman"/>
                      <w:lang w:val="en-US" w:eastAsia="zh-CN"/>
                    </w:rPr>
                    <w:t>易溶于水，20℃时溶解度约54.2g/100mL，溶解后溶液呈中性或弱酸性；微溶于乙醇、甘油，不溶于丙酮、乙醚等有机溶剂。</w:t>
                  </w:r>
                </w:p>
              </w:tc>
            </w:tr>
            <w:tr w14:paraId="39088B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13E395B8">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6FE3015D">
                  <w:pPr>
                    <w:jc w:val="center"/>
                    <w:rPr>
                      <w:rFonts w:hint="default" w:ascii="Times New Roman" w:hAnsi="Times New Roman" w:eastAsia="宋体" w:cs="Times New Roman"/>
                      <w:kern w:val="2"/>
                      <w:sz w:val="21"/>
                      <w:szCs w:val="24"/>
                      <w:lang w:val="en-US" w:eastAsia="zh-CN" w:bidi="ar-SA"/>
                    </w:rPr>
                  </w:pPr>
                  <w:r>
                    <w:rPr>
                      <w:rFonts w:hint="eastAsia"/>
                    </w:rPr>
                    <w:t>氟化铵</w:t>
                  </w:r>
                </w:p>
              </w:tc>
              <w:tc>
                <w:tcPr>
                  <w:tcW w:w="6261" w:type="dxa"/>
                  <w:tcBorders>
                    <w:tl2br w:val="nil"/>
                    <w:tr2bl w:val="nil"/>
                  </w:tcBorders>
                  <w:shd w:val="clear" w:color="auto" w:fill="auto"/>
                  <w:noWrap w:val="0"/>
                  <w:vAlign w:val="center"/>
                </w:tcPr>
                <w:p w14:paraId="39A8F401">
                  <w:pPr>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"https://baike.so.com/doc/5877236-6090104.html" \t "https://baike.so.com/doc/_blank" </w:instrText>
                  </w:r>
                  <w:r>
                    <w:rPr>
                      <w:rFonts w:hint="default" w:ascii="Times New Roman" w:hAnsi="Times New Roman" w:cs="Times New Roman"/>
                    </w:rPr>
                    <w:fldChar w:fldCharType="separate"/>
                  </w:r>
                  <w:r>
                    <w:rPr>
                      <w:rFonts w:hint="default" w:ascii="Times New Roman" w:hAnsi="Times New Roman" w:cs="Times New Roman"/>
                    </w:rPr>
                    <w:t>离子化合物</w:t>
                  </w:r>
                  <w:r>
                    <w:rPr>
                      <w:rFonts w:hint="default" w:ascii="Times New Roman" w:hAnsi="Times New Roman" w:cs="Times New Roman"/>
                    </w:rPr>
                    <w:fldChar w:fldCharType="end"/>
                  </w:r>
                  <w:r>
                    <w:rPr>
                      <w:rFonts w:hint="default" w:ascii="Times New Roman" w:hAnsi="Times New Roman" w:cs="Times New Roman"/>
                    </w:rPr>
                    <w:t>。室温下为白色或无色透明斜方晶系</w:t>
                  </w:r>
                  <w:r>
                    <w:rPr>
                      <w:rFonts w:hint="default" w:ascii="Times New Roman" w:hAnsi="Times New Roman" w:cs="Times New Roman"/>
                    </w:rPr>
                    <w:fldChar w:fldCharType="begin"/>
                  </w:r>
                  <w:r>
                    <w:rPr>
                      <w:rFonts w:hint="default" w:ascii="Times New Roman" w:hAnsi="Times New Roman" w:cs="Times New Roman"/>
                    </w:rPr>
                    <w:instrText xml:space="preserve"> HYPERLINK "https://baike.so.com/doc/5415254-5653399.html" \t "https://baike.so.com/doc/_blank" </w:instrText>
                  </w:r>
                  <w:r>
                    <w:rPr>
                      <w:rFonts w:hint="default" w:ascii="Times New Roman" w:hAnsi="Times New Roman" w:cs="Times New Roman"/>
                    </w:rPr>
                    <w:fldChar w:fldCharType="separate"/>
                  </w:r>
                  <w:r>
                    <w:rPr>
                      <w:rFonts w:hint="default" w:ascii="Times New Roman" w:hAnsi="Times New Roman" w:cs="Times New Roman"/>
                    </w:rPr>
                    <w:t>结晶</w:t>
                  </w:r>
                  <w:r>
                    <w:rPr>
                      <w:rFonts w:hint="default" w:ascii="Times New Roman" w:hAnsi="Times New Roman" w:cs="Times New Roman"/>
                    </w:rPr>
                    <w:fldChar w:fldCharType="end"/>
                  </w:r>
                  <w:r>
                    <w:rPr>
                      <w:rFonts w:hint="default" w:ascii="Times New Roman" w:hAnsi="Times New Roman" w:cs="Times New Roman"/>
                    </w:rPr>
                    <w:t>，略带酸味。易潮解，受热或遇热水分解为氨与氟化氢。热水中分解，水溶液呈强酸性。能腐蚀玻璃，对皮肤有腐蚀性。</w:t>
                  </w:r>
                </w:p>
              </w:tc>
            </w:tr>
            <w:tr w14:paraId="52C9EF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15E36A54">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602EA124">
                  <w:pPr>
                    <w:jc w:val="center"/>
                    <w:rPr>
                      <w:rFonts w:hint="default" w:ascii="Times New Roman" w:hAnsi="Times New Roman" w:eastAsia="宋体" w:cs="Times New Roman"/>
                      <w:kern w:val="2"/>
                      <w:sz w:val="21"/>
                      <w:szCs w:val="24"/>
                      <w:lang w:val="en-US" w:eastAsia="zh-CN" w:bidi="ar-SA"/>
                    </w:rPr>
                  </w:pPr>
                  <w:r>
                    <w:rPr>
                      <w:rFonts w:hint="eastAsia"/>
                    </w:rPr>
                    <w:t>硫酸亚铁铵</w:t>
                  </w:r>
                </w:p>
              </w:tc>
              <w:tc>
                <w:tcPr>
                  <w:tcW w:w="6261" w:type="dxa"/>
                  <w:tcBorders>
                    <w:tl2br w:val="nil"/>
                    <w:tr2bl w:val="nil"/>
                  </w:tcBorders>
                  <w:shd w:val="clear" w:color="auto" w:fill="auto"/>
                  <w:noWrap w:val="0"/>
                  <w:vAlign w:val="center"/>
                </w:tcPr>
                <w:p w14:paraId="5B51600B">
                  <w:pPr>
                    <w:jc w:val="left"/>
                    <w:rPr>
                      <w:rFonts w:hint="default" w:ascii="Times New Roman" w:hAnsi="Times New Roman" w:cs="Times New Roman"/>
                      <w:lang w:val="en-US" w:eastAsia="zh-CN"/>
                    </w:rPr>
                  </w:pPr>
                  <w:r>
                    <w:rPr>
                      <w:rFonts w:hint="eastAsia" w:ascii="Times New Roman" w:hAnsi="Times New Roman" w:cs="Times New Roman"/>
                      <w:lang w:val="en-US" w:eastAsia="zh-CN"/>
                    </w:rPr>
                    <w:t>熔点：</w:t>
                  </w:r>
                  <w:r>
                    <w:rPr>
                      <w:rFonts w:hint="default" w:ascii="Times New Roman" w:hAnsi="Times New Roman" w:cs="Times New Roman"/>
                      <w:lang w:val="en-US" w:eastAsia="zh-CN"/>
                    </w:rPr>
                    <w:t>100~110℃(分解)</w:t>
                  </w:r>
                  <w:r>
                    <w:rPr>
                      <w:rFonts w:hint="eastAsia" w:ascii="Times New Roman" w:hAnsi="Times New Roman" w:cs="Times New Roman"/>
                      <w:lang w:val="en-US" w:eastAsia="zh-CN"/>
                    </w:rPr>
                    <w:t>；外观：</w:t>
                  </w:r>
                  <w:r>
                    <w:rPr>
                      <w:rFonts w:hint="default" w:ascii="Times New Roman" w:hAnsi="Times New Roman" w:cs="Times New Roman"/>
                      <w:lang w:val="en-US" w:eastAsia="zh-CN"/>
                    </w:rPr>
                    <w:t>浅蓝色单斜晶体</w:t>
                  </w:r>
                  <w:r>
                    <w:rPr>
                      <w:rFonts w:hint="eastAsia" w:ascii="Times New Roman" w:hAnsi="Times New Roman" w:cs="Times New Roman"/>
                      <w:lang w:val="en-US" w:eastAsia="zh-CN"/>
                    </w:rPr>
                    <w:t>；</w:t>
                  </w:r>
                  <w:r>
                    <w:rPr>
                      <w:rFonts w:hint="default" w:ascii="Times New Roman" w:hAnsi="Times New Roman" w:cs="Times New Roman"/>
                      <w:lang w:val="en-US" w:eastAsia="zh-CN"/>
                    </w:rPr>
                    <w:t>水溶性</w:t>
                  </w:r>
                  <w:r>
                    <w:rPr>
                      <w:rFonts w:hint="eastAsia" w:ascii="Times New Roman" w:hAnsi="Times New Roman" w:cs="Times New Roman"/>
                      <w:lang w:val="en-US" w:eastAsia="zh-CN"/>
                    </w:rPr>
                    <w:t>：</w:t>
                  </w:r>
                  <w:r>
                    <w:rPr>
                      <w:rFonts w:hint="default" w:ascii="Times New Roman" w:hAnsi="Times New Roman" w:cs="Times New Roman"/>
                      <w:lang w:val="en-US" w:eastAsia="zh-CN"/>
                    </w:rPr>
                    <w:t>26.9g/100cc(20℃)低毒，半数致死量(大鼠，经口)3250mG/kG。有刺激性。</w:t>
                  </w:r>
                </w:p>
              </w:tc>
            </w:tr>
            <w:tr w14:paraId="5079CD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3287A77D">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A25678B">
                  <w:pPr>
                    <w:jc w:val="center"/>
                    <w:rPr>
                      <w:rFonts w:hint="default" w:ascii="Times New Roman" w:hAnsi="Times New Roman" w:eastAsia="宋体" w:cs="Times New Roman"/>
                      <w:kern w:val="2"/>
                      <w:sz w:val="21"/>
                      <w:szCs w:val="24"/>
                      <w:lang w:val="en-US" w:eastAsia="zh-CN" w:bidi="ar-SA"/>
                    </w:rPr>
                  </w:pPr>
                  <w:r>
                    <w:rPr>
                      <w:rFonts w:hint="eastAsia"/>
                    </w:rPr>
                    <w:t>酒石酸锑钾</w:t>
                  </w:r>
                </w:p>
              </w:tc>
              <w:tc>
                <w:tcPr>
                  <w:tcW w:w="6261" w:type="dxa"/>
                  <w:tcBorders>
                    <w:tl2br w:val="nil"/>
                    <w:tr2bl w:val="nil"/>
                  </w:tcBorders>
                  <w:shd w:val="clear" w:color="auto" w:fill="auto"/>
                  <w:noWrap w:val="0"/>
                  <w:vAlign w:val="center"/>
                </w:tcPr>
                <w:p w14:paraId="1551A221">
                  <w:pPr>
                    <w:jc w:val="left"/>
                    <w:rPr>
                      <w:rFonts w:hint="default" w:ascii="Times New Roman" w:hAnsi="Times New Roman" w:cs="Times New Roman"/>
                      <w:lang w:val="en-US" w:eastAsia="zh-CN"/>
                    </w:rPr>
                  </w:pPr>
                  <w:r>
                    <w:rPr>
                      <w:rFonts w:hint="default" w:ascii="Times New Roman" w:hAnsi="Times New Roman" w:cs="Times New Roman"/>
                      <w:lang w:val="en-US" w:eastAsia="zh-CN"/>
                    </w:rPr>
                    <w:t>分子式</w:t>
                  </w:r>
                  <w:r>
                    <w:rPr>
                      <w:rFonts w:hint="eastAsia" w:ascii="Times New Roman" w:hAnsi="Times New Roman" w:cs="Times New Roman"/>
                      <w:lang w:val="en-US" w:eastAsia="zh-CN"/>
                    </w:rPr>
                    <w:t>：</w:t>
                  </w:r>
                  <w:r>
                    <w:rPr>
                      <w:rFonts w:hint="default" w:ascii="Times New Roman" w:hAnsi="Times New Roman" w:cs="Times New Roman"/>
                      <w:lang w:val="en-US" w:eastAsia="zh-CN"/>
                    </w:rPr>
                    <w:t>C8H18K2O15Sb2</w:t>
                  </w:r>
                  <w:r>
                    <w:rPr>
                      <w:rFonts w:hint="eastAsia" w:ascii="Times New Roman" w:hAnsi="Times New Roman" w:cs="Times New Roman"/>
                      <w:lang w:val="en-US" w:eastAsia="zh-CN"/>
                    </w:rPr>
                    <w:t>；</w:t>
                  </w:r>
                  <w:r>
                    <w:rPr>
                      <w:rFonts w:hint="default" w:ascii="Times New Roman" w:hAnsi="Times New Roman" w:cs="Times New Roman"/>
                      <w:lang w:val="en-US" w:eastAsia="zh-CN"/>
                    </w:rPr>
                    <w:t>分子量为675.935</w:t>
                  </w:r>
                  <w:r>
                    <w:rPr>
                      <w:rFonts w:hint="eastAsia" w:ascii="Times New Roman" w:hAnsi="Times New Roman" w:cs="Times New Roman"/>
                      <w:lang w:val="en-US" w:eastAsia="zh-CN"/>
                    </w:rPr>
                    <w:t>；</w:t>
                  </w:r>
                  <w:r>
                    <w:rPr>
                      <w:rFonts w:hint="default" w:ascii="Times New Roman" w:hAnsi="Times New Roman" w:cs="Times New Roman"/>
                      <w:lang w:val="en-US" w:eastAsia="zh-CN"/>
                    </w:rPr>
                    <w:t>一种无色透明结晶体或白色颗粒粉末</w:t>
                  </w:r>
                  <w:r>
                    <w:rPr>
                      <w:rFonts w:hint="eastAsia" w:ascii="Times New Roman" w:hAnsi="Times New Roman" w:cs="Times New Roman"/>
                      <w:lang w:val="en-US" w:eastAsia="zh-CN"/>
                    </w:rPr>
                    <w:t>；</w:t>
                  </w:r>
                  <w:r>
                    <w:rPr>
                      <w:rFonts w:hint="default" w:ascii="Times New Roman" w:hAnsi="Times New Roman" w:cs="Times New Roman"/>
                      <w:lang w:val="en-US" w:eastAsia="zh-CN"/>
                    </w:rPr>
                    <w:t>密度</w:t>
                  </w:r>
                  <w:r>
                    <w:rPr>
                      <w:rFonts w:hint="default" w:ascii="Times New Roman" w:hAnsi="Times New Roman" w:cs="Times New Roman"/>
                      <w:lang w:val="en-US" w:eastAsia="zh-CN"/>
                    </w:rPr>
                    <w:tab/>
                  </w:r>
                  <w:r>
                    <w:rPr>
                      <w:rFonts w:hint="default" w:ascii="Times New Roman" w:hAnsi="Times New Roman" w:cs="Times New Roman"/>
                      <w:lang w:val="en-US" w:eastAsia="zh-CN"/>
                    </w:rPr>
                    <w:t>2.607g/cm3</w:t>
                  </w:r>
                  <w:r>
                    <w:rPr>
                      <w:rFonts w:hint="eastAsia" w:ascii="Times New Roman" w:hAnsi="Times New Roman" w:cs="Times New Roman"/>
                      <w:lang w:val="en-US" w:eastAsia="zh-CN"/>
                    </w:rPr>
                    <w:t>；</w:t>
                  </w:r>
                  <w:r>
                    <w:rPr>
                      <w:rFonts w:hint="default" w:ascii="Times New Roman" w:hAnsi="Times New Roman" w:cs="Times New Roman"/>
                      <w:lang w:val="en-US" w:eastAsia="zh-CN"/>
                    </w:rPr>
                    <w:t>熔点100ºC</w:t>
                  </w:r>
                  <w:r>
                    <w:rPr>
                      <w:rFonts w:hint="eastAsia" w:ascii="Times New Roman" w:hAnsi="Times New Roman" w:cs="Times New Roman"/>
                      <w:lang w:val="en-US" w:eastAsia="zh-CN"/>
                    </w:rPr>
                    <w:t>。</w:t>
                  </w:r>
                </w:p>
              </w:tc>
            </w:tr>
            <w:tr w14:paraId="7F5958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566DA064">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45FB02D">
                  <w:pPr>
                    <w:jc w:val="center"/>
                    <w:rPr>
                      <w:rFonts w:hint="default" w:ascii="Times New Roman" w:hAnsi="Times New Roman" w:eastAsia="宋体" w:cs="Times New Roman"/>
                      <w:kern w:val="2"/>
                      <w:sz w:val="21"/>
                      <w:szCs w:val="24"/>
                      <w:lang w:val="en-US" w:eastAsia="zh-CN" w:bidi="ar-SA"/>
                    </w:rPr>
                  </w:pPr>
                  <w:r>
                    <w:rPr>
                      <w:rFonts w:hint="eastAsia"/>
                    </w:rPr>
                    <w:t>硫酸铝钾</w:t>
                  </w:r>
                </w:p>
              </w:tc>
              <w:tc>
                <w:tcPr>
                  <w:tcW w:w="6261" w:type="dxa"/>
                  <w:tcBorders>
                    <w:tl2br w:val="nil"/>
                    <w:tr2bl w:val="nil"/>
                  </w:tcBorders>
                  <w:shd w:val="clear" w:color="auto" w:fill="auto"/>
                  <w:noWrap w:val="0"/>
                  <w:vAlign w:val="center"/>
                </w:tcPr>
                <w:p w14:paraId="0C3D415C">
                  <w:pPr>
                    <w:jc w:val="left"/>
                    <w:rPr>
                      <w:rFonts w:hint="default" w:ascii="Times New Roman" w:hAnsi="Times New Roman" w:cs="Times New Roman"/>
                      <w:lang w:val="en-US" w:eastAsia="zh-CN"/>
                    </w:rPr>
                  </w:pPr>
                  <w:r>
                    <w:rPr>
                      <w:rFonts w:hint="default" w:ascii="Times New Roman" w:hAnsi="Times New Roman" w:cs="Times New Roman"/>
                      <w:lang w:val="en-US" w:eastAsia="zh-CN"/>
                    </w:rPr>
                    <w:t>无色结晶或粉末。无气味，微甜而有涩味、有收敛性。在干燥空气中风化失去结晶水，在潮湿空气中溶化淌水。易溶于甘油，能溶于水，水溶液呈酸性反应，水解后有氢氧化铝胶状物沉淀。</w:t>
                  </w:r>
                </w:p>
              </w:tc>
            </w:tr>
            <w:tr w14:paraId="70FB3E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183A88DE">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157F2590">
                  <w:pPr>
                    <w:jc w:val="center"/>
                    <w:rPr>
                      <w:rFonts w:hint="default" w:ascii="Times New Roman" w:hAnsi="Times New Roman" w:eastAsia="宋体" w:cs="Times New Roman"/>
                      <w:kern w:val="2"/>
                      <w:sz w:val="21"/>
                      <w:szCs w:val="24"/>
                      <w:lang w:val="en-US" w:eastAsia="zh-CN" w:bidi="ar-SA"/>
                    </w:rPr>
                  </w:pPr>
                  <w:r>
                    <w:rPr>
                      <w:rFonts w:hint="eastAsia"/>
                    </w:rPr>
                    <w:t>五水硫酸铜</w:t>
                  </w:r>
                </w:p>
              </w:tc>
              <w:tc>
                <w:tcPr>
                  <w:tcW w:w="6261" w:type="dxa"/>
                  <w:tcBorders>
                    <w:tl2br w:val="nil"/>
                    <w:tr2bl w:val="nil"/>
                  </w:tcBorders>
                  <w:shd w:val="clear" w:color="auto" w:fill="auto"/>
                  <w:noWrap w:val="0"/>
                  <w:vAlign w:val="center"/>
                </w:tcPr>
                <w:p w14:paraId="1F377F5E">
                  <w:pPr>
                    <w:jc w:val="left"/>
                    <w:rPr>
                      <w:rFonts w:hint="default" w:ascii="Times New Roman" w:hAnsi="Times New Roman" w:cs="Times New Roman"/>
                      <w:lang w:val="en-US" w:eastAsia="zh-CN"/>
                    </w:rPr>
                  </w:pPr>
                  <w:r>
                    <w:rPr>
                      <w:rFonts w:hint="default" w:ascii="Times New Roman" w:hAnsi="Times New Roman" w:cs="Times New Roman"/>
                      <w:lang w:val="en-US" w:eastAsia="zh-CN"/>
                    </w:rPr>
                    <w:t>也被称作硫酸铜晶体，相对分子质量为250。俗称蓝矾、胆矾或铜矾。具有催吐，祛腐，解毒;治风痰壅塞，喉痹，癫痫，牙疳，口疮，烂弦风眼，痔疮，肿毒的功效并且有一定的副作用。</w:t>
                  </w:r>
                </w:p>
              </w:tc>
            </w:tr>
            <w:tr w14:paraId="004531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4AEAEC5B">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651AA29A">
                  <w:pPr>
                    <w:jc w:val="center"/>
                    <w:rPr>
                      <w:rFonts w:hint="default" w:ascii="Times New Roman" w:hAnsi="Times New Roman" w:eastAsia="宋体" w:cs="Times New Roman"/>
                      <w:kern w:val="2"/>
                      <w:sz w:val="21"/>
                      <w:szCs w:val="24"/>
                      <w:lang w:val="en-US" w:eastAsia="zh-CN" w:bidi="ar-SA"/>
                    </w:rPr>
                  </w:pPr>
                  <w:r>
                    <w:rPr>
                      <w:rFonts w:hint="eastAsia"/>
                    </w:rPr>
                    <w:t>三氯化铁</w:t>
                  </w:r>
                </w:p>
              </w:tc>
              <w:tc>
                <w:tcPr>
                  <w:tcW w:w="6261" w:type="dxa"/>
                  <w:tcBorders>
                    <w:tl2br w:val="nil"/>
                    <w:tr2bl w:val="nil"/>
                  </w:tcBorders>
                  <w:shd w:val="clear" w:color="auto" w:fill="auto"/>
                  <w:noWrap w:val="0"/>
                  <w:vAlign w:val="center"/>
                </w:tcPr>
                <w:p w14:paraId="7A42AB3E">
                  <w:pPr>
                    <w:jc w:val="left"/>
                    <w:rPr>
                      <w:rFonts w:hint="default" w:ascii="Times New Roman" w:hAnsi="Times New Roman" w:cs="Times New Roman"/>
                      <w:lang w:val="en-US" w:eastAsia="zh-CN"/>
                    </w:rPr>
                  </w:pPr>
                  <w:r>
                    <w:rPr>
                      <w:rFonts w:hint="default" w:ascii="Times New Roman" w:hAnsi="Times New Roman" w:cs="Times New Roman"/>
                      <w:lang w:val="en-US" w:eastAsia="zh-CN"/>
                    </w:rPr>
                    <w:t>氯化铁是一种共价无机化合物，化学式FeCl3。是一种共价化合物。为黑棕色结晶，也有薄片状，熔点306℃、沸点316℃ ，易溶于水并且有强烈的</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"https://baike.so.com/doc/6728418-6942701.html" \t "https://baike.so.com/doc/_blank"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吸水性</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，能吸收空气里的水分而潮解。FeCl3从水溶液析出时带六个</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"https://baike.so.com/doc/6031438-6244439.html" \t "https://baike.so.com/doc/_blank"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结晶水</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为FeCl3·6H2O，六水合氯化铁是橘黄色的晶体。氯化铁是一种很重要的</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"https://baike.so.com/doc/1671389-1767153.html" \t "https://baike.so.com/doc/_blank"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铁盐</w:t>
                  </w:r>
                  <w:r>
                    <w:rPr>
                      <w:rFonts w:hint="default" w:ascii="Times New Roman" w:hAnsi="Times New Roman" w:cs="Times New Roman"/>
                      <w:lang w:val="en-US" w:eastAsia="zh-CN"/>
                    </w:rPr>
                    <w:fldChar w:fldCharType="end"/>
                  </w:r>
                  <w:r>
                    <w:rPr>
                      <w:rFonts w:hint="default" w:ascii="Times New Roman" w:hAnsi="Times New Roman" w:cs="Times New Roman"/>
                      <w:lang w:val="en-US" w:eastAsia="zh-CN"/>
                    </w:rPr>
                    <w:t>。</w:t>
                  </w:r>
                </w:p>
              </w:tc>
            </w:tr>
            <w:tr w14:paraId="736D09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69DB21F1">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36F6A87">
                  <w:pPr>
                    <w:jc w:val="center"/>
                    <w:rPr>
                      <w:rFonts w:hint="default" w:ascii="Times New Roman" w:hAnsi="Times New Roman" w:eastAsia="宋体" w:cs="Times New Roman"/>
                      <w:kern w:val="2"/>
                      <w:sz w:val="21"/>
                      <w:szCs w:val="24"/>
                      <w:lang w:val="en-US" w:eastAsia="zh-CN" w:bidi="ar-SA"/>
                    </w:rPr>
                  </w:pPr>
                  <w:r>
                    <w:rPr>
                      <w:rFonts w:hint="eastAsia"/>
                    </w:rPr>
                    <w:t>硼酸</w:t>
                  </w:r>
                </w:p>
              </w:tc>
              <w:tc>
                <w:tcPr>
                  <w:tcW w:w="6261" w:type="dxa"/>
                  <w:tcBorders>
                    <w:tl2br w:val="nil"/>
                    <w:tr2bl w:val="nil"/>
                  </w:tcBorders>
                  <w:shd w:val="clear" w:color="auto" w:fill="auto"/>
                  <w:noWrap w:val="0"/>
                  <w:vAlign w:val="center"/>
                </w:tcPr>
                <w:p w14:paraId="4DD4AC80">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化学品类别</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无机酸</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管制类型</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弱酸性(不受管制)</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化学式</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HBO</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含量</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纯品</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169</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沸点</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300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外观</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白色结晶性粉末或无色微带珍珠状光泽的磷片或六角三斜结晶。大鼠经口最低中毒剂量(TDL0)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6600mg/kg(孕1~21天)</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引起胚胎发育迟缓、肌肉骨骼发育异常。</w:t>
                  </w:r>
                </w:p>
              </w:tc>
            </w:tr>
            <w:tr w14:paraId="5529C4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B24C279">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1C2491E7">
                  <w:pPr>
                    <w:jc w:val="center"/>
                    <w:rPr>
                      <w:rFonts w:hint="default" w:ascii="Times New Roman" w:hAnsi="Times New Roman" w:eastAsia="宋体" w:cs="Times New Roman"/>
                      <w:kern w:val="2"/>
                      <w:sz w:val="21"/>
                      <w:szCs w:val="24"/>
                      <w:lang w:val="en-US" w:eastAsia="zh-CN" w:bidi="ar-SA"/>
                    </w:rPr>
                  </w:pPr>
                  <w:r>
                    <w:rPr>
                      <w:rFonts w:hint="eastAsia"/>
                    </w:rPr>
                    <w:t>硅酸镁</w:t>
                  </w:r>
                </w:p>
              </w:tc>
              <w:tc>
                <w:tcPr>
                  <w:tcW w:w="6261" w:type="dxa"/>
                  <w:tcBorders>
                    <w:tl2br w:val="nil"/>
                    <w:tr2bl w:val="nil"/>
                  </w:tcBorders>
                  <w:shd w:val="clear" w:color="auto" w:fill="auto"/>
                  <w:noWrap w:val="0"/>
                  <w:vAlign w:val="center"/>
                </w:tcPr>
                <w:p w14:paraId="03FD01CD">
                  <w:pPr>
                    <w:jc w:val="left"/>
                    <w:rPr>
                      <w:rFonts w:hint="eastAsia" w:ascii="Times New Roman" w:hAnsi="Times New Roman" w:cs="Times New Roman"/>
                    </w:rPr>
                  </w:pPr>
                  <w:r>
                    <w:rPr>
                      <w:rFonts w:hint="eastAsia" w:ascii="Times New Roman" w:hAnsi="Times New Roman" w:cs="Times New Roman"/>
                    </w:rPr>
                    <w:t>无臭、无味、无沙粒感的白色粉末。不溶于水或乙醇，易受无机酸分解，与硫酸作用生成硫酸镁和二氧化硅。</w:t>
                  </w:r>
                </w:p>
              </w:tc>
            </w:tr>
            <w:tr w14:paraId="586A58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4F66BBB1">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1C78BF6C">
                  <w:pPr>
                    <w:jc w:val="center"/>
                    <w:rPr>
                      <w:rFonts w:hint="default" w:ascii="Times New Roman" w:hAnsi="Times New Roman" w:eastAsia="宋体" w:cs="Times New Roman"/>
                      <w:kern w:val="2"/>
                      <w:sz w:val="21"/>
                      <w:szCs w:val="24"/>
                      <w:lang w:val="en-US" w:eastAsia="zh-CN" w:bidi="ar-SA"/>
                    </w:rPr>
                  </w:pPr>
                  <w:r>
                    <w:rPr>
                      <w:rFonts w:hint="eastAsia"/>
                    </w:rPr>
                    <w:t>酒石酸</w:t>
                  </w:r>
                </w:p>
              </w:tc>
              <w:tc>
                <w:tcPr>
                  <w:tcW w:w="6261" w:type="dxa"/>
                  <w:tcBorders>
                    <w:tl2br w:val="nil"/>
                    <w:tr2bl w:val="nil"/>
                  </w:tcBorders>
                  <w:shd w:val="clear" w:color="auto" w:fill="auto"/>
                  <w:noWrap w:val="0"/>
                  <w:vAlign w:val="center"/>
                </w:tcPr>
                <w:p w14:paraId="42480405">
                  <w:pPr>
                    <w:jc w:val="left"/>
                    <w:rPr>
                      <w:rFonts w:hint="default" w:ascii="Times New Roman" w:hAnsi="Times New Roman" w:cs="Times New Roman"/>
                      <w:lang w:val="en-US" w:eastAsia="zh-CN"/>
                    </w:rPr>
                  </w:pPr>
                  <w:r>
                    <w:rPr>
                      <w:rFonts w:hint="default" w:ascii="Times New Roman" w:hAnsi="Times New Roman" w:cs="Times New Roman"/>
                      <w:lang w:val="en-US" w:eastAsia="zh-CN"/>
                    </w:rPr>
                    <w:t>无色透明或白色的结晶性粉末，也可能呈无色针状晶体</w:t>
                  </w:r>
                  <w:r>
                    <w:rPr>
                      <w:rFonts w:hint="eastAsia" w:ascii="Times New Roman" w:hAnsi="Times New Roman" w:cs="Times New Roman"/>
                      <w:lang w:val="en-US" w:eastAsia="zh-CN"/>
                    </w:rPr>
                    <w:t>，</w:t>
                  </w:r>
                  <w:r>
                    <w:rPr>
                      <w:rFonts w:hint="default" w:ascii="Times New Roman" w:hAnsi="Times New Roman" w:cs="Times New Roman"/>
                      <w:lang w:val="en-US" w:eastAsia="zh-CN"/>
                    </w:rPr>
                    <w:t>无臭，味酸</w:t>
                  </w:r>
                  <w:r>
                    <w:rPr>
                      <w:rFonts w:hint="eastAsia" w:ascii="Times New Roman" w:hAnsi="Times New Roman" w:cs="Times New Roman"/>
                      <w:lang w:val="en-US" w:eastAsia="zh-CN"/>
                    </w:rPr>
                    <w:t>，</w:t>
                  </w:r>
                  <w:r>
                    <w:rPr>
                      <w:rFonts w:hint="default" w:ascii="Times New Roman" w:hAnsi="Times New Roman" w:cs="Times New Roman"/>
                      <w:lang w:val="en-US" w:eastAsia="zh-CN"/>
                    </w:rPr>
                    <w:t>易溶于水，20℃时溶解度约为 139 g/100mL；也易溶于乙醇、甲醇，微溶于乙醚，不溶于氯仿</w:t>
                  </w:r>
                  <w:r>
                    <w:rPr>
                      <w:rFonts w:hint="eastAsia" w:ascii="Times New Roman" w:hAnsi="Times New Roman" w:cs="Times New Roman"/>
                      <w:lang w:val="en-US" w:eastAsia="zh-CN"/>
                    </w:rPr>
                    <w:t>；</w:t>
                  </w:r>
                  <w:r>
                    <w:rPr>
                      <w:rFonts w:hint="default" w:ascii="Times New Roman" w:hAnsi="Times New Roman" w:cs="Times New Roman"/>
                      <w:lang w:val="en-US" w:eastAsia="zh-CN"/>
                    </w:rPr>
                    <w:t>天然存在的酒石酸（如L-酒石酸）具有旋光性，能使偏振光的振动平面发生旋转；而DL-酒石酸（外消旋体）无旋光性。</w:t>
                  </w:r>
                </w:p>
              </w:tc>
            </w:tr>
            <w:tr w14:paraId="0FD267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70AA9091">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733D96C0">
                  <w:pPr>
                    <w:jc w:val="center"/>
                    <w:rPr>
                      <w:rFonts w:hint="default" w:ascii="Times New Roman" w:hAnsi="Times New Roman" w:eastAsia="宋体" w:cs="Times New Roman"/>
                      <w:kern w:val="2"/>
                      <w:sz w:val="21"/>
                      <w:szCs w:val="24"/>
                      <w:lang w:val="en-US" w:eastAsia="zh-CN" w:bidi="ar-SA"/>
                    </w:rPr>
                  </w:pPr>
                  <w:r>
                    <w:rPr>
                      <w:rFonts w:hint="eastAsia"/>
                    </w:rPr>
                    <w:t>二苯基碳酰二肼</w:t>
                  </w:r>
                </w:p>
              </w:tc>
              <w:tc>
                <w:tcPr>
                  <w:tcW w:w="6261" w:type="dxa"/>
                  <w:tcBorders>
                    <w:tl2br w:val="nil"/>
                    <w:tr2bl w:val="nil"/>
                  </w:tcBorders>
                  <w:shd w:val="clear" w:color="auto" w:fill="auto"/>
                  <w:noWrap w:val="0"/>
                  <w:vAlign w:val="center"/>
                </w:tcPr>
                <w:p w14:paraId="6751886E">
                  <w:pPr>
                    <w:jc w:val="left"/>
                    <w:rPr>
                      <w:rFonts w:hint="default" w:ascii="Times New Roman" w:hAnsi="Times New Roman" w:cs="Times New Roman"/>
                      <w:lang w:val="en-US" w:eastAsia="zh-CN"/>
                    </w:rPr>
                  </w:pPr>
                  <w:r>
                    <w:rPr>
                      <w:rFonts w:hint="default" w:ascii="Times New Roman" w:hAnsi="Times New Roman" w:cs="Times New Roman"/>
                      <w:lang w:val="en-US" w:eastAsia="zh-CN"/>
                    </w:rPr>
                    <w:t>无色至灰色结晶体</w:t>
                  </w:r>
                  <w:r>
                    <w:rPr>
                      <w:rFonts w:hint="eastAsia" w:ascii="Times New Roman" w:hAnsi="Times New Roman" w:cs="Times New Roman"/>
                      <w:lang w:val="en-US" w:eastAsia="zh-CN"/>
                    </w:rPr>
                    <w:t>，</w:t>
                  </w:r>
                  <w:r>
                    <w:rPr>
                      <w:rFonts w:hint="default" w:ascii="Times New Roman" w:hAnsi="Times New Roman" w:cs="Times New Roman"/>
                      <w:lang w:val="en-US" w:eastAsia="zh-CN"/>
                    </w:rPr>
                    <w:t>熔点(°C)</w:t>
                  </w:r>
                  <w:r>
                    <w:rPr>
                      <w:rFonts w:hint="eastAsia" w:ascii="Times New Roman" w:hAnsi="Times New Roman" w:cs="Times New Roman"/>
                      <w:lang w:val="en-US" w:eastAsia="zh-CN"/>
                    </w:rPr>
                    <w:t>：</w:t>
                  </w:r>
                  <w:r>
                    <w:rPr>
                      <w:rFonts w:hint="default" w:ascii="Times New Roman" w:hAnsi="Times New Roman" w:cs="Times New Roman"/>
                      <w:lang w:val="en-US" w:eastAsia="zh-CN"/>
                    </w:rPr>
                    <w:t>52.85</w:t>
                  </w:r>
                  <w:r>
                    <w:rPr>
                      <w:rFonts w:hint="eastAsia" w:ascii="Times New Roman" w:hAnsi="Times New Roman" w:cs="Times New Roman"/>
                      <w:lang w:val="en-US" w:eastAsia="zh-CN"/>
                    </w:rPr>
                    <w:t>；</w:t>
                  </w:r>
                  <w:r>
                    <w:rPr>
                      <w:rFonts w:hint="default" w:ascii="Times New Roman" w:hAnsi="Times New Roman" w:cs="Times New Roman"/>
                      <w:lang w:val="en-US" w:eastAsia="zh-CN"/>
                    </w:rPr>
                    <w:t>沸点(°C)</w:t>
                  </w:r>
                  <w:r>
                    <w:rPr>
                      <w:rFonts w:hint="eastAsia" w:ascii="Times New Roman" w:hAnsi="Times New Roman" w:cs="Times New Roman"/>
                      <w:lang w:val="en-US" w:eastAsia="zh-CN"/>
                    </w:rPr>
                    <w:t>：</w:t>
                  </w:r>
                  <w:r>
                    <w:rPr>
                      <w:rFonts w:hint="default" w:ascii="Times New Roman" w:hAnsi="Times New Roman" w:cs="Times New Roman"/>
                      <w:lang w:val="en-US" w:eastAsia="zh-CN"/>
                    </w:rPr>
                    <w:t>302</w:t>
                  </w:r>
                  <w:r>
                    <w:rPr>
                      <w:rFonts w:hint="eastAsia" w:ascii="Times New Roman" w:hAnsi="Times New Roman" w:cs="Times New Roman"/>
                      <w:lang w:val="en-US" w:eastAsia="zh-CN"/>
                    </w:rPr>
                    <w:t>；</w:t>
                  </w:r>
                  <w:r>
                    <w:rPr>
                      <w:rFonts w:hint="default" w:ascii="Times New Roman" w:hAnsi="Times New Roman" w:cs="Times New Roman"/>
                      <w:lang w:val="en-US" w:eastAsia="zh-CN"/>
                    </w:rPr>
                    <w:t>相对密度(水=1)</w:t>
                  </w:r>
                  <w:r>
                    <w:rPr>
                      <w:rFonts w:hint="eastAsia" w:ascii="Times New Roman" w:hAnsi="Times New Roman" w:cs="Times New Roman"/>
                      <w:lang w:val="en-US" w:eastAsia="zh-CN"/>
                    </w:rPr>
                    <w:t>：</w:t>
                  </w:r>
                  <w:r>
                    <w:rPr>
                      <w:rFonts w:hint="default" w:ascii="Times New Roman" w:hAnsi="Times New Roman" w:cs="Times New Roman"/>
                      <w:lang w:val="en-US" w:eastAsia="zh-CN"/>
                    </w:rPr>
                    <w:t>1.16</w:t>
                  </w:r>
                  <w:r>
                    <w:rPr>
                      <w:rFonts w:hint="eastAsia" w:ascii="Times New Roman" w:hAnsi="Times New Roman" w:cs="Times New Roman"/>
                      <w:lang w:val="en-US" w:eastAsia="zh-CN"/>
                    </w:rPr>
                    <w:t>；</w:t>
                  </w:r>
                  <w:r>
                    <w:rPr>
                      <w:rFonts w:hint="default" w:ascii="Times New Roman" w:hAnsi="Times New Roman" w:cs="Times New Roman"/>
                      <w:lang w:val="en-US" w:eastAsia="zh-CN"/>
                    </w:rPr>
                    <w:t>闪点(°C)</w:t>
                  </w:r>
                  <w:r>
                    <w:rPr>
                      <w:rFonts w:hint="eastAsia" w:ascii="Times New Roman" w:hAnsi="Times New Roman" w:cs="Times New Roman"/>
                      <w:lang w:val="en-US" w:eastAsia="zh-CN"/>
                    </w:rPr>
                    <w:t>：</w:t>
                  </w:r>
                  <w:r>
                    <w:rPr>
                      <w:rFonts w:hint="default" w:ascii="Times New Roman" w:hAnsi="Times New Roman" w:cs="Times New Roman"/>
                      <w:lang w:val="en-US" w:eastAsia="zh-CN"/>
                    </w:rPr>
                    <w:t>153</w:t>
                  </w:r>
                  <w:r>
                    <w:rPr>
                      <w:rFonts w:hint="eastAsia" w:ascii="Times New Roman" w:hAnsi="Times New Roman" w:cs="Times New Roman"/>
                      <w:lang w:val="en-US" w:eastAsia="zh-CN"/>
                    </w:rPr>
                    <w:t>；</w:t>
                  </w:r>
                  <w:r>
                    <w:rPr>
                      <w:rFonts w:hint="default" w:ascii="Times New Roman" w:hAnsi="Times New Roman" w:cs="Times New Roman"/>
                      <w:lang w:val="en-US" w:eastAsia="zh-CN"/>
                    </w:rPr>
                    <w:t>引燃温度(°C)</w:t>
                  </w:r>
                  <w:r>
                    <w:rPr>
                      <w:rFonts w:hint="eastAsia" w:ascii="Times New Roman" w:hAnsi="Times New Roman" w:cs="Times New Roman"/>
                      <w:lang w:val="en-US" w:eastAsia="zh-CN"/>
                    </w:rPr>
                    <w:t>：</w:t>
                  </w:r>
                  <w:r>
                    <w:rPr>
                      <w:rFonts w:hint="default" w:ascii="Times New Roman" w:hAnsi="Times New Roman" w:cs="Times New Roman"/>
                      <w:lang w:val="en-US" w:eastAsia="zh-CN"/>
                    </w:rPr>
                    <w:t>630</w:t>
                  </w:r>
                  <w:r>
                    <w:rPr>
                      <w:rFonts w:hint="eastAsia" w:ascii="Times New Roman" w:hAnsi="Times New Roman" w:cs="Times New Roman"/>
                      <w:lang w:val="en-US" w:eastAsia="zh-CN"/>
                    </w:rPr>
                    <w:t>；</w:t>
                  </w:r>
                  <w:r>
                    <w:rPr>
                      <w:rFonts w:hint="default" w:ascii="Times New Roman" w:hAnsi="Times New Roman" w:cs="Times New Roman"/>
                      <w:lang w:val="en-US" w:eastAsia="zh-CN"/>
                    </w:rPr>
                    <w:t>不溶于水，溶于二硫化碳、苯、乙醇、乙醚等。急性毒性</w:t>
                  </w:r>
                  <w:r>
                    <w:rPr>
                      <w:rFonts w:hint="eastAsia" w:ascii="Times New Roman" w:hAnsi="Times New Roman" w:cs="Times New Roman"/>
                      <w:lang w:val="en-US" w:eastAsia="zh-CN"/>
                    </w:rPr>
                    <w:t>：</w:t>
                  </w:r>
                  <w:r>
                    <w:rPr>
                      <w:rFonts w:hint="default" w:ascii="Times New Roman" w:hAnsi="Times New Roman" w:cs="Times New Roman"/>
                      <w:lang w:val="en-US" w:eastAsia="zh-CN"/>
                    </w:rPr>
                    <w:t>LD50</w:t>
                  </w:r>
                  <w:r>
                    <w:rPr>
                      <w:rFonts w:hint="eastAsia" w:ascii="Times New Roman" w:hAnsi="Times New Roman" w:cs="Times New Roman"/>
                      <w:lang w:val="en-US" w:eastAsia="zh-CN"/>
                    </w:rPr>
                    <w:t>：</w:t>
                  </w:r>
                  <w:r>
                    <w:rPr>
                      <w:rFonts w:hint="default" w:ascii="Times New Roman" w:hAnsi="Times New Roman" w:cs="Times New Roman"/>
                      <w:lang w:val="en-US" w:eastAsia="zh-CN"/>
                    </w:rPr>
                    <w:t>2900mg/kg(小鼠经口)</w:t>
                  </w:r>
                  <w:r>
                    <w:rPr>
                      <w:rFonts w:hint="eastAsia" w:ascii="Times New Roman" w:hAnsi="Times New Roman" w:cs="Times New Roman"/>
                      <w:lang w:val="en-US" w:eastAsia="zh-CN"/>
                    </w:rPr>
                    <w:t>；</w:t>
                  </w:r>
                  <w:r>
                    <w:rPr>
                      <w:rFonts w:hint="default" w:ascii="Times New Roman" w:hAnsi="Times New Roman" w:cs="Times New Roman"/>
                      <w:lang w:val="en-US" w:eastAsia="zh-CN"/>
                    </w:rPr>
                    <w:t>11500mg/kg(大鼠经口)</w:t>
                  </w:r>
                  <w:r>
                    <w:rPr>
                      <w:rFonts w:hint="eastAsia" w:ascii="Times New Roman" w:hAnsi="Times New Roman" w:cs="Times New Roman"/>
                      <w:lang w:val="en-US" w:eastAsia="zh-CN"/>
                    </w:rPr>
                    <w:t>。</w:t>
                  </w:r>
                </w:p>
              </w:tc>
            </w:tr>
            <w:tr w14:paraId="4E6CF0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0426B8C6">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743B4B0C">
                  <w:pPr>
                    <w:jc w:val="center"/>
                    <w:rPr>
                      <w:rFonts w:hint="default" w:ascii="Times New Roman" w:hAnsi="Times New Roman" w:eastAsia="宋体" w:cs="Times New Roman"/>
                      <w:kern w:val="2"/>
                      <w:sz w:val="21"/>
                      <w:szCs w:val="24"/>
                      <w:lang w:val="en-US" w:eastAsia="zh-CN" w:bidi="ar-SA"/>
                    </w:rPr>
                  </w:pPr>
                  <w:r>
                    <w:rPr>
                      <w:rFonts w:hint="eastAsia"/>
                    </w:rPr>
                    <w:t>4-氨基安替比林</w:t>
                  </w:r>
                </w:p>
              </w:tc>
              <w:tc>
                <w:tcPr>
                  <w:tcW w:w="6261" w:type="dxa"/>
                  <w:tcBorders>
                    <w:tl2br w:val="nil"/>
                    <w:tr2bl w:val="nil"/>
                  </w:tcBorders>
                  <w:shd w:val="clear" w:color="auto" w:fill="auto"/>
                  <w:noWrap w:val="0"/>
                  <w:vAlign w:val="center"/>
                </w:tcPr>
                <w:p w14:paraId="5673B8E1">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黄色结晶粉末</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熔点(°C)</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107.5~109</w:t>
                  </w:r>
                  <w:r>
                    <w:rPr>
                      <w:rFonts w:hint="eastAsia" w:ascii="Times New Roman" w:hAnsi="Times New Roman" w:eastAsia="宋体" w:cs="Times New Roman"/>
                      <w:color w:val="auto"/>
                      <w:szCs w:val="21"/>
                      <w:highlight w:val="none"/>
                      <w:shd w:val="clear" w:color="auto" w:fill="FFFFFF"/>
                      <w:lang w:val="en-US" w:eastAsia="zh-CN"/>
                    </w:rPr>
                    <w:t>急性毒性：</w:t>
                  </w:r>
                  <w:r>
                    <w:rPr>
                      <w:rFonts w:hint="default" w:ascii="Times New Roman" w:hAnsi="Times New Roman" w:eastAsia="宋体" w:cs="Times New Roman"/>
                      <w:color w:val="auto"/>
                      <w:szCs w:val="21"/>
                      <w:highlight w:val="none"/>
                      <w:shd w:val="clear" w:color="auto" w:fill="FFFFFF"/>
                      <w:lang w:val="en-US" w:eastAsia="zh-CN"/>
                    </w:rPr>
                    <w:t>大鼠口径LD50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1700mg/kg</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大鼠腹腔LD50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1200mg/kg小鼠口径LC50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800mg/kg</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小鼠腹腔LC50</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270mg/kg</w:t>
                  </w:r>
                  <w:r>
                    <w:rPr>
                      <w:rFonts w:hint="eastAsia" w:ascii="Times New Roman" w:hAnsi="Times New Roman" w:cs="Times New Roman"/>
                      <w:color w:val="auto"/>
                      <w:szCs w:val="21"/>
                      <w:highlight w:val="none"/>
                      <w:shd w:val="clear" w:color="auto" w:fill="FFFFFF"/>
                      <w:lang w:val="en-US" w:eastAsia="zh-CN"/>
                    </w:rPr>
                    <w:t>。</w:t>
                  </w:r>
                </w:p>
              </w:tc>
            </w:tr>
            <w:tr w14:paraId="4B8320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1F1C49DB">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1D112AFE">
                  <w:pPr>
                    <w:jc w:val="center"/>
                    <w:rPr>
                      <w:rFonts w:hint="default" w:ascii="Times New Roman" w:hAnsi="Times New Roman" w:eastAsia="宋体" w:cs="Times New Roman"/>
                      <w:kern w:val="2"/>
                      <w:sz w:val="21"/>
                      <w:szCs w:val="24"/>
                      <w:lang w:val="en-US" w:eastAsia="zh-CN" w:bidi="ar-SA"/>
                    </w:rPr>
                  </w:pPr>
                  <w:r>
                    <w:rPr>
                      <w:rFonts w:hint="eastAsia"/>
                    </w:rPr>
                    <w:t>甲基橙</w:t>
                  </w:r>
                </w:p>
              </w:tc>
              <w:tc>
                <w:tcPr>
                  <w:tcW w:w="6261" w:type="dxa"/>
                  <w:tcBorders>
                    <w:tl2br w:val="nil"/>
                    <w:tr2bl w:val="nil"/>
                  </w:tcBorders>
                  <w:shd w:val="clear" w:color="auto" w:fill="auto"/>
                  <w:noWrap w:val="0"/>
                  <w:vAlign w:val="center"/>
                </w:tcPr>
                <w:p w14:paraId="04CF2BE6">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白色结晶性粉末，无臭。易溶于水，20℃时溶解度约为9.6g/100 mL；不溶于乙醇、乙醚等有机溶剂。受热易分解，通常在50℃以上开始逐渐分解。热不稳定性</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受热易分解，温度超过270℃时会完全分解，生成碳酸钠、水和二氧化碳</w:t>
                  </w:r>
                  <w:r>
                    <w:rPr>
                      <w:rFonts w:hint="eastAsia" w:ascii="Times New Roman" w:hAnsi="Times New Roman" w:eastAsia="宋体" w:cs="Times New Roman"/>
                      <w:color w:val="auto"/>
                      <w:szCs w:val="21"/>
                      <w:highlight w:val="none"/>
                      <w:shd w:val="clear" w:color="auto" w:fill="FFFFFF"/>
                      <w:lang w:val="en-US" w:eastAsia="zh-CN"/>
                    </w:rPr>
                    <w:t>。</w:t>
                  </w:r>
                  <w:r>
                    <w:rPr>
                      <w:rFonts w:hint="default" w:ascii="Times New Roman" w:hAnsi="Times New Roman" w:eastAsia="宋体" w:cs="Times New Roman"/>
                      <w:color w:val="auto"/>
                      <w:szCs w:val="21"/>
                      <w:highlight w:val="none"/>
                      <w:shd w:val="clear" w:color="auto" w:fill="FFFFFF"/>
                      <w:lang w:val="en-US" w:eastAsia="zh-CN"/>
                    </w:rPr>
                    <w:t>作为弱酸盐，能与盐酸、硫酸等强酸快速反应，生成相应的盐、水和二氧化碳气体，反应过程伴随气泡产生。可与氢氧化钠、氢氧化钾等强碱反应，生成正盐和水</w:t>
                  </w:r>
                  <w:r>
                    <w:rPr>
                      <w:rFonts w:hint="eastAsia" w:ascii="Times New Roman" w:hAnsi="Times New Roman" w:eastAsia="宋体" w:cs="Times New Roman"/>
                      <w:color w:val="auto"/>
                      <w:szCs w:val="21"/>
                      <w:highlight w:val="none"/>
                      <w:shd w:val="clear" w:color="auto" w:fill="FFFFFF"/>
                      <w:lang w:val="en-US" w:eastAsia="zh-CN"/>
                    </w:rPr>
                    <w:t>。</w:t>
                  </w:r>
                </w:p>
              </w:tc>
            </w:tr>
            <w:tr w14:paraId="7487FD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490EE2C2">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153B77CB">
                  <w:pPr>
                    <w:jc w:val="center"/>
                    <w:rPr>
                      <w:rFonts w:hint="default" w:ascii="Times New Roman" w:hAnsi="Times New Roman" w:eastAsia="宋体" w:cs="Times New Roman"/>
                      <w:kern w:val="2"/>
                      <w:sz w:val="21"/>
                      <w:szCs w:val="24"/>
                      <w:lang w:val="en-US" w:eastAsia="zh-CN" w:bidi="ar-SA"/>
                    </w:rPr>
                  </w:pPr>
                  <w:r>
                    <w:rPr>
                      <w:rFonts w:hint="eastAsia"/>
                    </w:rPr>
                    <w:t>溴甲酚绿</w:t>
                  </w:r>
                </w:p>
              </w:tc>
              <w:tc>
                <w:tcPr>
                  <w:tcW w:w="6261" w:type="dxa"/>
                  <w:tcBorders>
                    <w:tl2br w:val="nil"/>
                    <w:tr2bl w:val="nil"/>
                  </w:tcBorders>
                  <w:shd w:val="clear" w:color="auto" w:fill="auto"/>
                  <w:noWrap w:val="0"/>
                  <w:vAlign w:val="center"/>
                </w:tcPr>
                <w:p w14:paraId="2F1EBAB5">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中文别名为溴甲酚蓝，为白色或微黄色结晶，CAS号为76-60-8，需密封干燥保存，用作</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"https://baike.so.com/doc/1638058.html"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酸碱</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指示剂，</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"https://baike.so.com/doc/3125469.html"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pH</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变色范围3.8（黄色）～5.4（</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"https://baike.so.com/doc/6021592.html"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蓝绿</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色），带有刺激性，避免直接接触，远离</w:t>
                  </w:r>
                  <w:r>
                    <w:rPr>
                      <w:rFonts w:hint="default" w:ascii="Times New Roman" w:hAnsi="Times New Roman" w:eastAsia="宋体" w:cs="Times New Roman"/>
                      <w:color w:val="auto"/>
                      <w:szCs w:val="21"/>
                      <w:highlight w:val="none"/>
                      <w:shd w:val="clear" w:color="auto" w:fill="FFFFFF"/>
                      <w:lang w:val="en-US" w:eastAsia="zh-CN"/>
                    </w:rPr>
                    <w:fldChar w:fldCharType="begin"/>
                  </w:r>
                  <w:r>
                    <w:rPr>
                      <w:rFonts w:hint="default" w:ascii="Times New Roman" w:hAnsi="Times New Roman" w:eastAsia="宋体" w:cs="Times New Roman"/>
                      <w:color w:val="auto"/>
                      <w:szCs w:val="21"/>
                      <w:highlight w:val="none"/>
                      <w:shd w:val="clear" w:color="auto" w:fill="FFFFFF"/>
                      <w:lang w:val="en-US" w:eastAsia="zh-CN"/>
                    </w:rPr>
                    <w:instrText xml:space="preserve"> HYPERLINK "https://baike.so.com/doc/5672828.html" \t "https://baike.so.com/doc/_blank" </w:instrText>
                  </w:r>
                  <w:r>
                    <w:rPr>
                      <w:rFonts w:hint="default" w:ascii="Times New Roman" w:hAnsi="Times New Roman" w:eastAsia="宋体" w:cs="Times New Roman"/>
                      <w:color w:val="auto"/>
                      <w:szCs w:val="21"/>
                      <w:highlight w:val="none"/>
                      <w:shd w:val="clear" w:color="auto" w:fill="FFFFFF"/>
                      <w:lang w:val="en-US" w:eastAsia="zh-CN"/>
                    </w:rPr>
                    <w:fldChar w:fldCharType="separate"/>
                  </w:r>
                  <w:r>
                    <w:rPr>
                      <w:rFonts w:hint="default" w:ascii="Times New Roman" w:hAnsi="Times New Roman" w:eastAsia="宋体" w:cs="Times New Roman"/>
                      <w:color w:val="auto"/>
                      <w:szCs w:val="21"/>
                      <w:highlight w:val="none"/>
                      <w:shd w:val="clear" w:color="auto" w:fill="FFFFFF"/>
                      <w:lang w:val="en-US" w:eastAsia="zh-CN"/>
                    </w:rPr>
                    <w:t>氧化</w:t>
                  </w:r>
                  <w:r>
                    <w:rPr>
                      <w:rFonts w:hint="default" w:ascii="Times New Roman" w:hAnsi="Times New Roman" w:eastAsia="宋体" w:cs="Times New Roman"/>
                      <w:color w:val="auto"/>
                      <w:szCs w:val="21"/>
                      <w:highlight w:val="none"/>
                      <w:shd w:val="clear" w:color="auto" w:fill="FFFFFF"/>
                      <w:lang w:val="en-US" w:eastAsia="zh-CN"/>
                    </w:rPr>
                    <w:fldChar w:fldCharType="end"/>
                  </w:r>
                  <w:r>
                    <w:rPr>
                      <w:rFonts w:hint="default" w:ascii="Times New Roman" w:hAnsi="Times New Roman" w:eastAsia="宋体" w:cs="Times New Roman"/>
                      <w:color w:val="auto"/>
                      <w:szCs w:val="21"/>
                      <w:highlight w:val="none"/>
                      <w:shd w:val="clear" w:color="auto" w:fill="FFFFFF"/>
                      <w:lang w:val="en-US" w:eastAsia="zh-CN"/>
                    </w:rPr>
                    <w:t>物。</w:t>
                  </w:r>
                </w:p>
              </w:tc>
            </w:tr>
            <w:tr w14:paraId="2352C2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2EECB9D9">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110048B9">
                  <w:pPr>
                    <w:jc w:val="center"/>
                    <w:rPr>
                      <w:rFonts w:hint="default" w:ascii="Times New Roman" w:hAnsi="Times New Roman" w:eastAsia="宋体" w:cs="Times New Roman"/>
                      <w:kern w:val="2"/>
                      <w:sz w:val="21"/>
                      <w:szCs w:val="24"/>
                      <w:lang w:val="en-US" w:eastAsia="zh-CN" w:bidi="ar-SA"/>
                    </w:rPr>
                  </w:pPr>
                  <w:r>
                    <w:rPr>
                      <w:rFonts w:hint="eastAsia"/>
                    </w:rPr>
                    <w:t>酚酞</w:t>
                  </w:r>
                </w:p>
              </w:tc>
              <w:tc>
                <w:tcPr>
                  <w:tcW w:w="6261" w:type="dxa"/>
                  <w:tcBorders>
                    <w:tl2br w:val="nil"/>
                    <w:tr2bl w:val="nil"/>
                  </w:tcBorders>
                  <w:shd w:val="clear" w:color="auto" w:fill="auto"/>
                  <w:noWrap w:val="0"/>
                  <w:vAlign w:val="center"/>
                </w:tcPr>
                <w:p w14:paraId="0FA2EAED">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酚酞是一种常用的酸碱指示剂，外观：白色或浅黄色的结晶性粉末。</w:t>
                  </w:r>
                </w:p>
                <w:p w14:paraId="26AE9507">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气味：无臭。熔点：约262-263℃，超过熔点会分解。难溶于水，20℃时在水中溶解度仅约0.02g/100mL；易溶于乙醇、乙醚等有机溶剂，也可溶于稀碱溶液。</w:t>
                  </w:r>
                </w:p>
              </w:tc>
            </w:tr>
            <w:tr w14:paraId="35C50E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14491B02">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5D4CDF0E">
                  <w:pPr>
                    <w:jc w:val="center"/>
                    <w:rPr>
                      <w:rFonts w:hint="eastAsia"/>
                    </w:rPr>
                  </w:pPr>
                  <w:r>
                    <w:rPr>
                      <w:rFonts w:hint="eastAsia"/>
                    </w:rPr>
                    <w:t>反式</w:t>
                  </w:r>
                </w:p>
                <w:p w14:paraId="233B4F78">
                  <w:pPr>
                    <w:jc w:val="center"/>
                    <w:rPr>
                      <w:rFonts w:hint="default" w:ascii="Times New Roman" w:hAnsi="Times New Roman" w:eastAsia="宋体" w:cs="Times New Roman"/>
                      <w:kern w:val="2"/>
                      <w:sz w:val="21"/>
                      <w:szCs w:val="24"/>
                      <w:lang w:val="en-US" w:eastAsia="zh-CN" w:bidi="ar-SA"/>
                    </w:rPr>
                  </w:pPr>
                  <w:r>
                    <w:rPr>
                      <w:rFonts w:hint="eastAsia"/>
                    </w:rPr>
                    <w:t>1,2-环己二胺四乙酸一水</w:t>
                  </w:r>
                </w:p>
              </w:tc>
              <w:tc>
                <w:tcPr>
                  <w:tcW w:w="6261" w:type="dxa"/>
                  <w:tcBorders>
                    <w:tl2br w:val="nil"/>
                    <w:tr2bl w:val="nil"/>
                  </w:tcBorders>
                  <w:shd w:val="clear" w:color="auto" w:fill="auto"/>
                  <w:noWrap w:val="0"/>
                  <w:vAlign w:val="center"/>
                </w:tcPr>
                <w:p w14:paraId="7909F4CD">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eastAsia" w:ascii="Times New Roman" w:hAnsi="Times New Roman" w:cs="Times New Roman"/>
                      <w:color w:val="auto"/>
                      <w:szCs w:val="21"/>
                      <w:highlight w:val="none"/>
                      <w:shd w:val="clear" w:color="auto" w:fill="FFFFFF"/>
                      <w:lang w:val="en-US" w:eastAsia="zh-CN"/>
                    </w:rPr>
                    <w:t>易</w:t>
                  </w:r>
                  <w:r>
                    <w:rPr>
                      <w:rFonts w:hint="default" w:ascii="Times New Roman" w:hAnsi="Times New Roman" w:eastAsia="宋体" w:cs="Times New Roman"/>
                      <w:color w:val="auto"/>
                      <w:szCs w:val="21"/>
                      <w:highlight w:val="none"/>
                      <w:shd w:val="clear" w:color="auto" w:fill="FFFFFF"/>
                      <w:lang w:val="en-US" w:eastAsia="zh-CN"/>
                    </w:rPr>
                    <w:t>造成皮肤刺激。可能引起呼吸道刺激。如果皮肤接触：用大量肥皂和水清洗。如吸入将患者移到新鲜空气处休息，并保持呼吸舒畅的姿势。如与眼睛接触，用水缓慢温和地冲洗几分钟。如戴隐形眼镜并可方便地取出，取出隐形眼镜，然后继续冲洗</w:t>
                  </w:r>
                  <w:r>
                    <w:rPr>
                      <w:rFonts w:hint="eastAsia" w:ascii="Times New Roman" w:hAnsi="Times New Roman" w:cs="Times New Roman"/>
                      <w:color w:val="auto"/>
                      <w:szCs w:val="21"/>
                      <w:highlight w:val="none"/>
                      <w:shd w:val="clear" w:color="auto" w:fill="FFFFFF"/>
                      <w:lang w:val="en-US" w:eastAsia="zh-CN"/>
                    </w:rPr>
                    <w:t>。</w:t>
                  </w:r>
                </w:p>
              </w:tc>
            </w:tr>
            <w:tr w14:paraId="19B667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16CCA9ED">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0D8F818">
                  <w:pPr>
                    <w:jc w:val="center"/>
                    <w:rPr>
                      <w:rFonts w:hint="default" w:ascii="Times New Roman" w:hAnsi="Times New Roman" w:eastAsia="宋体" w:cs="Times New Roman"/>
                      <w:kern w:val="2"/>
                      <w:sz w:val="21"/>
                      <w:szCs w:val="24"/>
                      <w:lang w:val="en-US" w:eastAsia="zh-CN" w:bidi="ar-SA"/>
                    </w:rPr>
                  </w:pPr>
                  <w:r>
                    <w:rPr>
                      <w:rFonts w:hint="eastAsia"/>
                    </w:rPr>
                    <w:t>邻菲啰啉</w:t>
                  </w:r>
                </w:p>
              </w:tc>
              <w:tc>
                <w:tcPr>
                  <w:tcW w:w="6261" w:type="dxa"/>
                  <w:tcBorders>
                    <w:tl2br w:val="nil"/>
                    <w:tr2bl w:val="nil"/>
                  </w:tcBorders>
                  <w:shd w:val="clear" w:color="auto" w:fill="auto"/>
                  <w:noWrap w:val="0"/>
                  <w:vAlign w:val="center"/>
                </w:tcPr>
                <w:p w14:paraId="14950EE4">
                  <w:pPr>
                    <w:spacing w:before="51" w:line="240" w:lineRule="auto"/>
                    <w:jc w:val="both"/>
                    <w:rPr>
                      <w:rFonts w:hint="default" w:ascii="Times New Roman" w:hAnsi="Times New Roman" w:eastAsia="宋体" w:cs="Times New Roman"/>
                      <w:color w:val="auto"/>
                      <w:szCs w:val="21"/>
                      <w:highlight w:val="none"/>
                      <w:shd w:val="clear" w:color="auto" w:fill="FFFFFF"/>
                      <w:lang w:val="en-US" w:eastAsia="zh-CN"/>
                    </w:rPr>
                  </w:pPr>
                  <w:r>
                    <w:rPr>
                      <w:rFonts w:hint="default" w:ascii="Times New Roman" w:hAnsi="Times New Roman" w:eastAsia="宋体" w:cs="Times New Roman"/>
                      <w:color w:val="auto"/>
                      <w:szCs w:val="21"/>
                      <w:highlight w:val="none"/>
                      <w:shd w:val="clear" w:color="auto" w:fill="FFFFFF"/>
                      <w:lang w:val="en-US" w:eastAsia="zh-CN"/>
                    </w:rPr>
                    <w:t>一水合物为白色结晶性粉末。熔点93-94℃，无水物熔点为117℃，溶于300份水，70份苯，溶于醇和丙酮。</w:t>
                  </w:r>
                </w:p>
              </w:tc>
            </w:tr>
            <w:tr w14:paraId="126210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38A01BA7">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7700A19C">
                  <w:pPr>
                    <w:jc w:val="center"/>
                    <w:rPr>
                      <w:rFonts w:hint="default" w:ascii="Times New Roman" w:hAnsi="Times New Roman" w:eastAsia="宋体" w:cs="Times New Roman"/>
                      <w:kern w:val="2"/>
                      <w:sz w:val="21"/>
                      <w:szCs w:val="24"/>
                      <w:lang w:val="en-US" w:eastAsia="zh-CN" w:bidi="ar-SA"/>
                    </w:rPr>
                  </w:pPr>
                  <w:r>
                    <w:rPr>
                      <w:rFonts w:hint="eastAsia"/>
                    </w:rPr>
                    <w:t>溴代十六烷基吡啶</w:t>
                  </w:r>
                </w:p>
              </w:tc>
              <w:tc>
                <w:tcPr>
                  <w:tcW w:w="6261" w:type="dxa"/>
                  <w:tcBorders>
                    <w:tl2br w:val="nil"/>
                    <w:tr2bl w:val="nil"/>
                  </w:tcBorders>
                  <w:shd w:val="clear" w:color="auto" w:fill="auto"/>
                  <w:noWrap w:val="0"/>
                  <w:vAlign w:val="center"/>
                </w:tcPr>
                <w:p w14:paraId="4B9EEF54">
                  <w:pPr>
                    <w:spacing w:before="51" w:line="240" w:lineRule="auto"/>
                    <w:jc w:val="both"/>
                    <w:rPr>
                      <w:rFonts w:hint="default" w:ascii="Times New Roman" w:hAnsi="Times New Roman" w:cs="Times New Roman"/>
                      <w:color w:val="auto"/>
                      <w:szCs w:val="21"/>
                      <w:highlight w:val="none"/>
                      <w:shd w:val="clear" w:color="auto" w:fill="FFFFFF"/>
                      <w:lang w:val="en-US" w:eastAsia="zh-CN"/>
                    </w:rPr>
                  </w:pPr>
                  <w:r>
                    <w:rPr>
                      <w:rFonts w:hint="eastAsia" w:ascii="Times New Roman" w:hAnsi="Times New Roman" w:cs="Times New Roman"/>
                      <w:color w:val="auto"/>
                      <w:szCs w:val="21"/>
                      <w:highlight w:val="none"/>
                      <w:shd w:val="clear" w:color="auto" w:fill="FFFFFF"/>
                      <w:lang w:val="en-US" w:eastAsia="zh-CN"/>
                    </w:rPr>
                    <w:t>溴代十六烷基吡啶，CAS号为140-72-7，分子式为C21H38BrN，为白色粉末，需密封阴凉干燥保存，用于制药，表面活性剂，杀菌剂，乳化剂。</w:t>
                  </w:r>
                </w:p>
              </w:tc>
            </w:tr>
            <w:tr w14:paraId="39013C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13619BEB">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29D41EAD">
                  <w:pPr>
                    <w:jc w:val="center"/>
                    <w:rPr>
                      <w:rFonts w:hint="default" w:ascii="Times New Roman" w:hAnsi="Times New Roman" w:eastAsia="宋体" w:cs="Times New Roman"/>
                      <w:kern w:val="2"/>
                      <w:sz w:val="21"/>
                      <w:szCs w:val="24"/>
                      <w:lang w:val="en-US" w:eastAsia="zh-CN" w:bidi="ar-SA"/>
                    </w:rPr>
                  </w:pPr>
                  <w:r>
                    <w:rPr>
                      <w:rFonts w:hint="eastAsia"/>
                    </w:rPr>
                    <w:t>铬天青S</w:t>
                  </w:r>
                </w:p>
              </w:tc>
              <w:tc>
                <w:tcPr>
                  <w:tcW w:w="6261" w:type="dxa"/>
                  <w:tcBorders>
                    <w:tl2br w:val="nil"/>
                    <w:tr2bl w:val="nil"/>
                  </w:tcBorders>
                  <w:shd w:val="clear" w:color="auto" w:fill="auto"/>
                  <w:noWrap w:val="0"/>
                  <w:vAlign w:val="center"/>
                </w:tcPr>
                <w:p w14:paraId="6303C60E">
                  <w:pPr>
                    <w:spacing w:before="51" w:line="240" w:lineRule="auto"/>
                    <w:jc w:val="both"/>
                    <w:rPr>
                      <w:rFonts w:hint="default" w:ascii="Times New Roman" w:hAnsi="Times New Roman" w:cs="Times New Roman"/>
                      <w:color w:val="auto"/>
                      <w:szCs w:val="21"/>
                      <w:highlight w:val="none"/>
                      <w:shd w:val="clear" w:color="auto" w:fill="FFFFFF"/>
                      <w:lang w:val="en-US" w:eastAsia="zh-CN"/>
                    </w:rPr>
                  </w:pPr>
                  <w:r>
                    <w:rPr>
                      <w:rFonts w:hint="eastAsia" w:ascii="Times New Roman" w:hAnsi="Times New Roman" w:cs="Times New Roman"/>
                      <w:color w:val="auto"/>
                      <w:szCs w:val="21"/>
                      <w:highlight w:val="none"/>
                      <w:shd w:val="clear" w:color="auto" w:fill="FFFFFF"/>
                      <w:lang w:val="en-US" w:eastAsia="zh-CN"/>
                    </w:rPr>
                    <w:t>铬天青S对水是稍微有害的，不要让未稀释或大量的产品接触地下水，水道或者污水系统。</w:t>
                  </w:r>
                </w:p>
              </w:tc>
            </w:tr>
            <w:tr w14:paraId="3A4029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1BB71E0C">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3A235B55">
                  <w:pPr>
                    <w:jc w:val="center"/>
                    <w:rPr>
                      <w:rFonts w:hint="default" w:ascii="Times New Roman" w:hAnsi="Times New Roman" w:eastAsia="宋体" w:cs="Times New Roman"/>
                      <w:kern w:val="2"/>
                      <w:sz w:val="21"/>
                      <w:szCs w:val="24"/>
                      <w:lang w:val="en-US" w:eastAsia="zh-CN" w:bidi="ar-SA"/>
                    </w:rPr>
                  </w:pPr>
                  <w:r>
                    <w:rPr>
                      <w:rFonts w:hint="eastAsia"/>
                    </w:rPr>
                    <w:t>异烟酸</w:t>
                  </w:r>
                </w:p>
              </w:tc>
              <w:tc>
                <w:tcPr>
                  <w:tcW w:w="6261" w:type="dxa"/>
                  <w:tcBorders>
                    <w:tl2br w:val="nil"/>
                    <w:tr2bl w:val="nil"/>
                  </w:tcBorders>
                  <w:shd w:val="clear" w:color="auto" w:fill="auto"/>
                  <w:noWrap w:val="0"/>
                  <w:vAlign w:val="center"/>
                </w:tcPr>
                <w:p w14:paraId="0404E142">
                  <w:pPr>
                    <w:spacing w:before="51" w:line="240" w:lineRule="auto"/>
                    <w:jc w:val="both"/>
                    <w:rPr>
                      <w:rFonts w:hint="default" w:ascii="Times New Roman" w:hAnsi="Times New Roman" w:cs="Times New Roman"/>
                      <w:color w:val="auto"/>
                      <w:szCs w:val="21"/>
                      <w:highlight w:val="none"/>
                      <w:shd w:val="clear" w:color="auto" w:fill="FFFFFF"/>
                      <w:lang w:val="en-US" w:eastAsia="zh-CN"/>
                    </w:rPr>
                  </w:pPr>
                  <w:r>
                    <w:rPr>
                      <w:rFonts w:hint="default" w:ascii="Times New Roman" w:hAnsi="Times New Roman" w:cs="Times New Roman"/>
                      <w:color w:val="auto"/>
                      <w:szCs w:val="21"/>
                      <w:highlight w:val="none"/>
                      <w:shd w:val="clear" w:color="auto" w:fill="FFFFFF"/>
                      <w:lang w:val="en-US" w:eastAsia="zh-CN"/>
                    </w:rPr>
                    <w:t>无色晶体</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cs="Times New Roman"/>
                      <w:color w:val="auto"/>
                      <w:szCs w:val="21"/>
                      <w:highlight w:val="none"/>
                      <w:shd w:val="clear" w:color="auto" w:fill="FFFFFF"/>
                      <w:lang w:val="en-US" w:eastAsia="zh-CN"/>
                    </w:rPr>
                    <w:t>熔点(°C)</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cs="Times New Roman"/>
                      <w:color w:val="auto"/>
                      <w:szCs w:val="21"/>
                      <w:highlight w:val="none"/>
                      <w:shd w:val="clear" w:color="auto" w:fill="FFFFFF"/>
                      <w:lang w:val="en-US" w:eastAsia="zh-CN"/>
                    </w:rPr>
                    <w:t>317</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cs="Times New Roman"/>
                      <w:color w:val="auto"/>
                      <w:szCs w:val="21"/>
                      <w:highlight w:val="none"/>
                      <w:shd w:val="clear" w:color="auto" w:fill="FFFFFF"/>
                      <w:lang w:val="en-US" w:eastAsia="zh-CN"/>
                    </w:rPr>
                    <w:t>既溶于酸，也溶于碱。溶于热水和乙醇，难溶于冷水。急性毒性：大鼠经口LD50：5mg/kg；小鼠经口LD50：3123mg/kg；小鼠腹腔LD50：436mg/kg；小鼠静脉LD50：5mg/kg</w:t>
                  </w:r>
                  <w:r>
                    <w:rPr>
                      <w:rFonts w:hint="eastAsia" w:ascii="Times New Roman" w:hAnsi="Times New Roman" w:cs="Times New Roman"/>
                      <w:color w:val="auto"/>
                      <w:szCs w:val="21"/>
                      <w:highlight w:val="none"/>
                      <w:shd w:val="clear" w:color="auto" w:fill="FFFFFF"/>
                      <w:lang w:val="en-US" w:eastAsia="zh-CN"/>
                    </w:rPr>
                    <w:t>。</w:t>
                  </w:r>
                </w:p>
              </w:tc>
            </w:tr>
            <w:tr w14:paraId="766A2B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7B19895E">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04AE14C0">
                  <w:pPr>
                    <w:jc w:val="center"/>
                    <w:rPr>
                      <w:rFonts w:hint="eastAsia"/>
                    </w:rPr>
                  </w:pPr>
                  <w:r>
                    <w:rPr>
                      <w:rFonts w:hint="eastAsia"/>
                    </w:rPr>
                    <w:t>1-苯基-3-甲基</w:t>
                  </w:r>
                </w:p>
                <w:p w14:paraId="281CE397">
                  <w:pPr>
                    <w:jc w:val="center"/>
                    <w:rPr>
                      <w:rFonts w:hint="default" w:ascii="Times New Roman" w:hAnsi="Times New Roman" w:eastAsia="宋体" w:cs="Times New Roman"/>
                      <w:kern w:val="2"/>
                      <w:sz w:val="21"/>
                      <w:szCs w:val="24"/>
                      <w:lang w:val="en-US" w:eastAsia="zh-CN" w:bidi="ar-SA"/>
                    </w:rPr>
                  </w:pPr>
                  <w:r>
                    <w:rPr>
                      <w:rFonts w:hint="eastAsia"/>
                    </w:rPr>
                    <w:t>-5-吡唑啉酮</w:t>
                  </w:r>
                </w:p>
              </w:tc>
              <w:tc>
                <w:tcPr>
                  <w:tcW w:w="6261" w:type="dxa"/>
                  <w:tcBorders>
                    <w:tl2br w:val="nil"/>
                    <w:tr2bl w:val="nil"/>
                  </w:tcBorders>
                  <w:shd w:val="clear" w:color="auto" w:fill="auto"/>
                  <w:noWrap w:val="0"/>
                  <w:vAlign w:val="center"/>
                </w:tcPr>
                <w:p w14:paraId="6500F450">
                  <w:pPr>
                    <w:spacing w:before="51" w:line="240" w:lineRule="auto"/>
                    <w:jc w:val="both"/>
                    <w:rPr>
                      <w:rFonts w:hint="default" w:ascii="Times New Roman" w:hAnsi="Times New Roman" w:cs="Times New Roman"/>
                      <w:color w:val="auto"/>
                      <w:szCs w:val="21"/>
                      <w:highlight w:val="none"/>
                      <w:shd w:val="clear" w:color="auto" w:fill="FFFFFF"/>
                      <w:lang w:val="en-US" w:eastAsia="zh-CN"/>
                    </w:rPr>
                  </w:pPr>
                  <w:r>
                    <w:rPr>
                      <w:rFonts w:hint="default" w:ascii="Times New Roman" w:hAnsi="Times New Roman" w:cs="Times New Roman"/>
                      <w:color w:val="auto"/>
                      <w:szCs w:val="21"/>
                      <w:highlight w:val="none"/>
                      <w:shd w:val="clear" w:color="auto" w:fill="FFFFFF"/>
                      <w:lang w:val="en-US" w:eastAsia="zh-CN"/>
                    </w:rPr>
                    <w:t>沸点:287°C (265 mmHg)溶解度3g/L (20°C)</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cs="Times New Roman"/>
                      <w:color w:val="auto"/>
                      <w:szCs w:val="21"/>
                      <w:highlight w:val="none"/>
                      <w:shd w:val="clear" w:color="auto" w:fill="FFFFFF"/>
                      <w:lang w:val="en-US" w:eastAsia="zh-CN"/>
                    </w:rPr>
                    <w:t>熔点:127-131°C</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cs="Times New Roman"/>
                      <w:color w:val="auto"/>
                      <w:szCs w:val="21"/>
                      <w:highlight w:val="none"/>
                      <w:shd w:val="clear" w:color="auto" w:fill="FFFFFF"/>
                      <w:lang w:val="en-US" w:eastAsia="zh-CN"/>
                    </w:rPr>
                    <w:t>相对密度:1.17g/cm3</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cs="Times New Roman"/>
                      <w:color w:val="auto"/>
                      <w:szCs w:val="21"/>
                      <w:highlight w:val="none"/>
                      <w:shd w:val="clear" w:color="auto" w:fill="FFFFFF"/>
                      <w:lang w:val="en-US" w:eastAsia="zh-CN"/>
                    </w:rPr>
                    <w:t>溶解性:3g/L(20℃)</w:t>
                  </w:r>
                  <w:r>
                    <w:rPr>
                      <w:rFonts w:hint="eastAsia" w:ascii="Times New Roman" w:hAnsi="Times New Roman" w:cs="Times New Roman"/>
                      <w:color w:val="auto"/>
                      <w:szCs w:val="21"/>
                      <w:highlight w:val="none"/>
                      <w:shd w:val="clear" w:color="auto" w:fill="FFFFFF"/>
                      <w:lang w:val="en-US" w:eastAsia="zh-CN"/>
                    </w:rPr>
                    <w:t>，</w:t>
                  </w:r>
                  <w:r>
                    <w:rPr>
                      <w:rFonts w:hint="default" w:ascii="Times New Roman" w:hAnsi="Times New Roman" w:cs="Times New Roman"/>
                      <w:color w:val="auto"/>
                      <w:szCs w:val="21"/>
                      <w:highlight w:val="none"/>
                      <w:shd w:val="clear" w:color="auto" w:fill="FFFFFF"/>
                      <w:lang w:val="en-US" w:eastAsia="zh-CN"/>
                    </w:rPr>
                    <w:t>不慎与眼睛接触后，请立即用大量清水冲洗并征求医生意见</w:t>
                  </w:r>
                  <w:r>
                    <w:rPr>
                      <w:rFonts w:hint="eastAsia" w:ascii="Times New Roman" w:hAnsi="Times New Roman" w:cs="Times New Roman"/>
                      <w:color w:val="auto"/>
                      <w:szCs w:val="21"/>
                      <w:highlight w:val="none"/>
                      <w:shd w:val="clear" w:color="auto" w:fill="FFFFFF"/>
                      <w:lang w:val="en-US" w:eastAsia="zh-CN"/>
                    </w:rPr>
                    <w:t>。</w:t>
                  </w:r>
                </w:p>
              </w:tc>
            </w:tr>
            <w:tr w14:paraId="515879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3D78502D">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78C6F4EC">
                  <w:pPr>
                    <w:jc w:val="center"/>
                    <w:rPr>
                      <w:rFonts w:hint="default" w:ascii="Times New Roman" w:hAnsi="Times New Roman" w:eastAsia="宋体" w:cs="Times New Roman"/>
                      <w:kern w:val="2"/>
                      <w:sz w:val="21"/>
                      <w:szCs w:val="24"/>
                      <w:lang w:val="en-US" w:eastAsia="zh-CN" w:bidi="ar-SA"/>
                    </w:rPr>
                  </w:pPr>
                  <w:r>
                    <w:rPr>
                      <w:rFonts w:hint="eastAsia"/>
                    </w:rPr>
                    <w:t>乳糖胆盐培养基</w:t>
                  </w:r>
                </w:p>
              </w:tc>
              <w:tc>
                <w:tcPr>
                  <w:tcW w:w="6261" w:type="dxa"/>
                  <w:tcBorders>
                    <w:tl2br w:val="nil"/>
                    <w:tr2bl w:val="nil"/>
                  </w:tcBorders>
                  <w:shd w:val="clear" w:color="auto" w:fill="auto"/>
                  <w:noWrap w:val="0"/>
                  <w:vAlign w:val="center"/>
                </w:tcPr>
                <w:p w14:paraId="2BF16318">
                  <w:pPr>
                    <w:spacing w:before="51" w:line="240" w:lineRule="auto"/>
                    <w:jc w:val="both"/>
                    <w:rPr>
                      <w:rFonts w:hint="eastAsia" w:ascii="Times New Roman" w:hAnsi="Times New Roman" w:cs="Times New Roman"/>
                      <w:color w:val="auto"/>
                      <w:szCs w:val="21"/>
                      <w:highlight w:val="none"/>
                      <w:shd w:val="clear" w:color="auto" w:fill="FFFFFF"/>
                      <w:lang w:val="en-US" w:eastAsia="zh-CN"/>
                    </w:rPr>
                  </w:pPr>
                  <w:r>
                    <w:rPr>
                      <w:rFonts w:hint="eastAsia" w:ascii="Times New Roman" w:hAnsi="Times New Roman" w:cs="Times New Roman"/>
                      <w:color w:val="auto"/>
                      <w:szCs w:val="21"/>
                      <w:highlight w:val="none"/>
                      <w:shd w:val="clear" w:color="auto" w:fill="FFFFFF"/>
                      <w:lang w:val="en-US" w:eastAsia="zh-CN"/>
                    </w:rPr>
                    <w:t>将蛋白胨、乳糖溶于约500 mL蒸馏水中，加入牛胆粉溶液200 mL(将20.0 g脱水牛胆粉溶于200 mL蒸馏水中，调节pH至7.0~7.5)，用蒸馏水稀释到975 mL，调节pH，再加入0.1%煌绿水溶液13.3 mL，用蒸馏水补足到1 000 mL，用棉花过滤后，分装到有玻璃小倒管的试管中，每管10 mL。121 ℃高压灭菌15 min。</w:t>
                  </w:r>
                </w:p>
              </w:tc>
            </w:tr>
            <w:tr w14:paraId="43E373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dxa"/>
                  <w:tcBorders>
                    <w:tl2br w:val="nil"/>
                    <w:tr2bl w:val="nil"/>
                  </w:tcBorders>
                  <w:noWrap w:val="0"/>
                  <w:vAlign w:val="center"/>
                </w:tcPr>
                <w:p w14:paraId="4ECCBA6F">
                  <w:pPr>
                    <w:numPr>
                      <w:ilvl w:val="0"/>
                      <w:numId w:val="15"/>
                    </w:numPr>
                    <w:spacing w:before="53" w:line="240" w:lineRule="auto"/>
                    <w:ind w:left="425" w:leftChars="0" w:hanging="425" w:firstLineChars="0"/>
                    <w:jc w:val="center"/>
                    <w:rPr>
                      <w:rFonts w:hint="eastAsia" w:eastAsia="宋体"/>
                      <w:b w:val="0"/>
                      <w:bCs w:val="0"/>
                      <w:color w:val="auto"/>
                      <w:spacing w:val="6"/>
                      <w:szCs w:val="21"/>
                      <w:highlight w:val="none"/>
                      <w:lang w:val="en-US" w:eastAsia="zh-CN"/>
                    </w:rPr>
                  </w:pPr>
                </w:p>
              </w:tc>
              <w:tc>
                <w:tcPr>
                  <w:tcW w:w="1003" w:type="dxa"/>
                  <w:tcBorders>
                    <w:tl2br w:val="nil"/>
                    <w:tr2bl w:val="nil"/>
                  </w:tcBorders>
                  <w:shd w:val="clear" w:color="auto" w:fill="auto"/>
                  <w:noWrap w:val="0"/>
                  <w:vAlign w:val="center"/>
                </w:tcPr>
                <w:p w14:paraId="2DD9B8EA">
                  <w:pPr>
                    <w:jc w:val="center"/>
                    <w:rPr>
                      <w:rFonts w:hint="default" w:ascii="Times New Roman" w:hAnsi="Times New Roman" w:eastAsia="宋体" w:cs="Times New Roman"/>
                      <w:kern w:val="2"/>
                      <w:sz w:val="21"/>
                      <w:szCs w:val="24"/>
                      <w:lang w:val="en-US" w:eastAsia="zh-CN" w:bidi="ar-SA"/>
                    </w:rPr>
                  </w:pPr>
                  <w:r>
                    <w:rPr>
                      <w:rFonts w:hint="eastAsia"/>
                    </w:rPr>
                    <w:t>营养琼脂</w:t>
                  </w:r>
                </w:p>
              </w:tc>
              <w:tc>
                <w:tcPr>
                  <w:tcW w:w="6261" w:type="dxa"/>
                  <w:tcBorders>
                    <w:tl2br w:val="nil"/>
                    <w:tr2bl w:val="nil"/>
                  </w:tcBorders>
                  <w:shd w:val="clear" w:color="auto" w:fill="auto"/>
                  <w:noWrap w:val="0"/>
                  <w:vAlign w:val="center"/>
                </w:tcPr>
                <w:p w14:paraId="527D777A">
                  <w:pPr>
                    <w:spacing w:before="51" w:line="240" w:lineRule="auto"/>
                    <w:jc w:val="both"/>
                    <w:rPr>
                      <w:rFonts w:hint="default" w:ascii="Times New Roman" w:hAnsi="Times New Roman" w:cs="Times New Roman"/>
                      <w:color w:val="auto"/>
                      <w:szCs w:val="21"/>
                      <w:highlight w:val="none"/>
                      <w:shd w:val="clear" w:color="auto" w:fill="FFFFFF"/>
                      <w:lang w:val="en-US" w:eastAsia="zh-CN"/>
                    </w:rPr>
                  </w:pPr>
                  <w:r>
                    <w:rPr>
                      <w:rFonts w:hint="default" w:ascii="Times New Roman" w:hAnsi="Times New Roman" w:cs="Times New Roman"/>
                      <w:color w:val="auto"/>
                      <w:szCs w:val="21"/>
                      <w:highlight w:val="none"/>
                      <w:shd w:val="clear" w:color="auto" w:fill="FFFFFF"/>
                      <w:lang w:val="en-US" w:eastAsia="zh-CN"/>
                    </w:rPr>
                    <w:t>将牛肉膏、蛋白胨，氯化钠溶解于蒸馏水内，加热，并加入琼脂，琼脂熔化后，加入5%氢氧化钠溶液或5%稀盐酸，校正pH至7.2～7.4。分装烧瓶，121℃高压灭菌30min。</w:t>
                  </w:r>
                </w:p>
              </w:tc>
            </w:tr>
          </w:tbl>
          <w:p w14:paraId="6124423A">
            <w:pPr>
              <w:adjustRightInd w:val="0"/>
              <w:snapToGrid w:val="0"/>
              <w:rPr>
                <w:rFonts w:hint="default" w:ascii="Times New Roman" w:hAnsi="Times New Roman" w:eastAsia="宋体" w:cs="Times New Roman"/>
                <w:b/>
                <w:bCs/>
                <w:color w:val="auto"/>
                <w:sz w:val="24"/>
                <w:highlight w:val="none"/>
              </w:rPr>
            </w:pPr>
          </w:p>
          <w:p w14:paraId="4C5E8EAA">
            <w:pPr>
              <w:numPr>
                <w:ilvl w:val="0"/>
                <w:numId w:val="1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水平衡分析</w:t>
            </w:r>
          </w:p>
          <w:p w14:paraId="3EF58712">
            <w:pPr>
              <w:numPr>
                <w:ilvl w:val="0"/>
                <w:numId w:val="0"/>
              </w:numPr>
              <w:adjustRightInd w:val="0"/>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1、给水</w:t>
            </w:r>
          </w:p>
          <w:p w14:paraId="240BCE2D">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本项目用水为生活用水、</w:t>
            </w:r>
            <w:r>
              <w:rPr>
                <w:color w:val="auto"/>
                <w:sz w:val="24"/>
                <w:highlight w:val="none"/>
              </w:rPr>
              <w:t>实验用水</w:t>
            </w:r>
            <w:r>
              <w:rPr>
                <w:rFonts w:hint="eastAsia"/>
                <w:color w:val="auto"/>
                <w:sz w:val="24"/>
                <w:highlight w:val="none"/>
                <w:lang w:val="en-US" w:eastAsia="zh-CN"/>
              </w:rPr>
              <w:t>和地面清洗用水</w:t>
            </w:r>
            <w:r>
              <w:rPr>
                <w:color w:val="auto"/>
                <w:sz w:val="24"/>
                <w:highlight w:val="none"/>
              </w:rPr>
              <w:t>。</w:t>
            </w:r>
          </w:p>
          <w:p w14:paraId="552B7BF5">
            <w:pPr>
              <w:adjustRightInd w:val="0"/>
              <w:snapToGrid w:val="0"/>
              <w:spacing w:line="360" w:lineRule="auto"/>
              <w:ind w:firstLine="480" w:firstLineChars="200"/>
              <w:rPr>
                <w:rFonts w:eastAsia="宋体"/>
                <w:bCs/>
                <w:color w:val="auto"/>
                <w:sz w:val="24"/>
                <w:highlight w:val="none"/>
              </w:rPr>
            </w:pPr>
            <w:r>
              <w:rPr>
                <w:rFonts w:hint="eastAsia"/>
                <w:bCs/>
                <w:color w:val="auto"/>
                <w:sz w:val="24"/>
                <w:highlight w:val="none"/>
                <w:lang w:val="en-US" w:eastAsia="zh-CN"/>
              </w:rPr>
              <w:t>本</w:t>
            </w:r>
            <w:r>
              <w:rPr>
                <w:rFonts w:hint="eastAsia" w:eastAsia="宋体"/>
                <w:bCs/>
                <w:color w:val="auto"/>
                <w:sz w:val="24"/>
                <w:highlight w:val="none"/>
                <w:lang w:val="en-US" w:eastAsia="zh-CN"/>
              </w:rPr>
              <w:t>项目员工</w:t>
            </w:r>
            <w:r>
              <w:rPr>
                <w:rFonts w:hint="eastAsia"/>
                <w:bCs/>
                <w:color w:val="auto"/>
                <w:sz w:val="24"/>
                <w:highlight w:val="none"/>
                <w:lang w:val="en-US" w:eastAsia="zh-CN"/>
              </w:rPr>
              <w:t>36</w:t>
            </w:r>
            <w:r>
              <w:rPr>
                <w:rFonts w:hint="eastAsia" w:eastAsia="宋体"/>
                <w:bCs/>
                <w:color w:val="auto"/>
                <w:sz w:val="24"/>
                <w:highlight w:val="none"/>
                <w:lang w:val="en-US" w:eastAsia="zh-CN"/>
              </w:rPr>
              <w:t>人，根据《建筑给水排水设计标准》（</w:t>
            </w:r>
            <w:r>
              <w:rPr>
                <w:rFonts w:hint="default" w:eastAsia="宋体"/>
                <w:bCs/>
                <w:color w:val="auto"/>
                <w:sz w:val="24"/>
                <w:highlight w:val="none"/>
                <w:lang w:val="en-US" w:eastAsia="zh-CN"/>
              </w:rPr>
              <w:t>GB50015-2019</w:t>
            </w:r>
            <w:r>
              <w:rPr>
                <w:rFonts w:hint="eastAsia" w:eastAsia="宋体"/>
                <w:bCs/>
                <w:color w:val="auto"/>
                <w:sz w:val="24"/>
                <w:highlight w:val="none"/>
                <w:lang w:val="en-US" w:eastAsia="zh-CN"/>
              </w:rPr>
              <w:t>）规定，人均生活用水定额按</w:t>
            </w:r>
            <w:r>
              <w:rPr>
                <w:rFonts w:hint="default" w:eastAsia="宋体"/>
                <w:bCs/>
                <w:color w:val="auto"/>
                <w:sz w:val="24"/>
                <w:highlight w:val="none"/>
                <w:lang w:val="en-US" w:eastAsia="zh-CN"/>
              </w:rPr>
              <w:t>50L/</w:t>
            </w:r>
            <w:r>
              <w:rPr>
                <w:rFonts w:hint="eastAsia" w:eastAsia="宋体"/>
                <w:bCs/>
                <w:color w:val="auto"/>
                <w:sz w:val="24"/>
                <w:highlight w:val="none"/>
                <w:lang w:val="en-US" w:eastAsia="zh-CN"/>
              </w:rPr>
              <w:t>人</w:t>
            </w:r>
            <w:r>
              <w:rPr>
                <w:rFonts w:hint="default" w:eastAsia="宋体"/>
                <w:bCs/>
                <w:color w:val="auto"/>
                <w:sz w:val="24"/>
                <w:highlight w:val="none"/>
                <w:lang w:val="en-US" w:eastAsia="zh-CN"/>
              </w:rPr>
              <w:t>·d</w:t>
            </w:r>
            <w:r>
              <w:rPr>
                <w:rFonts w:hint="eastAsia" w:eastAsia="宋体"/>
                <w:bCs/>
                <w:color w:val="auto"/>
                <w:sz w:val="24"/>
                <w:highlight w:val="none"/>
                <w:lang w:val="en-US" w:eastAsia="zh-CN"/>
              </w:rPr>
              <w:t>计，</w:t>
            </w:r>
            <w:r>
              <w:rPr>
                <w:rFonts w:hint="eastAsia"/>
                <w:bCs/>
                <w:color w:val="auto"/>
                <w:sz w:val="24"/>
                <w:highlight w:val="none"/>
                <w:lang w:val="en-US" w:eastAsia="zh-CN"/>
              </w:rPr>
              <w:t>项目年工作260d，</w:t>
            </w:r>
            <w:r>
              <w:rPr>
                <w:rFonts w:hint="eastAsia" w:eastAsia="宋体"/>
                <w:bCs/>
                <w:color w:val="auto"/>
                <w:sz w:val="24"/>
                <w:highlight w:val="none"/>
                <w:lang w:val="en-US" w:eastAsia="zh-CN"/>
              </w:rPr>
              <w:t>则生活用水量为</w:t>
            </w:r>
            <w:r>
              <w:rPr>
                <w:rFonts w:hint="eastAsia"/>
                <w:bCs/>
                <w:color w:val="auto"/>
                <w:sz w:val="24"/>
                <w:highlight w:val="none"/>
                <w:lang w:val="en-US" w:eastAsia="zh-CN"/>
              </w:rPr>
              <w:t>468m</w:t>
            </w:r>
            <w:r>
              <w:rPr>
                <w:rFonts w:hint="eastAsia"/>
                <w:bCs/>
                <w:color w:val="auto"/>
                <w:sz w:val="24"/>
                <w:highlight w:val="none"/>
                <w:vertAlign w:val="superscript"/>
                <w:lang w:val="en-US" w:eastAsia="zh-CN"/>
              </w:rPr>
              <w:t>3</w:t>
            </w:r>
            <w:r>
              <w:rPr>
                <w:rFonts w:hint="default" w:eastAsia="宋体"/>
                <w:bCs/>
                <w:color w:val="auto"/>
                <w:sz w:val="24"/>
                <w:highlight w:val="none"/>
                <w:lang w:val="en-US" w:eastAsia="zh-CN"/>
              </w:rPr>
              <w:t>/a</w:t>
            </w:r>
            <w:r>
              <w:rPr>
                <w:rFonts w:hint="eastAsia" w:eastAsia="宋体"/>
                <w:bCs/>
                <w:color w:val="auto"/>
                <w:sz w:val="24"/>
                <w:highlight w:val="none"/>
                <w:lang w:val="en-US" w:eastAsia="zh-CN"/>
              </w:rPr>
              <w:t>。</w:t>
            </w:r>
          </w:p>
          <w:p w14:paraId="3248315F">
            <w:pPr>
              <w:adjustRightInd w:val="0"/>
              <w:snapToGrid w:val="0"/>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本</w:t>
            </w:r>
            <w:r>
              <w:rPr>
                <w:bCs/>
                <w:color w:val="auto"/>
                <w:sz w:val="24"/>
                <w:highlight w:val="none"/>
              </w:rPr>
              <w:t>项目</w:t>
            </w:r>
            <w:r>
              <w:rPr>
                <w:color w:val="auto"/>
                <w:sz w:val="24"/>
                <w:highlight w:val="none"/>
              </w:rPr>
              <w:t>实验用水</w:t>
            </w:r>
            <w:r>
              <w:rPr>
                <w:rFonts w:hint="eastAsia"/>
                <w:color w:val="auto"/>
                <w:sz w:val="24"/>
                <w:highlight w:val="none"/>
                <w:lang w:val="en-US" w:eastAsia="zh-CN"/>
              </w:rPr>
              <w:t>包括</w:t>
            </w:r>
            <w:r>
              <w:rPr>
                <w:bCs/>
                <w:color w:val="auto"/>
                <w:sz w:val="24"/>
                <w:highlight w:val="none"/>
              </w:rPr>
              <w:t>容器清洗</w:t>
            </w:r>
            <w:r>
              <w:rPr>
                <w:rFonts w:hint="eastAsia"/>
                <w:bCs/>
                <w:color w:val="auto"/>
                <w:sz w:val="24"/>
                <w:highlight w:val="none"/>
                <w:lang w:val="en-US" w:eastAsia="zh-CN"/>
              </w:rPr>
              <w:t>用水、</w:t>
            </w:r>
            <w:r>
              <w:rPr>
                <w:bCs/>
                <w:color w:val="auto"/>
                <w:sz w:val="24"/>
                <w:highlight w:val="none"/>
              </w:rPr>
              <w:t>实验</w:t>
            </w:r>
            <w:r>
              <w:rPr>
                <w:rFonts w:hint="eastAsia"/>
                <w:bCs/>
                <w:color w:val="auto"/>
                <w:sz w:val="24"/>
                <w:highlight w:val="none"/>
              </w:rPr>
              <w:t>过程</w:t>
            </w:r>
            <w:r>
              <w:rPr>
                <w:bCs/>
                <w:color w:val="auto"/>
                <w:sz w:val="24"/>
                <w:highlight w:val="none"/>
              </w:rPr>
              <w:t>试剂配</w:t>
            </w:r>
            <w:r>
              <w:rPr>
                <w:rFonts w:hint="eastAsia"/>
                <w:bCs/>
                <w:color w:val="auto"/>
                <w:sz w:val="24"/>
                <w:highlight w:val="none"/>
                <w:lang w:val="en-US" w:eastAsia="zh-CN"/>
              </w:rPr>
              <w:t>制</w:t>
            </w:r>
            <w:r>
              <w:rPr>
                <w:bCs/>
                <w:color w:val="auto"/>
                <w:sz w:val="24"/>
                <w:highlight w:val="none"/>
              </w:rPr>
              <w:t>用水</w:t>
            </w:r>
            <w:r>
              <w:rPr>
                <w:rFonts w:hint="eastAsia"/>
                <w:bCs/>
                <w:color w:val="auto"/>
                <w:sz w:val="24"/>
                <w:highlight w:val="none"/>
                <w:lang w:eastAsia="zh-CN"/>
              </w:rPr>
              <w:t>、</w:t>
            </w:r>
            <w:r>
              <w:rPr>
                <w:rFonts w:hint="eastAsia"/>
                <w:bCs/>
                <w:color w:val="auto"/>
                <w:sz w:val="24"/>
                <w:highlight w:val="none"/>
                <w:lang w:val="en-US" w:eastAsia="zh-CN"/>
              </w:rPr>
              <w:t>高压蒸汽灭菌用水、水浴锅用水</w:t>
            </w:r>
            <w:r>
              <w:rPr>
                <w:rFonts w:hint="eastAsia"/>
                <w:bCs/>
                <w:color w:val="auto"/>
                <w:sz w:val="24"/>
                <w:highlight w:val="none"/>
                <w:lang w:eastAsia="zh-CN"/>
              </w:rPr>
              <w:t>。</w:t>
            </w:r>
            <w:r>
              <w:rPr>
                <w:rFonts w:hint="eastAsia"/>
                <w:bCs/>
                <w:color w:val="auto"/>
                <w:sz w:val="24"/>
                <w:highlight w:val="none"/>
              </w:rPr>
              <w:t>容器</w:t>
            </w:r>
            <w:r>
              <w:rPr>
                <w:rFonts w:hint="eastAsia"/>
                <w:bCs/>
                <w:color w:val="auto"/>
                <w:sz w:val="24"/>
                <w:highlight w:val="none"/>
                <w:lang w:val="en-US" w:eastAsia="zh-CN"/>
              </w:rPr>
              <w:t>清洗</w:t>
            </w:r>
            <w:r>
              <w:rPr>
                <w:bCs/>
                <w:color w:val="auto"/>
                <w:sz w:val="24"/>
                <w:highlight w:val="none"/>
              </w:rPr>
              <w:t>用水</w:t>
            </w:r>
            <w:r>
              <w:rPr>
                <w:rFonts w:hint="eastAsia"/>
                <w:bCs/>
                <w:color w:val="auto"/>
                <w:sz w:val="24"/>
                <w:highlight w:val="none"/>
                <w:lang w:val="en-US" w:eastAsia="zh-CN"/>
              </w:rPr>
              <w:t>2.0m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eastAsia="宋体"/>
                <w:bCs/>
                <w:color w:val="auto"/>
                <w:sz w:val="24"/>
                <w:highlight w:val="none"/>
                <w:lang w:val="en-US" w:eastAsia="zh-CN"/>
              </w:rPr>
              <w:t>前两</w:t>
            </w:r>
            <w:r>
              <w:rPr>
                <w:rFonts w:hint="eastAsia"/>
                <w:bCs/>
                <w:color w:val="auto"/>
                <w:sz w:val="24"/>
                <w:highlight w:val="none"/>
                <w:lang w:val="en-US" w:eastAsia="zh-CN"/>
              </w:rPr>
              <w:t>遍</w:t>
            </w:r>
            <w:r>
              <w:rPr>
                <w:rFonts w:hint="eastAsia" w:eastAsia="宋体"/>
                <w:bCs/>
                <w:color w:val="auto"/>
                <w:sz w:val="24"/>
                <w:highlight w:val="none"/>
                <w:lang w:val="en-US" w:eastAsia="zh-CN"/>
              </w:rPr>
              <w:t>清洗</w:t>
            </w:r>
            <w:r>
              <w:rPr>
                <w:rFonts w:hint="eastAsia"/>
                <w:bCs/>
                <w:color w:val="auto"/>
                <w:sz w:val="24"/>
                <w:highlight w:val="none"/>
                <w:lang w:val="en-US" w:eastAsia="zh-CN"/>
              </w:rPr>
              <w:t>用水、第三遍及以后</w:t>
            </w:r>
            <w:r>
              <w:rPr>
                <w:rFonts w:hint="eastAsia"/>
                <w:bCs/>
                <w:color w:val="auto"/>
                <w:sz w:val="24"/>
                <w:highlight w:val="none"/>
              </w:rPr>
              <w:t>清洗</w:t>
            </w:r>
            <w:r>
              <w:rPr>
                <w:rFonts w:hint="eastAsia"/>
                <w:bCs/>
                <w:color w:val="auto"/>
                <w:sz w:val="24"/>
                <w:highlight w:val="none"/>
                <w:lang w:val="en-US" w:eastAsia="zh-CN"/>
              </w:rPr>
              <w:t>用</w:t>
            </w:r>
            <w:r>
              <w:rPr>
                <w:rFonts w:hint="eastAsia"/>
                <w:bCs/>
                <w:color w:val="auto"/>
                <w:sz w:val="24"/>
                <w:highlight w:val="none"/>
              </w:rPr>
              <w:t>水</w:t>
            </w:r>
            <w:r>
              <w:rPr>
                <w:rFonts w:hint="eastAsia"/>
                <w:bCs/>
                <w:color w:val="auto"/>
                <w:sz w:val="24"/>
                <w:highlight w:val="none"/>
                <w:lang w:val="en-US" w:eastAsia="zh-CN"/>
              </w:rPr>
              <w:t>各1.0</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bCs/>
                <w:color w:val="auto"/>
                <w:sz w:val="24"/>
                <w:highlight w:val="none"/>
                <w:lang w:eastAsia="zh-CN"/>
              </w:rPr>
              <w:t>）；</w:t>
            </w:r>
            <w:r>
              <w:rPr>
                <w:bCs/>
                <w:color w:val="auto"/>
                <w:sz w:val="24"/>
                <w:highlight w:val="none"/>
              </w:rPr>
              <w:t>实验</w:t>
            </w:r>
            <w:r>
              <w:rPr>
                <w:rFonts w:hint="eastAsia"/>
                <w:bCs/>
                <w:color w:val="auto"/>
                <w:sz w:val="24"/>
                <w:highlight w:val="none"/>
              </w:rPr>
              <w:t>过程</w:t>
            </w:r>
            <w:r>
              <w:rPr>
                <w:bCs/>
                <w:color w:val="auto"/>
                <w:sz w:val="24"/>
                <w:highlight w:val="none"/>
              </w:rPr>
              <w:t>试剂</w:t>
            </w:r>
            <w:r>
              <w:rPr>
                <w:rFonts w:hint="eastAsia"/>
                <w:bCs/>
                <w:color w:val="auto"/>
                <w:sz w:val="24"/>
                <w:highlight w:val="none"/>
                <w:lang w:val="en-US" w:eastAsia="zh-CN"/>
              </w:rPr>
              <w:t>配制</w:t>
            </w:r>
            <w:r>
              <w:rPr>
                <w:bCs/>
                <w:color w:val="auto"/>
                <w:sz w:val="24"/>
                <w:highlight w:val="none"/>
              </w:rPr>
              <w:t>用水</w:t>
            </w:r>
            <w:r>
              <w:rPr>
                <w:rFonts w:hint="eastAsia"/>
                <w:bCs/>
                <w:color w:val="auto"/>
                <w:sz w:val="24"/>
                <w:highlight w:val="none"/>
                <w:lang w:val="en-US" w:eastAsia="zh-CN"/>
              </w:rPr>
              <w:t>0.5m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高压蒸汽灭菌用水0.1m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水浴锅用水0.5m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实验用水全部使用纯水，合计用纯水3.1m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纯水全部外购。</w:t>
            </w:r>
          </w:p>
          <w:p w14:paraId="4A129A65">
            <w:pPr>
              <w:adjustRightInd w:val="0"/>
              <w:snapToGrid w:val="0"/>
              <w:spacing w:line="360" w:lineRule="auto"/>
              <w:ind w:firstLine="480" w:firstLineChars="200"/>
              <w:rPr>
                <w:rFonts w:hint="default"/>
                <w:bCs/>
                <w:color w:val="auto"/>
                <w:sz w:val="24"/>
                <w:highlight w:val="none"/>
                <w:lang w:val="en-US" w:eastAsia="zh-CN"/>
              </w:rPr>
            </w:pPr>
            <w:r>
              <w:rPr>
                <w:rFonts w:hint="eastAsia"/>
                <w:bCs/>
                <w:color w:val="auto"/>
                <w:sz w:val="24"/>
                <w:highlight w:val="none"/>
                <w:lang w:val="en-US" w:eastAsia="zh-CN"/>
              </w:rPr>
              <w:t>地面清洗用水5m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p>
          <w:p w14:paraId="43A3014E">
            <w:pPr>
              <w:adjustRightInd w:val="0"/>
              <w:snapToGrid w:val="0"/>
              <w:spacing w:line="360" w:lineRule="auto"/>
              <w:ind w:firstLine="480" w:firstLineChars="200"/>
              <w:rPr>
                <w:rFonts w:hint="eastAsia"/>
                <w:bCs/>
                <w:color w:val="auto"/>
                <w:sz w:val="24"/>
                <w:highlight w:val="none"/>
                <w:lang w:eastAsia="zh-CN"/>
              </w:rPr>
            </w:pPr>
            <w:r>
              <w:rPr>
                <w:rFonts w:hint="eastAsia"/>
                <w:color w:val="auto"/>
                <w:sz w:val="24"/>
                <w:highlight w:val="none"/>
                <w:lang w:val="en-US" w:eastAsia="zh-CN"/>
              </w:rPr>
              <w:t>本</w:t>
            </w:r>
            <w:r>
              <w:rPr>
                <w:color w:val="auto"/>
                <w:sz w:val="24"/>
                <w:highlight w:val="none"/>
              </w:rPr>
              <w:t>项目</w:t>
            </w:r>
            <w:r>
              <w:rPr>
                <w:rFonts w:hint="eastAsia"/>
                <w:color w:val="auto"/>
                <w:sz w:val="24"/>
                <w:highlight w:val="none"/>
                <w:lang w:val="en-US" w:eastAsia="zh-CN"/>
              </w:rPr>
              <w:t>合计用水量</w:t>
            </w:r>
            <w:r>
              <w:rPr>
                <w:rFonts w:hint="eastAsia"/>
                <w:bCs/>
                <w:color w:val="auto"/>
                <w:sz w:val="24"/>
                <w:highlight w:val="none"/>
                <w:lang w:val="en-US" w:eastAsia="zh-CN"/>
              </w:rPr>
              <w:t>473m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p>
          <w:p w14:paraId="56B187A2">
            <w:pPr>
              <w:numPr>
                <w:ilvl w:val="0"/>
                <w:numId w:val="0"/>
              </w:numPr>
              <w:adjustRightInd w:val="0"/>
              <w:spacing w:line="360" w:lineRule="auto"/>
              <w:ind w:firstLine="480" w:firstLineChars="200"/>
              <w:rPr>
                <w:rFonts w:hint="eastAsia" w:cs="Times New Roman"/>
                <w:bCs/>
                <w:color w:val="auto"/>
                <w:sz w:val="24"/>
                <w:highlight w:val="none"/>
                <w:lang w:eastAsia="zh-CN"/>
              </w:rPr>
            </w:pPr>
            <w:r>
              <w:rPr>
                <w:rFonts w:hint="eastAsia" w:cs="Times New Roman"/>
                <w:bCs/>
                <w:color w:val="auto"/>
                <w:sz w:val="24"/>
                <w:highlight w:val="none"/>
                <w:lang w:eastAsia="zh-CN"/>
              </w:rPr>
              <w:t>（</w:t>
            </w:r>
            <w:r>
              <w:rPr>
                <w:rFonts w:hint="eastAsia" w:cs="Times New Roman"/>
                <w:bCs/>
                <w:color w:val="auto"/>
                <w:sz w:val="24"/>
                <w:highlight w:val="none"/>
                <w:lang w:val="en-US" w:eastAsia="zh-CN"/>
              </w:rPr>
              <w:t>2</w:t>
            </w:r>
            <w:r>
              <w:rPr>
                <w:rFonts w:hint="eastAsia" w:cs="Times New Roman"/>
                <w:bCs/>
                <w:color w:val="auto"/>
                <w:sz w:val="24"/>
                <w:highlight w:val="none"/>
                <w:lang w:eastAsia="zh-CN"/>
              </w:rPr>
              <w:t>）排水</w:t>
            </w:r>
          </w:p>
          <w:p w14:paraId="53A1DA4D">
            <w:pPr>
              <w:adjustRightInd w:val="0"/>
              <w:snapToGrid w:val="0"/>
              <w:spacing w:line="360" w:lineRule="auto"/>
              <w:ind w:firstLine="480" w:firstLineChars="200"/>
              <w:rPr>
                <w:rFonts w:hint="eastAsia"/>
                <w:bCs/>
                <w:color w:val="auto"/>
                <w:sz w:val="24"/>
                <w:highlight w:val="none"/>
                <w:lang w:eastAsia="zh-CN"/>
              </w:rPr>
            </w:pPr>
            <w:r>
              <w:rPr>
                <w:rFonts w:hint="eastAsia"/>
                <w:bCs/>
                <w:color w:val="auto"/>
                <w:sz w:val="24"/>
                <w:highlight w:val="none"/>
                <w:lang w:val="en-US" w:eastAsia="zh-CN"/>
              </w:rPr>
              <w:t>本</w:t>
            </w:r>
            <w:r>
              <w:rPr>
                <w:rFonts w:hint="eastAsia"/>
                <w:bCs/>
                <w:color w:val="auto"/>
                <w:sz w:val="24"/>
                <w:highlight w:val="none"/>
              </w:rPr>
              <w:t>项目</w:t>
            </w:r>
            <w:r>
              <w:rPr>
                <w:rFonts w:hint="eastAsia"/>
                <w:bCs/>
                <w:color w:val="auto"/>
                <w:sz w:val="24"/>
                <w:highlight w:val="none"/>
                <w:lang w:val="en-US" w:eastAsia="zh-CN"/>
              </w:rPr>
              <w:t>排水包括生活污水、</w:t>
            </w:r>
            <w:r>
              <w:rPr>
                <w:rFonts w:hint="eastAsia"/>
                <w:bCs/>
                <w:color w:val="auto"/>
                <w:sz w:val="24"/>
                <w:highlight w:val="none"/>
              </w:rPr>
              <w:t>容器</w:t>
            </w:r>
            <w:r>
              <w:rPr>
                <w:rFonts w:hint="eastAsia"/>
                <w:bCs/>
                <w:color w:val="auto"/>
                <w:sz w:val="24"/>
                <w:highlight w:val="none"/>
                <w:lang w:val="en-US" w:eastAsia="zh-CN"/>
              </w:rPr>
              <w:t>第三遍及以后</w:t>
            </w:r>
            <w:r>
              <w:rPr>
                <w:rFonts w:hint="eastAsia"/>
                <w:bCs/>
                <w:color w:val="auto"/>
                <w:sz w:val="24"/>
                <w:highlight w:val="none"/>
              </w:rPr>
              <w:t>清洗废水</w:t>
            </w:r>
            <w:r>
              <w:rPr>
                <w:rFonts w:hint="eastAsia"/>
                <w:bCs/>
                <w:color w:val="auto"/>
                <w:sz w:val="24"/>
                <w:highlight w:val="none"/>
                <w:lang w:eastAsia="zh-CN"/>
              </w:rPr>
              <w:t>、</w:t>
            </w:r>
            <w:r>
              <w:rPr>
                <w:rFonts w:hint="eastAsia"/>
                <w:bCs/>
                <w:color w:val="auto"/>
                <w:sz w:val="24"/>
                <w:highlight w:val="none"/>
                <w:lang w:val="en-US" w:eastAsia="zh-CN"/>
              </w:rPr>
              <w:t>高压蒸汽灭菌废水、地面清洗废水</w:t>
            </w:r>
            <w:r>
              <w:rPr>
                <w:rFonts w:hint="eastAsia"/>
                <w:bCs/>
                <w:color w:val="auto"/>
                <w:sz w:val="24"/>
                <w:highlight w:val="none"/>
                <w:lang w:eastAsia="zh-CN"/>
              </w:rPr>
              <w:t>。</w:t>
            </w:r>
          </w:p>
          <w:p w14:paraId="60817A6D">
            <w:pPr>
              <w:adjustRightInd w:val="0"/>
              <w:snapToGrid w:val="0"/>
              <w:spacing w:line="360" w:lineRule="auto"/>
              <w:ind w:firstLine="480" w:firstLineChars="200"/>
              <w:rPr>
                <w:rFonts w:hint="default" w:eastAsia="宋体"/>
                <w:bCs/>
                <w:color w:val="auto"/>
                <w:sz w:val="24"/>
                <w:highlight w:val="none"/>
                <w:lang w:val="en-US" w:eastAsia="zh-CN"/>
              </w:rPr>
            </w:pPr>
            <w:r>
              <w:rPr>
                <w:rFonts w:hint="eastAsia" w:eastAsia="宋体"/>
                <w:bCs/>
                <w:color w:val="auto"/>
                <w:sz w:val="24"/>
                <w:highlight w:val="none"/>
                <w:lang w:val="en-US" w:eastAsia="zh-CN"/>
              </w:rPr>
              <w:t>生活废水产生量按用水量的85%，计</w:t>
            </w:r>
            <w:r>
              <w:rPr>
                <w:rFonts w:hint="eastAsia"/>
                <w:bCs/>
                <w:color w:val="auto"/>
                <w:sz w:val="24"/>
                <w:highlight w:val="none"/>
                <w:lang w:val="en-US" w:eastAsia="zh-CN"/>
              </w:rPr>
              <w:t>397.8</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eastAsia="宋体"/>
                <w:bCs/>
                <w:color w:val="auto"/>
                <w:sz w:val="24"/>
                <w:highlight w:val="none"/>
                <w:lang w:eastAsia="zh-CN"/>
              </w:rPr>
              <w:t>。</w:t>
            </w:r>
          </w:p>
          <w:p w14:paraId="067174CA">
            <w:pPr>
              <w:adjustRightInd w:val="0"/>
              <w:snapToGrid w:val="0"/>
              <w:spacing w:line="360" w:lineRule="auto"/>
              <w:ind w:firstLine="480" w:firstLineChars="200"/>
              <w:rPr>
                <w:rFonts w:hint="eastAsia" w:eastAsia="宋体"/>
                <w:bCs/>
                <w:color w:val="auto"/>
                <w:sz w:val="24"/>
                <w:highlight w:val="none"/>
              </w:rPr>
            </w:pPr>
            <w:r>
              <w:rPr>
                <w:rFonts w:hint="eastAsia" w:eastAsia="宋体"/>
                <w:bCs/>
                <w:color w:val="auto"/>
                <w:sz w:val="24"/>
                <w:highlight w:val="none"/>
                <w:lang w:val="en-US" w:eastAsia="zh-CN"/>
              </w:rPr>
              <w:t>容器清洗废水损耗率为</w:t>
            </w:r>
            <w:r>
              <w:rPr>
                <w:rFonts w:hint="default" w:eastAsia="宋体"/>
                <w:bCs/>
                <w:color w:val="auto"/>
                <w:sz w:val="24"/>
                <w:highlight w:val="none"/>
                <w:lang w:val="en-US" w:eastAsia="zh-CN"/>
              </w:rPr>
              <w:t>10%</w:t>
            </w:r>
            <w:r>
              <w:rPr>
                <w:rFonts w:hint="eastAsia" w:eastAsia="宋体"/>
                <w:bCs/>
                <w:color w:val="auto"/>
                <w:sz w:val="24"/>
                <w:highlight w:val="none"/>
                <w:lang w:val="en-US" w:eastAsia="zh-CN"/>
              </w:rPr>
              <w:t>，前两次清洗废水产生量为0.</w:t>
            </w:r>
            <w:r>
              <w:rPr>
                <w:rFonts w:hint="eastAsia"/>
                <w:bCs/>
                <w:color w:val="auto"/>
                <w:sz w:val="24"/>
                <w:highlight w:val="none"/>
                <w:lang w:val="en-US" w:eastAsia="zh-CN"/>
              </w:rPr>
              <w:t>9</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eastAsia="宋体"/>
                <w:bCs/>
                <w:color w:val="auto"/>
                <w:sz w:val="24"/>
                <w:highlight w:val="none"/>
                <w:lang w:val="en-US" w:eastAsia="zh-CN"/>
              </w:rPr>
              <w:t>，作为</w:t>
            </w:r>
            <w:r>
              <w:rPr>
                <w:rFonts w:hint="eastAsia"/>
                <w:bCs/>
                <w:color w:val="auto"/>
                <w:sz w:val="24"/>
                <w:highlight w:val="none"/>
                <w:lang w:val="en-US" w:eastAsia="zh-CN"/>
              </w:rPr>
              <w:t>危险废物收集</w:t>
            </w:r>
            <w:r>
              <w:rPr>
                <w:rFonts w:hint="eastAsia" w:eastAsia="宋体"/>
                <w:bCs/>
                <w:color w:val="auto"/>
                <w:sz w:val="24"/>
                <w:highlight w:val="none"/>
                <w:lang w:val="en-US" w:eastAsia="zh-CN"/>
              </w:rPr>
              <w:t>处理；第三</w:t>
            </w:r>
            <w:r>
              <w:rPr>
                <w:rFonts w:hint="eastAsia"/>
                <w:bCs/>
                <w:color w:val="auto"/>
                <w:sz w:val="24"/>
                <w:highlight w:val="none"/>
                <w:lang w:val="en-US" w:eastAsia="zh-CN"/>
              </w:rPr>
              <w:t>遍</w:t>
            </w:r>
            <w:r>
              <w:rPr>
                <w:rFonts w:hint="eastAsia" w:eastAsia="宋体"/>
                <w:bCs/>
                <w:color w:val="auto"/>
                <w:sz w:val="24"/>
                <w:highlight w:val="none"/>
                <w:lang w:val="en-US" w:eastAsia="zh-CN"/>
              </w:rPr>
              <w:t>及以后清洗废水产生量0.</w:t>
            </w:r>
            <w:r>
              <w:rPr>
                <w:rFonts w:hint="eastAsia"/>
                <w:bCs/>
                <w:color w:val="auto"/>
                <w:sz w:val="24"/>
                <w:highlight w:val="none"/>
                <w:lang w:val="en-US" w:eastAsia="zh-CN"/>
              </w:rPr>
              <w:t>9</w:t>
            </w:r>
            <w:r>
              <w:rPr>
                <w:rFonts w:hint="eastAsia" w:eastAsia="宋体"/>
                <w:bCs/>
                <w:color w:val="auto"/>
                <w:sz w:val="24"/>
                <w:highlight w:val="none"/>
                <w:lang w:val="en-US" w:eastAsia="zh-CN"/>
              </w:rPr>
              <w:t>m</w:t>
            </w:r>
            <w:r>
              <w:rPr>
                <w:rFonts w:hint="eastAsia" w:eastAsia="宋体"/>
                <w:bCs/>
                <w:color w:val="auto"/>
                <w:sz w:val="24"/>
                <w:highlight w:val="none"/>
                <w:vertAlign w:val="superscript"/>
                <w:lang w:val="en-US" w:eastAsia="zh-CN"/>
              </w:rPr>
              <w:t>3</w:t>
            </w:r>
            <w:r>
              <w:rPr>
                <w:rFonts w:hint="eastAsia" w:eastAsia="宋体"/>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与其他废水一期进园区化粪池</w:t>
            </w:r>
            <w:r>
              <w:rPr>
                <w:rFonts w:hint="eastAsia" w:eastAsia="宋体"/>
                <w:bCs/>
                <w:color w:val="auto"/>
                <w:sz w:val="24"/>
                <w:highlight w:val="none"/>
                <w:lang w:val="en-US" w:eastAsia="zh-CN"/>
              </w:rPr>
              <w:t>。</w:t>
            </w:r>
          </w:p>
          <w:p w14:paraId="2ED00CBF">
            <w:pPr>
              <w:adjustRightInd w:val="0"/>
              <w:snapToGrid w:val="0"/>
              <w:spacing w:line="360" w:lineRule="auto"/>
              <w:ind w:firstLine="480" w:firstLineChars="200"/>
              <w:rPr>
                <w:rFonts w:hint="eastAsia" w:eastAsia="宋体"/>
                <w:bCs/>
                <w:color w:val="FF0000"/>
                <w:sz w:val="24"/>
                <w:highlight w:val="none"/>
                <w:lang w:val="en-US" w:eastAsia="zh-CN"/>
              </w:rPr>
            </w:pPr>
            <w:r>
              <w:rPr>
                <w:rFonts w:hint="eastAsia" w:eastAsia="宋体"/>
                <w:bCs/>
                <w:color w:val="FF0000"/>
                <w:sz w:val="24"/>
                <w:highlight w:val="none"/>
                <w:lang w:val="en-US" w:eastAsia="zh-CN"/>
              </w:rPr>
              <w:t>试剂配制</w:t>
            </w:r>
            <w:r>
              <w:rPr>
                <w:rFonts w:hint="eastAsia"/>
                <w:bCs/>
                <w:color w:val="FF0000"/>
                <w:sz w:val="24"/>
                <w:highlight w:val="none"/>
                <w:lang w:val="en-US" w:eastAsia="zh-CN"/>
              </w:rPr>
              <w:t>用水全部进入检测废液，进入检测</w:t>
            </w:r>
            <w:r>
              <w:rPr>
                <w:rFonts w:hint="eastAsia" w:eastAsia="宋体"/>
                <w:bCs/>
                <w:color w:val="FF0000"/>
                <w:sz w:val="24"/>
                <w:highlight w:val="none"/>
                <w:lang w:val="en-US" w:eastAsia="zh-CN"/>
              </w:rPr>
              <w:t>废液</w:t>
            </w:r>
            <w:r>
              <w:rPr>
                <w:rFonts w:hint="eastAsia"/>
                <w:bCs/>
                <w:color w:val="FF0000"/>
                <w:sz w:val="24"/>
                <w:highlight w:val="none"/>
                <w:lang w:val="en-US" w:eastAsia="zh-CN"/>
              </w:rPr>
              <w:t>的水量</w:t>
            </w:r>
            <w:r>
              <w:rPr>
                <w:rFonts w:hint="eastAsia" w:eastAsia="宋体"/>
                <w:bCs/>
                <w:color w:val="FF0000"/>
                <w:sz w:val="24"/>
                <w:highlight w:val="none"/>
                <w:lang w:val="en-US" w:eastAsia="zh-CN"/>
              </w:rPr>
              <w:t>0.45m</w:t>
            </w:r>
            <w:r>
              <w:rPr>
                <w:rFonts w:hint="eastAsia" w:eastAsia="宋体"/>
                <w:bCs/>
                <w:color w:val="FF0000"/>
                <w:sz w:val="24"/>
                <w:highlight w:val="none"/>
                <w:vertAlign w:val="superscript"/>
                <w:lang w:val="en-US" w:eastAsia="zh-CN"/>
              </w:rPr>
              <w:t>3</w:t>
            </w:r>
            <w:r>
              <w:rPr>
                <w:rFonts w:hint="eastAsia" w:eastAsia="宋体"/>
                <w:bCs/>
                <w:color w:val="FF0000"/>
                <w:sz w:val="24"/>
                <w:highlight w:val="none"/>
                <w:lang w:val="en-US" w:eastAsia="zh-CN"/>
              </w:rPr>
              <w:t>/a，</w:t>
            </w:r>
            <w:r>
              <w:rPr>
                <w:rFonts w:hint="eastAsia"/>
                <w:bCs/>
                <w:color w:val="FF0000"/>
                <w:sz w:val="24"/>
                <w:highlight w:val="none"/>
                <w:lang w:val="en-US" w:eastAsia="zh-CN"/>
              </w:rPr>
              <w:t>检测</w:t>
            </w:r>
            <w:r>
              <w:rPr>
                <w:rFonts w:hint="eastAsia" w:eastAsia="宋体"/>
                <w:bCs/>
                <w:color w:val="FF0000"/>
                <w:sz w:val="24"/>
                <w:highlight w:val="none"/>
                <w:lang w:val="en-US" w:eastAsia="zh-CN"/>
              </w:rPr>
              <w:t>废液含有化学试剂，属于危险废物，</w:t>
            </w:r>
            <w:r>
              <w:rPr>
                <w:rFonts w:hint="eastAsia"/>
                <w:bCs/>
                <w:color w:val="FF0000"/>
                <w:sz w:val="24"/>
                <w:highlight w:val="none"/>
                <w:lang w:val="en-US" w:eastAsia="zh-CN"/>
              </w:rPr>
              <w:t>检测</w:t>
            </w:r>
            <w:r>
              <w:rPr>
                <w:rFonts w:hint="eastAsia" w:eastAsia="宋体"/>
                <w:bCs/>
                <w:color w:val="FF0000"/>
                <w:sz w:val="24"/>
                <w:highlight w:val="none"/>
                <w:lang w:val="en-US" w:eastAsia="zh-CN"/>
              </w:rPr>
              <w:t>废液</w:t>
            </w:r>
            <w:r>
              <w:rPr>
                <w:rFonts w:hint="eastAsia"/>
                <w:bCs/>
                <w:color w:val="FF0000"/>
                <w:sz w:val="24"/>
                <w:highlight w:val="none"/>
                <w:lang w:val="en-US" w:eastAsia="zh-CN"/>
              </w:rPr>
              <w:t>产生量0.57</w:t>
            </w:r>
            <w:r>
              <w:rPr>
                <w:rFonts w:hint="eastAsia" w:eastAsia="宋体"/>
                <w:bCs/>
                <w:color w:val="FF0000"/>
                <w:sz w:val="24"/>
                <w:highlight w:val="none"/>
                <w:lang w:val="en-US" w:eastAsia="zh-CN"/>
              </w:rPr>
              <w:t>m</w:t>
            </w:r>
            <w:r>
              <w:rPr>
                <w:rFonts w:hint="eastAsia" w:eastAsia="宋体"/>
                <w:bCs/>
                <w:color w:val="FF0000"/>
                <w:sz w:val="24"/>
                <w:highlight w:val="none"/>
                <w:vertAlign w:val="superscript"/>
                <w:lang w:val="en-US" w:eastAsia="zh-CN"/>
              </w:rPr>
              <w:t>3</w:t>
            </w:r>
            <w:r>
              <w:rPr>
                <w:rFonts w:hint="eastAsia" w:eastAsia="宋体"/>
                <w:bCs/>
                <w:color w:val="FF0000"/>
                <w:sz w:val="24"/>
                <w:highlight w:val="none"/>
                <w:lang w:val="en-US" w:eastAsia="zh-CN"/>
              </w:rPr>
              <w:t>/a</w:t>
            </w:r>
            <w:r>
              <w:rPr>
                <w:rFonts w:hint="eastAsia"/>
                <w:bCs/>
                <w:color w:val="FF0000"/>
                <w:sz w:val="24"/>
                <w:highlight w:val="none"/>
                <w:lang w:val="en-US" w:eastAsia="zh-CN"/>
              </w:rPr>
              <w:t>，</w:t>
            </w:r>
            <w:r>
              <w:rPr>
                <w:rFonts w:hint="eastAsia" w:eastAsia="宋体"/>
                <w:bCs/>
                <w:color w:val="FF0000"/>
                <w:sz w:val="24"/>
                <w:highlight w:val="none"/>
                <w:lang w:val="en-US" w:eastAsia="zh-CN"/>
              </w:rPr>
              <w:t>分类收集后暂存于危废暂存间</w:t>
            </w:r>
            <w:r>
              <w:rPr>
                <w:rFonts w:hint="eastAsia"/>
                <w:bCs/>
                <w:color w:val="FF0000"/>
                <w:sz w:val="24"/>
                <w:highlight w:val="none"/>
                <w:lang w:val="en-US" w:eastAsia="zh-CN"/>
              </w:rPr>
              <w:t>，</w:t>
            </w:r>
            <w:r>
              <w:rPr>
                <w:rFonts w:hint="eastAsia" w:eastAsia="宋体"/>
                <w:bCs/>
                <w:color w:val="FF0000"/>
                <w:sz w:val="24"/>
                <w:highlight w:val="none"/>
                <w:lang w:val="en-US" w:eastAsia="zh-CN"/>
              </w:rPr>
              <w:t>作为危险废物</w:t>
            </w:r>
            <w:r>
              <w:rPr>
                <w:rFonts w:hint="eastAsia"/>
                <w:bCs/>
                <w:color w:val="FF0000"/>
                <w:sz w:val="24"/>
                <w:highlight w:val="none"/>
                <w:lang w:val="en-US" w:eastAsia="zh-CN"/>
              </w:rPr>
              <w:t>收集</w:t>
            </w:r>
            <w:r>
              <w:rPr>
                <w:rFonts w:hint="eastAsia" w:eastAsia="宋体"/>
                <w:bCs/>
                <w:color w:val="FF0000"/>
                <w:sz w:val="24"/>
                <w:highlight w:val="none"/>
                <w:lang w:val="en-US" w:eastAsia="zh-CN"/>
              </w:rPr>
              <w:t>处理。</w:t>
            </w:r>
          </w:p>
          <w:p w14:paraId="773A4872">
            <w:pPr>
              <w:adjustRightInd w:val="0"/>
              <w:snapToGrid w:val="0"/>
              <w:spacing w:line="360" w:lineRule="auto"/>
              <w:ind w:firstLine="480" w:firstLineChars="200"/>
              <w:rPr>
                <w:rFonts w:hint="eastAsia" w:eastAsia="宋体"/>
                <w:bCs/>
                <w:color w:val="auto"/>
                <w:sz w:val="24"/>
                <w:highlight w:val="none"/>
              </w:rPr>
            </w:pPr>
            <w:r>
              <w:rPr>
                <w:rFonts w:hint="eastAsia"/>
                <w:bCs/>
                <w:color w:val="auto"/>
                <w:sz w:val="24"/>
                <w:highlight w:val="none"/>
                <w:lang w:val="en-US" w:eastAsia="zh-CN"/>
              </w:rPr>
              <w:t>高压蒸汽灭菌废水产生量为用水量的90%，计0.09m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r>
              <w:rPr>
                <w:rFonts w:hint="eastAsia"/>
                <w:bCs/>
                <w:color w:val="auto"/>
                <w:sz w:val="24"/>
                <w:highlight w:val="none"/>
                <w:lang w:val="en-US" w:eastAsia="zh-CN"/>
              </w:rPr>
              <w:t>与其他废水一期进园区化粪池</w:t>
            </w:r>
            <w:r>
              <w:rPr>
                <w:rFonts w:hint="eastAsia" w:eastAsia="宋体"/>
                <w:bCs/>
                <w:color w:val="auto"/>
                <w:sz w:val="24"/>
                <w:highlight w:val="none"/>
                <w:lang w:val="en-US" w:eastAsia="zh-CN"/>
              </w:rPr>
              <w:t>。</w:t>
            </w:r>
          </w:p>
          <w:p w14:paraId="3CA76CB7">
            <w:pPr>
              <w:adjustRightInd w:val="0"/>
              <w:snapToGrid w:val="0"/>
              <w:spacing w:line="360" w:lineRule="auto"/>
              <w:ind w:firstLine="480" w:firstLineChars="200"/>
              <w:rPr>
                <w:rFonts w:hint="eastAsia"/>
                <w:bCs/>
                <w:color w:val="auto"/>
                <w:sz w:val="24"/>
                <w:highlight w:val="none"/>
                <w:lang w:val="en-US" w:eastAsia="zh-CN"/>
              </w:rPr>
            </w:pPr>
            <w:r>
              <w:rPr>
                <w:rFonts w:hint="eastAsia"/>
                <w:bCs/>
                <w:color w:val="auto"/>
                <w:sz w:val="24"/>
                <w:highlight w:val="none"/>
                <w:lang w:val="en-US" w:eastAsia="zh-CN"/>
              </w:rPr>
              <w:t>水浴锅用水根据损耗及时添加，无外排。</w:t>
            </w:r>
          </w:p>
          <w:p w14:paraId="1ED13E7D">
            <w:pPr>
              <w:adjustRightInd w:val="0"/>
              <w:snapToGrid w:val="0"/>
              <w:spacing w:line="360" w:lineRule="auto"/>
              <w:ind w:firstLine="480" w:firstLineChars="200"/>
              <w:rPr>
                <w:rFonts w:hint="default"/>
                <w:bCs/>
                <w:color w:val="auto"/>
                <w:sz w:val="24"/>
                <w:highlight w:val="none"/>
                <w:lang w:val="en-US" w:eastAsia="zh-CN"/>
              </w:rPr>
            </w:pPr>
            <w:r>
              <w:rPr>
                <w:rFonts w:hint="eastAsia"/>
                <w:bCs/>
                <w:color w:val="auto"/>
                <w:sz w:val="24"/>
                <w:highlight w:val="none"/>
                <w:lang w:val="en-US" w:eastAsia="zh-CN"/>
              </w:rPr>
              <w:t>地面清洗废水为用水量的90%，计4.5m</w:t>
            </w:r>
            <w:r>
              <w:rPr>
                <w:rFonts w:hint="eastAsia"/>
                <w:bCs/>
                <w:color w:val="auto"/>
                <w:sz w:val="24"/>
                <w:highlight w:val="none"/>
                <w:vertAlign w:val="superscript"/>
                <w:lang w:val="en-US" w:eastAsia="zh-CN"/>
              </w:rPr>
              <w:t>3</w:t>
            </w:r>
            <w:r>
              <w:rPr>
                <w:bCs/>
                <w:color w:val="auto"/>
                <w:sz w:val="24"/>
                <w:highlight w:val="none"/>
              </w:rPr>
              <w:t>/a</w:t>
            </w:r>
            <w:r>
              <w:rPr>
                <w:rFonts w:hint="eastAsia"/>
                <w:bCs/>
                <w:color w:val="auto"/>
                <w:sz w:val="24"/>
                <w:highlight w:val="none"/>
                <w:lang w:eastAsia="zh-CN"/>
              </w:rPr>
              <w:t>。</w:t>
            </w:r>
          </w:p>
          <w:p w14:paraId="1E9F35A4">
            <w:pPr>
              <w:adjustRightInd w:val="0"/>
              <w:snapToGrid w:val="0"/>
              <w:spacing w:line="360" w:lineRule="auto"/>
              <w:ind w:firstLine="480" w:firstLineChars="200"/>
              <w:rPr>
                <w:rFonts w:hint="eastAsia" w:cs="Times New Roman"/>
                <w:color w:val="auto"/>
                <w:sz w:val="24"/>
                <w:szCs w:val="24"/>
                <w:highlight w:val="none"/>
                <w:lang w:eastAsia="zh-CN"/>
              </w:rPr>
            </w:pPr>
            <w:r>
              <w:rPr>
                <w:rFonts w:hint="eastAsia" w:cs="Times New Roman"/>
                <w:color w:val="auto"/>
                <w:sz w:val="24"/>
                <w:highlight w:val="none"/>
                <w:lang w:val="en-US" w:eastAsia="zh-CN"/>
              </w:rPr>
              <w:t>生活污水、容器第三遍及以后清洗废水、</w:t>
            </w:r>
            <w:r>
              <w:rPr>
                <w:rFonts w:hint="eastAsia"/>
                <w:bCs/>
                <w:color w:val="auto"/>
                <w:sz w:val="24"/>
                <w:highlight w:val="none"/>
                <w:lang w:val="en-US" w:eastAsia="zh-CN"/>
              </w:rPr>
              <w:t>高压蒸汽灭菌废水、地面清洗废水</w:t>
            </w:r>
            <w:r>
              <w:rPr>
                <w:rFonts w:hint="eastAsia" w:cs="Times New Roman"/>
                <w:color w:val="auto"/>
                <w:sz w:val="24"/>
                <w:highlight w:val="none"/>
                <w:lang w:val="en-US" w:eastAsia="zh-CN"/>
              </w:rPr>
              <w:t>一起进园区化粪池处理，最后经市政管网排入</w:t>
            </w:r>
            <w:r>
              <w:rPr>
                <w:rFonts w:hint="eastAsia" w:cs="Times New Roman"/>
                <w:color w:val="auto"/>
                <w:sz w:val="24"/>
                <w:szCs w:val="24"/>
                <w:highlight w:val="none"/>
                <w:lang w:eastAsia="zh-CN"/>
              </w:rPr>
              <w:t>金桥基地第一污水处理厂。</w:t>
            </w:r>
          </w:p>
          <w:p w14:paraId="5FA01A21">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本项目水平衡</w:t>
            </w:r>
            <w:r>
              <w:rPr>
                <w:rFonts w:hint="eastAsia" w:ascii="Times New Roman" w:hAnsi="Times New Roman" w:eastAsia="宋体" w:cs="Times New Roman"/>
                <w:bCs/>
                <w:color w:val="auto"/>
                <w:sz w:val="24"/>
                <w:highlight w:val="none"/>
                <w:lang w:val="en-US" w:eastAsia="zh-CN"/>
              </w:rPr>
              <w:t>表</w:t>
            </w:r>
            <w:r>
              <w:rPr>
                <w:rFonts w:hint="default" w:ascii="Times New Roman" w:hAnsi="Times New Roman" w:eastAsia="宋体" w:cs="Times New Roman"/>
                <w:bCs/>
                <w:color w:val="auto"/>
                <w:sz w:val="24"/>
                <w:highlight w:val="none"/>
              </w:rPr>
              <w:t>详见下</w:t>
            </w:r>
            <w:r>
              <w:rPr>
                <w:rFonts w:hint="eastAsia" w:ascii="Times New Roman" w:hAnsi="Times New Roman" w:eastAsia="宋体" w:cs="Times New Roman"/>
                <w:bCs/>
                <w:color w:val="auto"/>
                <w:sz w:val="24"/>
                <w:highlight w:val="none"/>
                <w:lang w:val="en-US" w:eastAsia="zh-CN"/>
              </w:rPr>
              <w:t>表</w:t>
            </w:r>
            <w:r>
              <w:rPr>
                <w:rFonts w:hint="default" w:ascii="Times New Roman" w:hAnsi="Times New Roman" w:eastAsia="宋体" w:cs="Times New Roman"/>
                <w:bCs/>
                <w:color w:val="auto"/>
                <w:sz w:val="24"/>
                <w:highlight w:val="none"/>
              </w:rPr>
              <w:t>。</w:t>
            </w:r>
          </w:p>
          <w:p w14:paraId="382A3C1E">
            <w:pPr>
              <w:numPr>
                <w:ilvl w:val="0"/>
                <w:numId w:val="12"/>
              </w:numPr>
              <w:adjustRightInd w:val="0"/>
              <w:snapToGrid w:val="0"/>
              <w:spacing w:line="360" w:lineRule="auto"/>
              <w:jc w:val="center"/>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本</w:t>
            </w:r>
            <w:r>
              <w:rPr>
                <w:rFonts w:hint="eastAsia" w:ascii="Times New Roman" w:hAnsi="Times New Roman" w:eastAsia="宋体" w:cs="Times New Roman"/>
                <w:b/>
                <w:bCs/>
                <w:color w:val="auto"/>
                <w:sz w:val="24"/>
                <w:highlight w:val="none"/>
                <w:lang w:val="en-US" w:eastAsia="zh-CN"/>
              </w:rPr>
              <w:t>项目水平衡表</w:t>
            </w:r>
          </w:p>
          <w:tbl>
            <w:tblPr>
              <w:tblStyle w:val="24"/>
              <w:tblW w:w="48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778"/>
              <w:gridCol w:w="1114"/>
              <w:gridCol w:w="1115"/>
              <w:gridCol w:w="1115"/>
              <w:gridCol w:w="1115"/>
              <w:gridCol w:w="1116"/>
            </w:tblGrid>
            <w:tr w14:paraId="7A49C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restart"/>
                  <w:noWrap w:val="0"/>
                  <w:vAlign w:val="center"/>
                </w:tcPr>
                <w:p w14:paraId="510702E6">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序号</w:t>
                  </w:r>
                </w:p>
              </w:tc>
              <w:tc>
                <w:tcPr>
                  <w:tcW w:w="1778" w:type="dxa"/>
                  <w:vMerge w:val="restart"/>
                  <w:noWrap w:val="0"/>
                  <w:vAlign w:val="center"/>
                </w:tcPr>
                <w:p w14:paraId="5DE89D49">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类别</w:t>
                  </w:r>
                </w:p>
              </w:tc>
              <w:tc>
                <w:tcPr>
                  <w:tcW w:w="2229" w:type="dxa"/>
                  <w:gridSpan w:val="2"/>
                  <w:noWrap w:val="0"/>
                  <w:vAlign w:val="center"/>
                </w:tcPr>
                <w:p w14:paraId="54170C6F">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用水量</w:t>
                  </w:r>
                  <w:r>
                    <w:rPr>
                      <w:rFonts w:hint="default" w:ascii="Times New Roman" w:hAnsi="Times New Roman" w:eastAsia="宋体" w:cs="Times New Roman"/>
                      <w:b/>
                      <w:bCs/>
                      <w:color w:val="auto"/>
                      <w:kern w:val="0"/>
                      <w:sz w:val="21"/>
                      <w:szCs w:val="21"/>
                      <w:lang w:bidi="ar"/>
                    </w:rPr>
                    <w:t>m</w:t>
                  </w:r>
                  <w:r>
                    <w:rPr>
                      <w:rFonts w:hint="default" w:ascii="Times New Roman" w:hAnsi="Times New Roman" w:eastAsia="宋体" w:cs="Times New Roman"/>
                      <w:b/>
                      <w:bCs/>
                      <w:color w:val="auto"/>
                      <w:kern w:val="0"/>
                      <w:sz w:val="21"/>
                      <w:szCs w:val="21"/>
                      <w:vertAlign w:val="superscript"/>
                      <w:lang w:bidi="ar"/>
                    </w:rPr>
                    <w:t>3</w:t>
                  </w:r>
                  <w:r>
                    <w:rPr>
                      <w:rFonts w:hint="default" w:ascii="Times New Roman" w:hAnsi="Times New Roman" w:eastAsia="宋体" w:cs="Times New Roman"/>
                      <w:b/>
                      <w:bCs/>
                      <w:color w:val="auto"/>
                      <w:kern w:val="0"/>
                      <w:sz w:val="21"/>
                      <w:szCs w:val="21"/>
                      <w:lang w:bidi="ar"/>
                    </w:rPr>
                    <w:t>/</w:t>
                  </w:r>
                  <w:r>
                    <w:rPr>
                      <w:rFonts w:hint="eastAsia" w:ascii="Times New Roman" w:hAnsi="Times New Roman" w:eastAsia="宋体" w:cs="Times New Roman"/>
                      <w:b/>
                      <w:bCs/>
                      <w:color w:val="auto"/>
                      <w:kern w:val="0"/>
                      <w:sz w:val="21"/>
                      <w:szCs w:val="21"/>
                      <w:lang w:val="en-US" w:eastAsia="zh-CN" w:bidi="ar"/>
                    </w:rPr>
                    <w:t>a</w:t>
                  </w:r>
                </w:p>
              </w:tc>
              <w:tc>
                <w:tcPr>
                  <w:tcW w:w="1115" w:type="dxa"/>
                  <w:vMerge w:val="restart"/>
                  <w:noWrap w:val="0"/>
                  <w:vAlign w:val="center"/>
                </w:tcPr>
                <w:p w14:paraId="42295C92">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损耗量</w:t>
                  </w:r>
                  <w:r>
                    <w:rPr>
                      <w:rFonts w:hint="default" w:ascii="Times New Roman" w:hAnsi="Times New Roman" w:eastAsia="宋体" w:cs="Times New Roman"/>
                      <w:b/>
                      <w:bCs/>
                      <w:color w:val="auto"/>
                      <w:kern w:val="0"/>
                      <w:sz w:val="21"/>
                      <w:szCs w:val="21"/>
                      <w:lang w:bidi="ar"/>
                    </w:rPr>
                    <w:t>m</w:t>
                  </w:r>
                  <w:r>
                    <w:rPr>
                      <w:rFonts w:hint="default" w:ascii="Times New Roman" w:hAnsi="Times New Roman" w:eastAsia="宋体" w:cs="Times New Roman"/>
                      <w:b/>
                      <w:bCs/>
                      <w:color w:val="auto"/>
                      <w:kern w:val="0"/>
                      <w:sz w:val="21"/>
                      <w:szCs w:val="21"/>
                      <w:vertAlign w:val="superscript"/>
                      <w:lang w:bidi="ar"/>
                    </w:rPr>
                    <w:t>3</w:t>
                  </w:r>
                  <w:r>
                    <w:rPr>
                      <w:rFonts w:hint="default" w:ascii="Times New Roman" w:hAnsi="Times New Roman" w:eastAsia="宋体" w:cs="Times New Roman"/>
                      <w:b/>
                      <w:bCs/>
                      <w:color w:val="auto"/>
                      <w:kern w:val="0"/>
                      <w:sz w:val="21"/>
                      <w:szCs w:val="21"/>
                      <w:lang w:bidi="ar"/>
                    </w:rPr>
                    <w:t>/</w:t>
                  </w:r>
                  <w:r>
                    <w:rPr>
                      <w:rFonts w:hint="eastAsia" w:ascii="Times New Roman" w:hAnsi="Times New Roman" w:eastAsia="宋体" w:cs="Times New Roman"/>
                      <w:b/>
                      <w:bCs/>
                      <w:color w:val="auto"/>
                      <w:kern w:val="0"/>
                      <w:sz w:val="21"/>
                      <w:szCs w:val="21"/>
                      <w:lang w:val="en-US" w:eastAsia="zh-CN" w:bidi="ar"/>
                    </w:rPr>
                    <w:t>a</w:t>
                  </w:r>
                </w:p>
              </w:tc>
              <w:tc>
                <w:tcPr>
                  <w:tcW w:w="2231" w:type="dxa"/>
                  <w:gridSpan w:val="2"/>
                  <w:noWrap w:val="0"/>
                  <w:vAlign w:val="center"/>
                </w:tcPr>
                <w:p w14:paraId="7F10F063">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排放量</w:t>
                  </w:r>
                  <w:r>
                    <w:rPr>
                      <w:rFonts w:hint="default" w:ascii="Times New Roman" w:hAnsi="Times New Roman" w:eastAsia="宋体" w:cs="Times New Roman"/>
                      <w:b/>
                      <w:bCs/>
                      <w:color w:val="auto"/>
                      <w:kern w:val="0"/>
                      <w:sz w:val="21"/>
                      <w:szCs w:val="21"/>
                      <w:lang w:bidi="ar"/>
                    </w:rPr>
                    <w:t>m</w:t>
                  </w:r>
                  <w:r>
                    <w:rPr>
                      <w:rFonts w:hint="default" w:ascii="Times New Roman" w:hAnsi="Times New Roman" w:eastAsia="宋体" w:cs="Times New Roman"/>
                      <w:b/>
                      <w:bCs/>
                      <w:color w:val="auto"/>
                      <w:kern w:val="0"/>
                      <w:sz w:val="21"/>
                      <w:szCs w:val="21"/>
                      <w:vertAlign w:val="superscript"/>
                      <w:lang w:bidi="ar"/>
                    </w:rPr>
                    <w:t>3</w:t>
                  </w:r>
                  <w:r>
                    <w:rPr>
                      <w:rFonts w:hint="default" w:ascii="Times New Roman" w:hAnsi="Times New Roman" w:eastAsia="宋体" w:cs="Times New Roman"/>
                      <w:b/>
                      <w:bCs/>
                      <w:color w:val="auto"/>
                      <w:kern w:val="0"/>
                      <w:sz w:val="21"/>
                      <w:szCs w:val="21"/>
                      <w:lang w:bidi="ar"/>
                    </w:rPr>
                    <w:t>/</w:t>
                  </w:r>
                  <w:r>
                    <w:rPr>
                      <w:rFonts w:hint="eastAsia" w:ascii="Times New Roman" w:hAnsi="Times New Roman" w:eastAsia="宋体" w:cs="Times New Roman"/>
                      <w:b/>
                      <w:bCs/>
                      <w:color w:val="auto"/>
                      <w:kern w:val="0"/>
                      <w:sz w:val="21"/>
                      <w:szCs w:val="21"/>
                      <w:lang w:val="en-US" w:eastAsia="zh-CN" w:bidi="ar"/>
                    </w:rPr>
                    <w:t>a</w:t>
                  </w:r>
                </w:p>
              </w:tc>
            </w:tr>
            <w:tr w14:paraId="155D9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vMerge w:val="continue"/>
                  <w:noWrap w:val="0"/>
                  <w:vAlign w:val="center"/>
                </w:tcPr>
                <w:p w14:paraId="31F2A261">
                  <w:pPr>
                    <w:numPr>
                      <w:ilvl w:val="0"/>
                      <w:numId w:val="0"/>
                    </w:numPr>
                    <w:spacing w:line="240" w:lineRule="auto"/>
                    <w:jc w:val="center"/>
                    <w:rPr>
                      <w:rFonts w:ascii="Times New Roman" w:hAnsi="Times New Roman" w:eastAsia="宋体" w:cs="Times New Roman"/>
                      <w:b w:val="0"/>
                      <w:bCs/>
                      <w:color w:val="auto"/>
                      <w:sz w:val="21"/>
                      <w:szCs w:val="21"/>
                      <w:vertAlign w:val="baseline"/>
                    </w:rPr>
                  </w:pPr>
                </w:p>
              </w:tc>
              <w:tc>
                <w:tcPr>
                  <w:tcW w:w="1778" w:type="dxa"/>
                  <w:vMerge w:val="continue"/>
                  <w:noWrap w:val="0"/>
                  <w:vAlign w:val="center"/>
                </w:tcPr>
                <w:p w14:paraId="22F0C1A3">
                  <w:pPr>
                    <w:numPr>
                      <w:ilvl w:val="0"/>
                      <w:numId w:val="0"/>
                    </w:numPr>
                    <w:spacing w:line="240" w:lineRule="auto"/>
                    <w:jc w:val="center"/>
                    <w:rPr>
                      <w:rFonts w:ascii="Times New Roman" w:hAnsi="Times New Roman" w:eastAsia="宋体" w:cs="Times New Roman"/>
                      <w:b w:val="0"/>
                      <w:bCs/>
                      <w:color w:val="auto"/>
                      <w:sz w:val="21"/>
                      <w:szCs w:val="21"/>
                      <w:vertAlign w:val="baseline"/>
                    </w:rPr>
                  </w:pPr>
                </w:p>
              </w:tc>
              <w:tc>
                <w:tcPr>
                  <w:tcW w:w="1114" w:type="dxa"/>
                  <w:noWrap w:val="0"/>
                  <w:vAlign w:val="center"/>
                </w:tcPr>
                <w:p w14:paraId="22F91788">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新鲜水</w:t>
                  </w:r>
                </w:p>
              </w:tc>
              <w:tc>
                <w:tcPr>
                  <w:tcW w:w="1115" w:type="dxa"/>
                  <w:noWrap w:val="0"/>
                  <w:vAlign w:val="center"/>
                </w:tcPr>
                <w:p w14:paraId="23FE4E36">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纯水</w:t>
                  </w:r>
                </w:p>
              </w:tc>
              <w:tc>
                <w:tcPr>
                  <w:tcW w:w="1115" w:type="dxa"/>
                  <w:vMerge w:val="continue"/>
                  <w:noWrap w:val="0"/>
                  <w:vAlign w:val="center"/>
                </w:tcPr>
                <w:p w14:paraId="4EEB5481">
                  <w:pPr>
                    <w:numPr>
                      <w:ilvl w:val="0"/>
                      <w:numId w:val="0"/>
                    </w:numPr>
                    <w:spacing w:line="240" w:lineRule="auto"/>
                    <w:jc w:val="center"/>
                    <w:rPr>
                      <w:rFonts w:ascii="Times New Roman" w:hAnsi="Times New Roman" w:eastAsia="宋体" w:cs="Times New Roman"/>
                      <w:b w:val="0"/>
                      <w:bCs/>
                      <w:color w:val="auto"/>
                      <w:sz w:val="21"/>
                      <w:szCs w:val="21"/>
                      <w:vertAlign w:val="baseline"/>
                    </w:rPr>
                  </w:pPr>
                </w:p>
              </w:tc>
              <w:tc>
                <w:tcPr>
                  <w:tcW w:w="1115" w:type="dxa"/>
                  <w:noWrap w:val="0"/>
                  <w:vAlign w:val="center"/>
                </w:tcPr>
                <w:p w14:paraId="7A7453A8">
                  <w:pPr>
                    <w:numPr>
                      <w:ilvl w:val="0"/>
                      <w:numId w:val="0"/>
                    </w:num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排入污水</w:t>
                  </w:r>
                </w:p>
              </w:tc>
              <w:tc>
                <w:tcPr>
                  <w:tcW w:w="1116" w:type="dxa"/>
                  <w:noWrap w:val="0"/>
                  <w:vAlign w:val="center"/>
                </w:tcPr>
                <w:p w14:paraId="094A82DE">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进入危废</w:t>
                  </w:r>
                </w:p>
              </w:tc>
            </w:tr>
            <w:tr w14:paraId="14CE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noWrap w:val="0"/>
                  <w:vAlign w:val="center"/>
                </w:tcPr>
                <w:p w14:paraId="27D1414B">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w:t>
                  </w:r>
                </w:p>
              </w:tc>
              <w:tc>
                <w:tcPr>
                  <w:tcW w:w="1778" w:type="dxa"/>
                  <w:noWrap w:val="0"/>
                  <w:vAlign w:val="center"/>
                </w:tcPr>
                <w:p w14:paraId="685CB300">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生活用水</w:t>
                  </w:r>
                </w:p>
              </w:tc>
              <w:tc>
                <w:tcPr>
                  <w:tcW w:w="1114" w:type="dxa"/>
                  <w:noWrap w:val="0"/>
                  <w:vAlign w:val="center"/>
                </w:tcPr>
                <w:p w14:paraId="12BE1B5B">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468</w:t>
                  </w:r>
                </w:p>
              </w:tc>
              <w:tc>
                <w:tcPr>
                  <w:tcW w:w="1115" w:type="dxa"/>
                  <w:noWrap w:val="0"/>
                  <w:vAlign w:val="center"/>
                </w:tcPr>
                <w:p w14:paraId="18EB921B">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5" w:type="dxa"/>
                  <w:noWrap w:val="0"/>
                  <w:vAlign w:val="center"/>
                </w:tcPr>
                <w:p w14:paraId="3D497159">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70.2</w:t>
                  </w:r>
                </w:p>
              </w:tc>
              <w:tc>
                <w:tcPr>
                  <w:tcW w:w="1115" w:type="dxa"/>
                  <w:noWrap w:val="0"/>
                  <w:vAlign w:val="center"/>
                </w:tcPr>
                <w:p w14:paraId="7B5E124C">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397.8</w:t>
                  </w:r>
                </w:p>
              </w:tc>
              <w:tc>
                <w:tcPr>
                  <w:tcW w:w="1116" w:type="dxa"/>
                  <w:noWrap w:val="0"/>
                  <w:vAlign w:val="center"/>
                </w:tcPr>
                <w:p w14:paraId="6FB6F671">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7463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noWrap w:val="0"/>
                  <w:vAlign w:val="center"/>
                </w:tcPr>
                <w:p w14:paraId="5F5D0776">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2</w:t>
                  </w:r>
                </w:p>
              </w:tc>
              <w:tc>
                <w:tcPr>
                  <w:tcW w:w="1778" w:type="dxa"/>
                  <w:noWrap w:val="0"/>
                  <w:vAlign w:val="center"/>
                </w:tcPr>
                <w:p w14:paraId="6ECF5681">
                  <w:pPr>
                    <w:widowControl/>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bCs/>
                      <w:color w:val="auto"/>
                      <w:sz w:val="21"/>
                      <w:szCs w:val="21"/>
                      <w:highlight w:val="none"/>
                    </w:rPr>
                    <w:t>容器</w:t>
                  </w:r>
                  <w:r>
                    <w:rPr>
                      <w:rFonts w:hint="eastAsia"/>
                      <w:bCs/>
                      <w:color w:val="auto"/>
                      <w:sz w:val="21"/>
                      <w:szCs w:val="21"/>
                      <w:highlight w:val="none"/>
                      <w:lang w:val="en-US" w:eastAsia="zh-CN"/>
                    </w:rPr>
                    <w:t>清洗</w:t>
                  </w:r>
                  <w:r>
                    <w:rPr>
                      <w:bCs/>
                      <w:color w:val="auto"/>
                      <w:sz w:val="21"/>
                      <w:szCs w:val="21"/>
                      <w:highlight w:val="none"/>
                    </w:rPr>
                    <w:t>用水</w:t>
                  </w:r>
                </w:p>
              </w:tc>
              <w:tc>
                <w:tcPr>
                  <w:tcW w:w="1114" w:type="dxa"/>
                  <w:noWrap w:val="0"/>
                  <w:vAlign w:val="center"/>
                </w:tcPr>
                <w:p w14:paraId="097F8ABB">
                  <w:pPr>
                    <w:widowControl/>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5" w:type="dxa"/>
                  <w:noWrap w:val="0"/>
                  <w:vAlign w:val="center"/>
                </w:tcPr>
                <w:p w14:paraId="4339512E">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2.0</w:t>
                  </w:r>
                </w:p>
              </w:tc>
              <w:tc>
                <w:tcPr>
                  <w:tcW w:w="1115" w:type="dxa"/>
                  <w:noWrap w:val="0"/>
                  <w:vAlign w:val="center"/>
                </w:tcPr>
                <w:p w14:paraId="2D008983">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0.2</w:t>
                  </w:r>
                </w:p>
              </w:tc>
              <w:tc>
                <w:tcPr>
                  <w:tcW w:w="1115" w:type="dxa"/>
                  <w:noWrap w:val="0"/>
                  <w:vAlign w:val="center"/>
                </w:tcPr>
                <w:p w14:paraId="7C276002">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w:t>
                  </w:r>
                </w:p>
              </w:tc>
              <w:tc>
                <w:tcPr>
                  <w:tcW w:w="1116" w:type="dxa"/>
                  <w:noWrap w:val="0"/>
                  <w:vAlign w:val="center"/>
                </w:tcPr>
                <w:p w14:paraId="4BD999DC">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0.9</w:t>
                  </w:r>
                </w:p>
              </w:tc>
            </w:tr>
            <w:tr w14:paraId="1B88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noWrap w:val="0"/>
                  <w:vAlign w:val="center"/>
                </w:tcPr>
                <w:p w14:paraId="40F30E82">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3</w:t>
                  </w:r>
                </w:p>
              </w:tc>
              <w:tc>
                <w:tcPr>
                  <w:tcW w:w="1778" w:type="dxa"/>
                  <w:noWrap w:val="0"/>
                  <w:vAlign w:val="center"/>
                </w:tcPr>
                <w:p w14:paraId="4BEAB7ED">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bCs/>
                      <w:color w:val="auto"/>
                      <w:sz w:val="21"/>
                      <w:szCs w:val="21"/>
                      <w:highlight w:val="none"/>
                    </w:rPr>
                    <w:t>试剂</w:t>
                  </w:r>
                  <w:r>
                    <w:rPr>
                      <w:rFonts w:hint="eastAsia"/>
                      <w:bCs/>
                      <w:color w:val="auto"/>
                      <w:sz w:val="21"/>
                      <w:szCs w:val="21"/>
                      <w:highlight w:val="none"/>
                      <w:lang w:val="en-US" w:eastAsia="zh-CN"/>
                    </w:rPr>
                    <w:t>配制</w:t>
                  </w:r>
                  <w:r>
                    <w:rPr>
                      <w:bCs/>
                      <w:color w:val="auto"/>
                      <w:sz w:val="21"/>
                      <w:szCs w:val="21"/>
                      <w:highlight w:val="none"/>
                    </w:rPr>
                    <w:t>用水</w:t>
                  </w:r>
                </w:p>
              </w:tc>
              <w:tc>
                <w:tcPr>
                  <w:tcW w:w="1114" w:type="dxa"/>
                  <w:noWrap w:val="0"/>
                  <w:vAlign w:val="center"/>
                </w:tcPr>
                <w:p w14:paraId="20AB6FD4">
                  <w:pPr>
                    <w:widowControl/>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5" w:type="dxa"/>
                  <w:noWrap w:val="0"/>
                  <w:vAlign w:val="center"/>
                </w:tcPr>
                <w:p w14:paraId="20BD9357">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0.5</w:t>
                  </w:r>
                </w:p>
              </w:tc>
              <w:tc>
                <w:tcPr>
                  <w:tcW w:w="1115" w:type="dxa"/>
                  <w:noWrap w:val="0"/>
                  <w:vAlign w:val="center"/>
                </w:tcPr>
                <w:p w14:paraId="32B7FB53">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0.05</w:t>
                  </w:r>
                </w:p>
              </w:tc>
              <w:tc>
                <w:tcPr>
                  <w:tcW w:w="1115" w:type="dxa"/>
                  <w:noWrap w:val="0"/>
                  <w:vAlign w:val="center"/>
                </w:tcPr>
                <w:p w14:paraId="40E6EBAB">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6" w:type="dxa"/>
                  <w:noWrap w:val="0"/>
                  <w:vAlign w:val="center"/>
                </w:tcPr>
                <w:p w14:paraId="5D8011B1">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0.45</w:t>
                  </w:r>
                </w:p>
              </w:tc>
            </w:tr>
            <w:tr w14:paraId="3A05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noWrap w:val="0"/>
                  <w:vAlign w:val="center"/>
                </w:tcPr>
                <w:p w14:paraId="3AE2CA7D">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w:t>
                  </w:r>
                </w:p>
              </w:tc>
              <w:tc>
                <w:tcPr>
                  <w:tcW w:w="1778" w:type="dxa"/>
                  <w:noWrap w:val="0"/>
                  <w:vAlign w:val="center"/>
                </w:tcPr>
                <w:p w14:paraId="588B5061">
                  <w:pPr>
                    <w:widowControl/>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bCs/>
                      <w:color w:val="auto"/>
                      <w:sz w:val="21"/>
                      <w:szCs w:val="21"/>
                      <w:highlight w:val="none"/>
                      <w:lang w:val="en-US" w:eastAsia="zh-CN"/>
                    </w:rPr>
                    <w:t>高压蒸汽灭菌用水</w:t>
                  </w:r>
                </w:p>
              </w:tc>
              <w:tc>
                <w:tcPr>
                  <w:tcW w:w="1114" w:type="dxa"/>
                  <w:noWrap w:val="0"/>
                  <w:vAlign w:val="center"/>
                </w:tcPr>
                <w:p w14:paraId="71EC3E81">
                  <w:pPr>
                    <w:widowControl/>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5" w:type="dxa"/>
                  <w:noWrap w:val="0"/>
                  <w:vAlign w:val="center"/>
                </w:tcPr>
                <w:p w14:paraId="0B9B607B">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0.1</w:t>
                  </w:r>
                </w:p>
              </w:tc>
              <w:tc>
                <w:tcPr>
                  <w:tcW w:w="1115" w:type="dxa"/>
                  <w:noWrap w:val="0"/>
                  <w:vAlign w:val="center"/>
                </w:tcPr>
                <w:p w14:paraId="464B8F9C">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0.01</w:t>
                  </w:r>
                </w:p>
              </w:tc>
              <w:tc>
                <w:tcPr>
                  <w:tcW w:w="1115" w:type="dxa"/>
                  <w:noWrap w:val="0"/>
                  <w:vAlign w:val="center"/>
                </w:tcPr>
                <w:p w14:paraId="14FF4457">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0.09</w:t>
                  </w:r>
                </w:p>
              </w:tc>
              <w:tc>
                <w:tcPr>
                  <w:tcW w:w="1116" w:type="dxa"/>
                  <w:noWrap w:val="0"/>
                  <w:vAlign w:val="center"/>
                </w:tcPr>
                <w:p w14:paraId="51A9A319">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12F3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noWrap w:val="0"/>
                  <w:vAlign w:val="center"/>
                </w:tcPr>
                <w:p w14:paraId="49BF6B06">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5</w:t>
                  </w:r>
                </w:p>
              </w:tc>
              <w:tc>
                <w:tcPr>
                  <w:tcW w:w="1778" w:type="dxa"/>
                  <w:noWrap w:val="0"/>
                  <w:vAlign w:val="center"/>
                </w:tcPr>
                <w:p w14:paraId="34A9E466">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bCs/>
                      <w:color w:val="auto"/>
                      <w:sz w:val="21"/>
                      <w:szCs w:val="21"/>
                      <w:highlight w:val="none"/>
                      <w:lang w:val="en-US" w:eastAsia="zh-CN"/>
                    </w:rPr>
                    <w:t>水浴锅用水</w:t>
                  </w:r>
                </w:p>
              </w:tc>
              <w:tc>
                <w:tcPr>
                  <w:tcW w:w="1114" w:type="dxa"/>
                  <w:noWrap w:val="0"/>
                  <w:vAlign w:val="center"/>
                </w:tcPr>
                <w:p w14:paraId="2D6AB3DF">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5" w:type="dxa"/>
                  <w:noWrap w:val="0"/>
                  <w:vAlign w:val="center"/>
                </w:tcPr>
                <w:p w14:paraId="38D3D635">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0.5</w:t>
                  </w:r>
                </w:p>
              </w:tc>
              <w:tc>
                <w:tcPr>
                  <w:tcW w:w="1115" w:type="dxa"/>
                  <w:noWrap w:val="0"/>
                  <w:vAlign w:val="center"/>
                </w:tcPr>
                <w:p w14:paraId="49B8D29C">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0.5</w:t>
                  </w:r>
                </w:p>
              </w:tc>
              <w:tc>
                <w:tcPr>
                  <w:tcW w:w="1115" w:type="dxa"/>
                  <w:noWrap w:val="0"/>
                  <w:vAlign w:val="center"/>
                </w:tcPr>
                <w:p w14:paraId="55FA76D0">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6" w:type="dxa"/>
                  <w:noWrap w:val="0"/>
                  <w:vAlign w:val="center"/>
                </w:tcPr>
                <w:p w14:paraId="25538BE2">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474B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noWrap w:val="0"/>
                  <w:vAlign w:val="center"/>
                </w:tcPr>
                <w:p w14:paraId="166BB10A">
                  <w:pPr>
                    <w:numPr>
                      <w:ilvl w:val="0"/>
                      <w:numId w:val="0"/>
                    </w:numPr>
                    <w:spacing w:line="240" w:lineRule="auto"/>
                    <w:jc w:val="center"/>
                    <w:rPr>
                      <w:rFonts w:hint="eastAsia"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6</w:t>
                  </w:r>
                </w:p>
              </w:tc>
              <w:tc>
                <w:tcPr>
                  <w:tcW w:w="1778" w:type="dxa"/>
                  <w:noWrap w:val="0"/>
                  <w:vAlign w:val="center"/>
                </w:tcPr>
                <w:p w14:paraId="7CB6DD44">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地面清洗</w:t>
                  </w:r>
                </w:p>
              </w:tc>
              <w:tc>
                <w:tcPr>
                  <w:tcW w:w="1114" w:type="dxa"/>
                  <w:noWrap w:val="0"/>
                  <w:vAlign w:val="center"/>
                </w:tcPr>
                <w:p w14:paraId="273301EE">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5</w:t>
                  </w:r>
                </w:p>
              </w:tc>
              <w:tc>
                <w:tcPr>
                  <w:tcW w:w="1115" w:type="dxa"/>
                  <w:noWrap w:val="0"/>
                  <w:vAlign w:val="center"/>
                </w:tcPr>
                <w:p w14:paraId="30DF3B58">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c>
                <w:tcPr>
                  <w:tcW w:w="1115" w:type="dxa"/>
                  <w:noWrap w:val="0"/>
                  <w:vAlign w:val="center"/>
                </w:tcPr>
                <w:p w14:paraId="556FF7E5">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0.5</w:t>
                  </w:r>
                </w:p>
              </w:tc>
              <w:tc>
                <w:tcPr>
                  <w:tcW w:w="1115" w:type="dxa"/>
                  <w:noWrap w:val="0"/>
                  <w:vAlign w:val="center"/>
                </w:tcPr>
                <w:p w14:paraId="54C68C3E">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4.5</w:t>
                  </w:r>
                </w:p>
              </w:tc>
              <w:tc>
                <w:tcPr>
                  <w:tcW w:w="1116" w:type="dxa"/>
                  <w:noWrap w:val="0"/>
                  <w:vAlign w:val="center"/>
                </w:tcPr>
                <w:p w14:paraId="785834C0">
                  <w:pPr>
                    <w:widowControl/>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w:t>
                  </w:r>
                </w:p>
              </w:tc>
            </w:tr>
            <w:tr w14:paraId="514F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7" w:type="dxa"/>
                  <w:gridSpan w:val="2"/>
                  <w:noWrap w:val="0"/>
                  <w:vAlign w:val="center"/>
                </w:tcPr>
                <w:p w14:paraId="18108667">
                  <w:pPr>
                    <w:widowControl/>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合计</w:t>
                  </w:r>
                </w:p>
              </w:tc>
              <w:tc>
                <w:tcPr>
                  <w:tcW w:w="1114" w:type="dxa"/>
                  <w:noWrap w:val="0"/>
                  <w:vAlign w:val="center"/>
                </w:tcPr>
                <w:p w14:paraId="1A6FDCA0">
                  <w:pPr>
                    <w:numPr>
                      <w:ilvl w:val="0"/>
                      <w:numId w:val="0"/>
                    </w:num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473</w:t>
                  </w:r>
                </w:p>
              </w:tc>
              <w:tc>
                <w:tcPr>
                  <w:tcW w:w="1115" w:type="dxa"/>
                  <w:noWrap w:val="0"/>
                  <w:vAlign w:val="center"/>
                </w:tcPr>
                <w:p w14:paraId="39A39D53">
                  <w:pPr>
                    <w:numPr>
                      <w:ilvl w:val="0"/>
                      <w:numId w:val="0"/>
                    </w:num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3.1</w:t>
                  </w:r>
                </w:p>
              </w:tc>
              <w:tc>
                <w:tcPr>
                  <w:tcW w:w="1115" w:type="dxa"/>
                  <w:noWrap w:val="0"/>
                  <w:vAlign w:val="center"/>
                </w:tcPr>
                <w:p w14:paraId="57A65170">
                  <w:pPr>
                    <w:numPr>
                      <w:ilvl w:val="0"/>
                      <w:numId w:val="0"/>
                    </w:num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71.46</w:t>
                  </w:r>
                </w:p>
              </w:tc>
              <w:tc>
                <w:tcPr>
                  <w:tcW w:w="1115" w:type="dxa"/>
                  <w:noWrap w:val="0"/>
                  <w:vAlign w:val="center"/>
                </w:tcPr>
                <w:p w14:paraId="46130AF4">
                  <w:pPr>
                    <w:numPr>
                      <w:ilvl w:val="0"/>
                      <w:numId w:val="0"/>
                    </w:num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403.29</w:t>
                  </w:r>
                </w:p>
              </w:tc>
              <w:tc>
                <w:tcPr>
                  <w:tcW w:w="1116" w:type="dxa"/>
                  <w:noWrap w:val="0"/>
                  <w:vAlign w:val="center"/>
                </w:tcPr>
                <w:p w14:paraId="78AEE61C">
                  <w:pPr>
                    <w:numPr>
                      <w:ilvl w:val="0"/>
                      <w:numId w:val="0"/>
                    </w:numPr>
                    <w:spacing w:line="240" w:lineRule="auto"/>
                    <w:jc w:val="center"/>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1.35</w:t>
                  </w:r>
                </w:p>
              </w:tc>
            </w:tr>
          </w:tbl>
          <w:p w14:paraId="112D6E85">
            <w:pPr>
              <w:adjustRightInd w:val="0"/>
              <w:snapToGrid w:val="0"/>
              <w:spacing w:line="360" w:lineRule="auto"/>
              <w:ind w:firstLine="480" w:firstLineChars="200"/>
              <w:rPr>
                <w:rFonts w:hint="eastAsia"/>
                <w:bCs/>
                <w:color w:val="auto"/>
                <w:sz w:val="24"/>
                <w:highlight w:val="none"/>
                <w:lang w:val="en-US" w:eastAsia="zh-CN"/>
              </w:rPr>
            </w:pPr>
          </w:p>
          <w:p w14:paraId="5BBDB36C">
            <w:pPr>
              <w:adjustRightInd w:val="0"/>
              <w:snapToGrid w:val="0"/>
              <w:spacing w:line="360" w:lineRule="auto"/>
              <w:ind w:firstLine="480" w:firstLineChars="200"/>
              <w:rPr>
                <w:bCs/>
                <w:color w:val="auto"/>
                <w:sz w:val="24"/>
                <w:highlight w:val="none"/>
              </w:rPr>
            </w:pPr>
            <w:r>
              <w:rPr>
                <w:rFonts w:hint="eastAsia"/>
                <w:bCs/>
                <w:color w:val="auto"/>
                <w:sz w:val="24"/>
                <w:highlight w:val="none"/>
                <w:lang w:val="en-US" w:eastAsia="zh-CN"/>
              </w:rPr>
              <w:t>本</w:t>
            </w:r>
            <w:r>
              <w:rPr>
                <w:bCs/>
                <w:color w:val="auto"/>
                <w:sz w:val="24"/>
                <w:highlight w:val="none"/>
              </w:rPr>
              <w:t>项目水平衡图见下图。</w:t>
            </w:r>
          </w:p>
          <w:p w14:paraId="75C5B739">
            <w:pPr>
              <w:adjustRightInd w:val="0"/>
              <w:spacing w:line="360" w:lineRule="auto"/>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object>
                <v:shape id="_x0000_i1025" o:spt="75" type="#_x0000_t75" style="height:308pt;width:366.35pt;" o:ole="t" filled="f" o:preferrelative="t" stroked="f" coordsize="21600,21600">
                  <v:path/>
                  <v:fill on="f" focussize="0,0"/>
                  <v:stroke on="f"/>
                  <v:imagedata r:id="rId13" o:title=""/>
                  <o:lock v:ext="edit" aspectratio="f"/>
                  <w10:wrap type="none"/>
                  <w10:anchorlock/>
                </v:shape>
                <o:OLEObject Type="Embed" ProgID="Visio.Drawing.11" ShapeID="_x0000_i1025" DrawAspect="Content" ObjectID="_1468075725" r:id="rId12">
                  <o:LockedField>false</o:LockedField>
                </o:OLEObject>
              </w:object>
            </w:r>
          </w:p>
          <w:p w14:paraId="28B4A7A5">
            <w:pPr>
              <w:numPr>
                <w:ilvl w:val="0"/>
                <w:numId w:val="16"/>
              </w:numPr>
              <w:adjustRightInd w:val="0"/>
              <w:spacing w:line="360" w:lineRule="auto"/>
              <w:ind w:left="425" w:leftChars="0" w:hanging="425" w:firstLineChars="0"/>
              <w:jc w:val="center"/>
              <w:rPr>
                <w:rFonts w:hint="eastAsia"/>
                <w:bCs/>
                <w:color w:val="auto"/>
                <w:sz w:val="24"/>
                <w:highlight w:val="none"/>
                <w:lang w:eastAsia="zh-CN"/>
              </w:rPr>
            </w:pPr>
            <w:r>
              <w:rPr>
                <w:rFonts w:hint="eastAsia" w:cs="Times New Roman"/>
                <w:b/>
                <w:color w:val="auto"/>
                <w:sz w:val="24"/>
                <w:highlight w:val="none"/>
                <w:lang w:val="en-US" w:eastAsia="zh-CN"/>
              </w:rPr>
              <w:t>本</w:t>
            </w:r>
            <w:r>
              <w:rPr>
                <w:rFonts w:hint="default" w:ascii="Times New Roman" w:hAnsi="Times New Roman" w:eastAsia="宋体" w:cs="Times New Roman"/>
                <w:b/>
                <w:color w:val="auto"/>
                <w:sz w:val="24"/>
                <w:highlight w:val="none"/>
              </w:rPr>
              <w:t>项目水平衡图</w:t>
            </w:r>
            <w:r>
              <w:rPr>
                <w:rFonts w:hint="eastAsia" w:cs="Times New Roman"/>
                <w:b/>
                <w:color w:val="auto"/>
                <w:sz w:val="24"/>
                <w:highlight w:val="none"/>
                <w:lang w:eastAsia="zh-CN"/>
              </w:rPr>
              <w:t>“</w:t>
            </w:r>
            <w:r>
              <w:rPr>
                <w:rFonts w:hint="default" w:ascii="Times New Roman" w:hAnsi="Times New Roman" w:eastAsia="宋体" w:cs="Times New Roman"/>
                <w:b/>
                <w:color w:val="auto"/>
                <w:sz w:val="24"/>
                <w:highlight w:val="none"/>
              </w:rPr>
              <w:object>
                <v:shape id="_x0000_i1026" o:spt="75" type="#_x0000_t75" style="height:18.25pt;width:30.9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r>
              <w:rPr>
                <w:rFonts w:hint="eastAsia" w:cs="Times New Roman"/>
                <w:b/>
                <w:color w:val="auto"/>
                <w:sz w:val="24"/>
                <w:highlight w:val="none"/>
                <w:lang w:eastAsia="zh-CN"/>
              </w:rPr>
              <w:t>”</w:t>
            </w:r>
            <w:r>
              <w:rPr>
                <w:rFonts w:hint="default" w:ascii="Times New Roman" w:hAnsi="Times New Roman" w:eastAsia="宋体" w:cs="Times New Roman"/>
                <w:b/>
                <w:color w:val="auto"/>
                <w:sz w:val="24"/>
                <w:highlight w:val="none"/>
              </w:rPr>
              <w:t>消耗量</w:t>
            </w:r>
          </w:p>
          <w:p w14:paraId="52B8427E">
            <w:pPr>
              <w:numPr>
                <w:ilvl w:val="0"/>
                <w:numId w:val="1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劳动定员及工作制度</w:t>
            </w:r>
          </w:p>
          <w:p w14:paraId="70DAD8D5">
            <w:pPr>
              <w:numPr>
                <w:ilvl w:val="0"/>
                <w:numId w:val="0"/>
              </w:numPr>
              <w:tabs>
                <w:tab w:val="left" w:pos="0"/>
              </w:tabs>
              <w:adjustRightInd w:val="0"/>
              <w:snapToGri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本项目员工36人，不设食宿，年工作时间260天，每天工作8小时，夜间不工作。</w:t>
            </w:r>
          </w:p>
          <w:p w14:paraId="272A52CF">
            <w:pPr>
              <w:numPr>
                <w:ilvl w:val="0"/>
                <w:numId w:val="11"/>
              </w:numPr>
              <w:tabs>
                <w:tab w:val="left" w:pos="0"/>
              </w:tabs>
              <w:adjustRightInd w:val="0"/>
              <w:snapToGrid w:val="0"/>
              <w:spacing w:line="360" w:lineRule="auto"/>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平面布置、</w:t>
            </w:r>
            <w:r>
              <w:rPr>
                <w:rFonts w:hint="default" w:ascii="Times New Roman" w:hAnsi="Times New Roman" w:eastAsia="宋体" w:cs="Times New Roman"/>
                <w:b/>
                <w:bCs/>
                <w:color w:val="auto"/>
                <w:sz w:val="24"/>
                <w:highlight w:val="none"/>
                <w:lang w:val="en-US" w:eastAsia="zh-CN"/>
              </w:rPr>
              <w:t>地理位置、周边关系</w:t>
            </w:r>
          </w:p>
          <w:p w14:paraId="72D281E0">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1、平面布置</w:t>
            </w:r>
          </w:p>
          <w:p w14:paraId="63114989">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分1-5层布置，一层主要布置办公室、接待室、样品室、现场采样设备室等；二层主要布置会议室、财务室、档案室等；三层主要布置办公室、嗅变室、微生物室室、土壤晾晒间等；四层主要布置色谱室、高温室等；五层主要布置仪分室、试剂室、天平室等。具体平面布置见附图3.1-3.5。</w:t>
            </w:r>
          </w:p>
          <w:p w14:paraId="113E8D64">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地理位置</w:t>
            </w:r>
          </w:p>
          <w:p w14:paraId="1E271DE6">
            <w:pPr>
              <w:spacing w:line="360" w:lineRule="auto"/>
              <w:ind w:firstLine="480" w:firstLineChars="200"/>
              <w:contextualSpacing/>
              <w:rPr>
                <w:rFonts w:hint="default"/>
                <w:color w:val="auto"/>
                <w:sz w:val="24"/>
                <w:highlight w:val="none"/>
                <w:lang w:eastAsia="zh-CN"/>
              </w:rPr>
            </w:pPr>
            <w:r>
              <w:rPr>
                <w:rFonts w:hint="default"/>
                <w:color w:val="auto"/>
                <w:sz w:val="24"/>
                <w:highlight w:val="none"/>
              </w:rPr>
              <w:t>本项目位于</w:t>
            </w:r>
            <w:r>
              <w:rPr>
                <w:rFonts w:hint="eastAsia"/>
                <w:color w:val="auto"/>
                <w:sz w:val="24"/>
                <w:highlight w:val="none"/>
                <w:lang w:val="en-US" w:eastAsia="zh-CN"/>
              </w:rPr>
              <w:t>北京经济技术开发区环科中路2号院11号楼B单元</w:t>
            </w:r>
            <w:r>
              <w:rPr>
                <w:rFonts w:hint="default"/>
                <w:color w:val="auto"/>
                <w:sz w:val="24"/>
                <w:highlight w:val="none"/>
                <w:lang w:val="en-US" w:eastAsia="zh-CN"/>
              </w:rPr>
              <w:t>，</w:t>
            </w:r>
            <w:r>
              <w:rPr>
                <w:rFonts w:hint="default"/>
                <w:color w:val="auto"/>
                <w:sz w:val="24"/>
                <w:highlight w:val="none"/>
              </w:rPr>
              <w:t>地理位置图见附图1</w:t>
            </w:r>
            <w:r>
              <w:rPr>
                <w:rFonts w:hint="default"/>
                <w:color w:val="auto"/>
                <w:sz w:val="24"/>
                <w:highlight w:val="none"/>
                <w:lang w:eastAsia="zh-CN"/>
              </w:rPr>
              <w:t>。</w:t>
            </w:r>
          </w:p>
          <w:p w14:paraId="1DD65386">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周边关系</w:t>
            </w:r>
          </w:p>
          <w:p w14:paraId="046EB1CC">
            <w:pPr>
              <w:spacing w:line="360" w:lineRule="auto"/>
              <w:ind w:firstLine="480" w:firstLineChars="200"/>
              <w:contextualSpacing/>
              <w:rPr>
                <w:color w:val="auto"/>
                <w:sz w:val="24"/>
                <w:highlight w:val="none"/>
              </w:rPr>
            </w:pPr>
            <w:r>
              <w:rPr>
                <w:color w:val="auto"/>
                <w:sz w:val="24"/>
                <w:highlight w:val="none"/>
              </w:rPr>
              <w:t>本项目</w:t>
            </w:r>
            <w:r>
              <w:rPr>
                <w:rFonts w:hint="eastAsia"/>
                <w:color w:val="auto"/>
                <w:sz w:val="24"/>
                <w:highlight w:val="none"/>
                <w:lang w:val="en-US" w:eastAsia="zh-CN"/>
              </w:rPr>
              <w:t>西</w:t>
            </w:r>
            <w:r>
              <w:rPr>
                <w:color w:val="auto"/>
                <w:sz w:val="24"/>
                <w:highlight w:val="none"/>
              </w:rPr>
              <w:t>侧</w:t>
            </w:r>
            <w:r>
              <w:rPr>
                <w:rFonts w:hint="eastAsia"/>
                <w:color w:val="auto"/>
                <w:sz w:val="24"/>
                <w:highlight w:val="none"/>
                <w:lang w:val="en-US" w:eastAsia="zh-CN"/>
              </w:rPr>
              <w:t>与本园区12号楼紧邻</w:t>
            </w:r>
            <w:r>
              <w:rPr>
                <w:color w:val="auto"/>
                <w:sz w:val="24"/>
                <w:highlight w:val="none"/>
              </w:rPr>
              <w:t>，</w:t>
            </w:r>
            <w:r>
              <w:rPr>
                <w:rFonts w:hint="eastAsia"/>
                <w:color w:val="auto"/>
                <w:sz w:val="24"/>
                <w:highlight w:val="none"/>
                <w:lang w:val="en-US" w:eastAsia="zh-CN"/>
              </w:rPr>
              <w:t>东</w:t>
            </w:r>
            <w:r>
              <w:rPr>
                <w:color w:val="auto"/>
                <w:sz w:val="24"/>
                <w:highlight w:val="none"/>
              </w:rPr>
              <w:t>侧</w:t>
            </w:r>
            <w:r>
              <w:rPr>
                <w:rFonts w:hint="eastAsia"/>
                <w:color w:val="auto"/>
                <w:sz w:val="24"/>
                <w:highlight w:val="none"/>
                <w:lang w:val="en-US" w:eastAsia="zh-CN"/>
              </w:rPr>
              <w:t>12m</w:t>
            </w:r>
            <w:r>
              <w:rPr>
                <w:color w:val="auto"/>
                <w:sz w:val="24"/>
                <w:highlight w:val="none"/>
              </w:rPr>
              <w:t>为</w:t>
            </w:r>
            <w:r>
              <w:rPr>
                <w:rFonts w:hint="eastAsia"/>
                <w:color w:val="auto"/>
                <w:sz w:val="24"/>
                <w:highlight w:val="none"/>
                <w:lang w:val="en-US" w:eastAsia="zh-CN"/>
              </w:rPr>
              <w:t>本园区10号楼</w:t>
            </w:r>
            <w:r>
              <w:rPr>
                <w:color w:val="auto"/>
                <w:sz w:val="24"/>
                <w:highlight w:val="none"/>
              </w:rPr>
              <w:t>，</w:t>
            </w:r>
            <w:r>
              <w:rPr>
                <w:rFonts w:hint="eastAsia"/>
                <w:color w:val="auto"/>
                <w:sz w:val="24"/>
                <w:highlight w:val="none"/>
                <w:lang w:val="en-US" w:eastAsia="zh-CN"/>
              </w:rPr>
              <w:t>南</w:t>
            </w:r>
            <w:r>
              <w:rPr>
                <w:color w:val="auto"/>
                <w:sz w:val="24"/>
                <w:highlight w:val="none"/>
              </w:rPr>
              <w:t>侧</w:t>
            </w:r>
            <w:r>
              <w:rPr>
                <w:rFonts w:hint="eastAsia"/>
                <w:color w:val="auto"/>
                <w:sz w:val="24"/>
                <w:highlight w:val="none"/>
                <w:lang w:val="en-US" w:eastAsia="zh-CN"/>
              </w:rPr>
              <w:t>与本园区15号楼紧邻</w:t>
            </w:r>
            <w:r>
              <w:rPr>
                <w:color w:val="auto"/>
                <w:sz w:val="24"/>
                <w:highlight w:val="none"/>
              </w:rPr>
              <w:t>。</w:t>
            </w:r>
          </w:p>
          <w:p w14:paraId="1393F9C0">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color w:val="auto"/>
                <w:sz w:val="24"/>
                <w:highlight w:val="none"/>
                <w:lang w:val="en-US" w:eastAsia="zh-CN"/>
              </w:rPr>
              <w:t>北</w:t>
            </w:r>
            <w:r>
              <w:rPr>
                <w:rFonts w:hint="default" w:ascii="Times New Roman" w:hAnsi="Times New Roman" w:eastAsia="宋体" w:cs="Times New Roman"/>
                <w:color w:val="auto"/>
                <w:sz w:val="24"/>
                <w:highlight w:val="none"/>
                <w:lang w:val="en-US" w:eastAsia="zh-CN"/>
              </w:rPr>
              <w:t>侧</w:t>
            </w:r>
            <w:r>
              <w:rPr>
                <w:rFonts w:hint="eastAsia" w:cs="Times New Roman"/>
                <w:color w:val="auto"/>
                <w:sz w:val="24"/>
                <w:highlight w:val="none"/>
                <w:lang w:val="en-US" w:eastAsia="zh-CN"/>
              </w:rPr>
              <w:t>78m</w:t>
            </w:r>
            <w:r>
              <w:rPr>
                <w:rFonts w:hint="default"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市内支路景盛北三街</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西</w:t>
            </w:r>
            <w:r>
              <w:rPr>
                <w:rFonts w:hint="default" w:ascii="Times New Roman" w:hAnsi="Times New Roman" w:eastAsia="宋体" w:cs="Times New Roman"/>
                <w:color w:val="auto"/>
                <w:sz w:val="24"/>
                <w:highlight w:val="none"/>
                <w:lang w:val="en-US" w:eastAsia="zh-CN"/>
              </w:rPr>
              <w:t>侧</w:t>
            </w:r>
            <w:r>
              <w:rPr>
                <w:rFonts w:hint="eastAsia" w:cs="Times New Roman"/>
                <w:color w:val="auto"/>
                <w:sz w:val="24"/>
                <w:highlight w:val="none"/>
                <w:lang w:val="en-US" w:eastAsia="zh-CN"/>
              </w:rPr>
              <w:t>158m</w:t>
            </w:r>
            <w:r>
              <w:rPr>
                <w:rFonts w:hint="default" w:ascii="Times New Roman" w:hAnsi="Times New Roman" w:eastAsia="宋体" w:cs="Times New Roman"/>
                <w:color w:val="auto"/>
                <w:sz w:val="24"/>
                <w:highlight w:val="none"/>
                <w:lang w:val="en-US" w:eastAsia="zh-CN"/>
              </w:rPr>
              <w:t>为</w:t>
            </w:r>
            <w:r>
              <w:rPr>
                <w:rFonts w:hint="eastAsia" w:cs="Times New Roman"/>
                <w:color w:val="auto"/>
                <w:sz w:val="24"/>
                <w:highlight w:val="none"/>
                <w:lang w:val="en-US" w:eastAsia="zh-CN"/>
              </w:rPr>
              <w:t>市内支路西周路</w:t>
            </w:r>
            <w:r>
              <w:rPr>
                <w:rFonts w:hint="default" w:ascii="Times New Roman" w:hAnsi="Times New Roman" w:eastAsia="宋体" w:cs="Times New Roman"/>
                <w:color w:val="auto"/>
                <w:sz w:val="24"/>
                <w:highlight w:val="none"/>
                <w:lang w:val="en-US" w:eastAsia="zh-CN"/>
              </w:rPr>
              <w:t>。</w:t>
            </w:r>
          </w:p>
          <w:p w14:paraId="6ABB6EA4">
            <w:pPr>
              <w:numPr>
                <w:ilvl w:val="0"/>
                <w:numId w:val="0"/>
              </w:numPr>
              <w:adjustRightInd w:val="0"/>
              <w:snapToGrid w:val="0"/>
              <w:spacing w:line="360" w:lineRule="auto"/>
              <w:ind w:leftChars="0"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本项目周边关系见</w:t>
            </w:r>
            <w:r>
              <w:rPr>
                <w:rFonts w:hint="eastAsia" w:cs="Times New Roman"/>
                <w:color w:val="auto"/>
                <w:sz w:val="24"/>
                <w:highlight w:val="none"/>
                <w:lang w:val="en-US" w:eastAsia="zh-CN"/>
              </w:rPr>
              <w:t>表2-6、项目周边现场照片见</w:t>
            </w:r>
            <w:r>
              <w:rPr>
                <w:rFonts w:hint="default" w:ascii="Times New Roman" w:hAnsi="Times New Roman" w:eastAsia="宋体" w:cs="Times New Roman"/>
                <w:color w:val="auto"/>
                <w:sz w:val="24"/>
                <w:highlight w:val="none"/>
              </w:rPr>
              <w:t>图2</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w:t>
            </w:r>
          </w:p>
          <w:p w14:paraId="7BB2EB25">
            <w:pPr>
              <w:numPr>
                <w:ilvl w:val="0"/>
                <w:numId w:val="12"/>
              </w:numPr>
              <w:adjustRightInd w:val="0"/>
              <w:snapToGrid w:val="0"/>
              <w:spacing w:line="360" w:lineRule="auto"/>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rPr>
              <w:t>本项目周边关系</w:t>
            </w:r>
            <w:r>
              <w:rPr>
                <w:rFonts w:hint="eastAsia" w:cs="Times New Roman"/>
                <w:b/>
                <w:bCs/>
                <w:color w:val="auto"/>
                <w:sz w:val="24"/>
                <w:highlight w:val="none"/>
                <w:lang w:val="en-US" w:eastAsia="zh-CN"/>
              </w:rPr>
              <w:t>表</w:t>
            </w:r>
          </w:p>
          <w:tbl>
            <w:tblPr>
              <w:tblStyle w:val="24"/>
              <w:tblW w:w="7945"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440"/>
              <w:gridCol w:w="1702"/>
              <w:gridCol w:w="2206"/>
              <w:gridCol w:w="1589"/>
            </w:tblGrid>
            <w:tr w14:paraId="2A12C6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19BA03A8">
                  <w:pPr>
                    <w:adjustRightIn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1440" w:type="dxa"/>
                  <w:tcBorders>
                    <w:tl2br w:val="nil"/>
                    <w:tr2bl w:val="nil"/>
                  </w:tcBorders>
                  <w:vAlign w:val="center"/>
                </w:tcPr>
                <w:p w14:paraId="180DA12C">
                  <w:pPr>
                    <w:adjustRightInd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方位</w:t>
                  </w:r>
                </w:p>
              </w:tc>
              <w:tc>
                <w:tcPr>
                  <w:tcW w:w="1702" w:type="dxa"/>
                  <w:tcBorders>
                    <w:tl2br w:val="nil"/>
                    <w:tr2bl w:val="nil"/>
                  </w:tcBorders>
                  <w:vAlign w:val="center"/>
                </w:tcPr>
                <w:p w14:paraId="6A815715">
                  <w:pPr>
                    <w:adjustRightInd w:val="0"/>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距离，m</w:t>
                  </w:r>
                </w:p>
              </w:tc>
              <w:tc>
                <w:tcPr>
                  <w:tcW w:w="2206" w:type="dxa"/>
                  <w:tcBorders>
                    <w:tl2br w:val="nil"/>
                    <w:tr2bl w:val="nil"/>
                  </w:tcBorders>
                  <w:vAlign w:val="center"/>
                </w:tcPr>
                <w:p w14:paraId="2E4AD3A7">
                  <w:pPr>
                    <w:adjustRightInd w:val="0"/>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名称</w:t>
                  </w:r>
                </w:p>
              </w:tc>
              <w:tc>
                <w:tcPr>
                  <w:tcW w:w="1589" w:type="dxa"/>
                  <w:tcBorders>
                    <w:tl2br w:val="nil"/>
                    <w:tr2bl w:val="nil"/>
                  </w:tcBorders>
                  <w:vAlign w:val="center"/>
                </w:tcPr>
                <w:p w14:paraId="1B3A6297">
                  <w:pPr>
                    <w:adjustRightInd w:val="0"/>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备注</w:t>
                  </w:r>
                </w:p>
              </w:tc>
            </w:tr>
            <w:tr w14:paraId="59D261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41BBCFE8">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1440" w:type="dxa"/>
                  <w:tcBorders>
                    <w:tl2br w:val="nil"/>
                    <w:tr2bl w:val="nil"/>
                  </w:tcBorders>
                  <w:vAlign w:val="center"/>
                </w:tcPr>
                <w:p w14:paraId="774D6BBD">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东侧</w:t>
                  </w:r>
                </w:p>
              </w:tc>
              <w:tc>
                <w:tcPr>
                  <w:tcW w:w="1702" w:type="dxa"/>
                  <w:tcBorders>
                    <w:tl2br w:val="nil"/>
                    <w:tr2bl w:val="nil"/>
                  </w:tcBorders>
                  <w:vAlign w:val="center"/>
                </w:tcPr>
                <w:p w14:paraId="11B7BC6E">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c>
                <w:tcPr>
                  <w:tcW w:w="2206" w:type="dxa"/>
                  <w:tcBorders>
                    <w:tl2br w:val="nil"/>
                    <w:tr2bl w:val="nil"/>
                  </w:tcBorders>
                  <w:vAlign w:val="center"/>
                </w:tcPr>
                <w:p w14:paraId="470C1306">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本园区10号楼</w:t>
                  </w:r>
                </w:p>
              </w:tc>
              <w:tc>
                <w:tcPr>
                  <w:tcW w:w="1589" w:type="dxa"/>
                  <w:vMerge w:val="restart"/>
                  <w:tcBorders>
                    <w:tl2br w:val="nil"/>
                    <w:tr2bl w:val="nil"/>
                  </w:tcBorders>
                  <w:vAlign w:val="center"/>
                </w:tcPr>
                <w:p w14:paraId="544EA7B3">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园区内建筑</w:t>
                  </w:r>
                </w:p>
              </w:tc>
            </w:tr>
            <w:tr w14:paraId="33A449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4CD556B4">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1440" w:type="dxa"/>
                  <w:tcBorders>
                    <w:tl2br w:val="nil"/>
                    <w:tr2bl w:val="nil"/>
                  </w:tcBorders>
                  <w:vAlign w:val="center"/>
                </w:tcPr>
                <w:p w14:paraId="4D2BE77A">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西侧</w:t>
                  </w:r>
                </w:p>
              </w:tc>
              <w:tc>
                <w:tcPr>
                  <w:tcW w:w="1702" w:type="dxa"/>
                  <w:tcBorders>
                    <w:tl2br w:val="nil"/>
                    <w:tr2bl w:val="nil"/>
                  </w:tcBorders>
                  <w:vAlign w:val="center"/>
                </w:tcPr>
                <w:p w14:paraId="6F8BBC99">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紧邻</w:t>
                  </w:r>
                </w:p>
              </w:tc>
              <w:tc>
                <w:tcPr>
                  <w:tcW w:w="2206" w:type="dxa"/>
                  <w:tcBorders>
                    <w:tl2br w:val="nil"/>
                    <w:tr2bl w:val="nil"/>
                  </w:tcBorders>
                  <w:vAlign w:val="center"/>
                </w:tcPr>
                <w:p w14:paraId="4959753E">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本园区12</w:t>
                  </w:r>
                  <w:r>
                    <w:rPr>
                      <w:rFonts w:hint="default" w:cs="Times New Roman"/>
                      <w:color w:val="auto"/>
                      <w:sz w:val="21"/>
                      <w:szCs w:val="21"/>
                      <w:highlight w:val="none"/>
                      <w:vertAlign w:val="baseline"/>
                      <w:lang w:val="en-US" w:eastAsia="zh-CN"/>
                    </w:rPr>
                    <w:t>号楼</w:t>
                  </w:r>
                </w:p>
              </w:tc>
              <w:tc>
                <w:tcPr>
                  <w:tcW w:w="1589" w:type="dxa"/>
                  <w:vMerge w:val="continue"/>
                  <w:tcBorders>
                    <w:tl2br w:val="nil"/>
                    <w:tr2bl w:val="nil"/>
                  </w:tcBorders>
                  <w:vAlign w:val="center"/>
                </w:tcPr>
                <w:p w14:paraId="6E683951">
                  <w:pPr>
                    <w:adjustRightInd w:val="0"/>
                    <w:spacing w:line="240" w:lineRule="auto"/>
                    <w:jc w:val="center"/>
                    <w:rPr>
                      <w:rFonts w:hint="default" w:cs="Times New Roman"/>
                      <w:color w:val="auto"/>
                      <w:sz w:val="21"/>
                      <w:szCs w:val="21"/>
                      <w:highlight w:val="none"/>
                      <w:vertAlign w:val="baseline"/>
                      <w:lang w:val="en-US" w:eastAsia="zh-CN"/>
                    </w:rPr>
                  </w:pPr>
                </w:p>
              </w:tc>
            </w:tr>
            <w:tr w14:paraId="259720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vAlign w:val="center"/>
                </w:tcPr>
                <w:p w14:paraId="7F135681">
                  <w:pPr>
                    <w:adjustRightIn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1440" w:type="dxa"/>
                  <w:tcBorders>
                    <w:tl2br w:val="nil"/>
                    <w:tr2bl w:val="nil"/>
                  </w:tcBorders>
                  <w:shd w:val="clear" w:color="auto" w:fill="auto"/>
                  <w:vAlign w:val="center"/>
                </w:tcPr>
                <w:p w14:paraId="7372DB97">
                  <w:pPr>
                    <w:adjustRightIn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南侧</w:t>
                  </w:r>
                </w:p>
              </w:tc>
              <w:tc>
                <w:tcPr>
                  <w:tcW w:w="1702" w:type="dxa"/>
                  <w:tcBorders>
                    <w:tl2br w:val="nil"/>
                    <w:tr2bl w:val="nil"/>
                  </w:tcBorders>
                  <w:shd w:val="clear" w:color="auto" w:fill="auto"/>
                  <w:vAlign w:val="center"/>
                </w:tcPr>
                <w:p w14:paraId="38E43D28">
                  <w:pPr>
                    <w:adjustRightIn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紧邻</w:t>
                  </w:r>
                </w:p>
              </w:tc>
              <w:tc>
                <w:tcPr>
                  <w:tcW w:w="2206" w:type="dxa"/>
                  <w:tcBorders>
                    <w:tl2br w:val="nil"/>
                    <w:tr2bl w:val="nil"/>
                  </w:tcBorders>
                  <w:shd w:val="clear" w:color="auto" w:fill="auto"/>
                  <w:vAlign w:val="center"/>
                </w:tcPr>
                <w:p w14:paraId="0082A4C6">
                  <w:pPr>
                    <w:adjustRightIn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本园区15</w:t>
                  </w:r>
                  <w:r>
                    <w:rPr>
                      <w:rFonts w:hint="default" w:cs="Times New Roman"/>
                      <w:color w:val="auto"/>
                      <w:sz w:val="21"/>
                      <w:szCs w:val="21"/>
                      <w:highlight w:val="none"/>
                      <w:vertAlign w:val="baseline"/>
                      <w:lang w:val="en-US" w:eastAsia="zh-CN"/>
                    </w:rPr>
                    <w:t>号楼</w:t>
                  </w:r>
                </w:p>
              </w:tc>
              <w:tc>
                <w:tcPr>
                  <w:tcW w:w="1589" w:type="dxa"/>
                  <w:vMerge w:val="continue"/>
                  <w:tcBorders>
                    <w:tl2br w:val="nil"/>
                    <w:tr2bl w:val="nil"/>
                  </w:tcBorders>
                  <w:vAlign w:val="center"/>
                </w:tcPr>
                <w:p w14:paraId="52396375">
                  <w:pPr>
                    <w:adjustRightInd w:val="0"/>
                    <w:spacing w:line="240" w:lineRule="auto"/>
                    <w:jc w:val="center"/>
                    <w:rPr>
                      <w:rFonts w:hint="default" w:cs="Times New Roman"/>
                      <w:color w:val="auto"/>
                      <w:sz w:val="21"/>
                      <w:szCs w:val="21"/>
                      <w:highlight w:val="none"/>
                      <w:vertAlign w:val="baseline"/>
                      <w:lang w:val="en-US" w:eastAsia="zh-CN"/>
                    </w:rPr>
                  </w:pPr>
                </w:p>
              </w:tc>
            </w:tr>
            <w:tr w14:paraId="1C8B7A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shd w:val="clear" w:color="auto" w:fill="auto"/>
                  <w:vAlign w:val="center"/>
                </w:tcPr>
                <w:p w14:paraId="7BAA7747">
                  <w:pPr>
                    <w:adjustRightInd w:val="0"/>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4</w:t>
                  </w:r>
                </w:p>
              </w:tc>
              <w:tc>
                <w:tcPr>
                  <w:tcW w:w="1440" w:type="dxa"/>
                  <w:tcBorders>
                    <w:tl2br w:val="nil"/>
                    <w:tr2bl w:val="nil"/>
                  </w:tcBorders>
                  <w:vAlign w:val="center"/>
                </w:tcPr>
                <w:p w14:paraId="1ABA74EC">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北侧</w:t>
                  </w:r>
                </w:p>
              </w:tc>
              <w:tc>
                <w:tcPr>
                  <w:tcW w:w="1702" w:type="dxa"/>
                  <w:tcBorders>
                    <w:tl2br w:val="nil"/>
                    <w:tr2bl w:val="nil"/>
                  </w:tcBorders>
                  <w:vAlign w:val="center"/>
                </w:tcPr>
                <w:p w14:paraId="3C5F652D">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78</w:t>
                  </w:r>
                </w:p>
              </w:tc>
              <w:tc>
                <w:tcPr>
                  <w:tcW w:w="2206" w:type="dxa"/>
                  <w:tcBorders>
                    <w:tl2br w:val="nil"/>
                    <w:tr2bl w:val="nil"/>
                  </w:tcBorders>
                  <w:vAlign w:val="center"/>
                </w:tcPr>
                <w:p w14:paraId="6F002292">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4"/>
                      <w:highlight w:val="none"/>
                      <w:lang w:val="en-US" w:eastAsia="zh-CN"/>
                    </w:rPr>
                    <w:t>景盛北三街</w:t>
                  </w:r>
                </w:p>
              </w:tc>
              <w:tc>
                <w:tcPr>
                  <w:tcW w:w="1589" w:type="dxa"/>
                  <w:tcBorders>
                    <w:tl2br w:val="nil"/>
                    <w:tr2bl w:val="nil"/>
                  </w:tcBorders>
                  <w:vAlign w:val="center"/>
                </w:tcPr>
                <w:p w14:paraId="3575F7C4">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r>
            <w:tr w14:paraId="226506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08" w:type="dxa"/>
                  <w:tcBorders>
                    <w:tl2br w:val="nil"/>
                    <w:tr2bl w:val="nil"/>
                  </w:tcBorders>
                  <w:shd w:val="clear" w:color="auto" w:fill="auto"/>
                  <w:vAlign w:val="center"/>
                </w:tcPr>
                <w:p w14:paraId="6942512C">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1440" w:type="dxa"/>
                  <w:tcBorders>
                    <w:tl2br w:val="nil"/>
                    <w:tr2bl w:val="nil"/>
                  </w:tcBorders>
                  <w:vAlign w:val="center"/>
                </w:tcPr>
                <w:p w14:paraId="16FF5C58">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西侧</w:t>
                  </w:r>
                </w:p>
              </w:tc>
              <w:tc>
                <w:tcPr>
                  <w:tcW w:w="1702" w:type="dxa"/>
                  <w:tcBorders>
                    <w:tl2br w:val="nil"/>
                    <w:tr2bl w:val="nil"/>
                  </w:tcBorders>
                  <w:vAlign w:val="center"/>
                </w:tcPr>
                <w:p w14:paraId="01A1289D">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158</w:t>
                  </w:r>
                </w:p>
              </w:tc>
              <w:tc>
                <w:tcPr>
                  <w:tcW w:w="2206" w:type="dxa"/>
                  <w:tcBorders>
                    <w:tl2br w:val="nil"/>
                    <w:tr2bl w:val="nil"/>
                  </w:tcBorders>
                  <w:vAlign w:val="center"/>
                </w:tcPr>
                <w:p w14:paraId="58D8BF4A">
                  <w:pPr>
                    <w:adjustRightInd w:val="0"/>
                    <w:spacing w:line="240" w:lineRule="auto"/>
                    <w:jc w:val="center"/>
                    <w:rPr>
                      <w:rFonts w:hint="default" w:cs="Times New Roman"/>
                      <w:color w:val="auto"/>
                      <w:sz w:val="24"/>
                      <w:highlight w:val="none"/>
                      <w:lang w:val="en-US" w:eastAsia="zh-CN"/>
                    </w:rPr>
                  </w:pPr>
                  <w:r>
                    <w:rPr>
                      <w:rFonts w:hint="eastAsia" w:cs="Times New Roman"/>
                      <w:color w:val="auto"/>
                      <w:sz w:val="24"/>
                      <w:highlight w:val="none"/>
                      <w:lang w:val="en-US" w:eastAsia="zh-CN"/>
                    </w:rPr>
                    <w:t>西周路</w:t>
                  </w:r>
                </w:p>
              </w:tc>
              <w:tc>
                <w:tcPr>
                  <w:tcW w:w="1589" w:type="dxa"/>
                  <w:tcBorders>
                    <w:tl2br w:val="nil"/>
                    <w:tr2bl w:val="nil"/>
                  </w:tcBorders>
                  <w:vAlign w:val="center"/>
                </w:tcPr>
                <w:p w14:paraId="209AB094">
                  <w:pPr>
                    <w:adjustRightInd w:val="0"/>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支路</w:t>
                  </w:r>
                </w:p>
              </w:tc>
            </w:tr>
          </w:tbl>
          <w:p w14:paraId="7CA2D52B">
            <w:pPr>
              <w:numPr>
                <w:ilvl w:val="0"/>
                <w:numId w:val="0"/>
              </w:numPr>
              <w:adjustRightInd w:val="0"/>
              <w:spacing w:line="360" w:lineRule="auto"/>
              <w:jc w:val="both"/>
              <w:rPr>
                <w:rFonts w:hint="default" w:ascii="Times New Roman" w:hAnsi="Times New Roman" w:eastAsia="宋体" w:cs="Times New Roman"/>
                <w:color w:val="auto"/>
                <w:sz w:val="24"/>
                <w:highlight w:val="none"/>
              </w:rPr>
            </w:pPr>
          </w:p>
          <w:tbl>
            <w:tblPr>
              <w:tblStyle w:val="24"/>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86"/>
              <w:gridCol w:w="3987"/>
            </w:tblGrid>
            <w:tr w14:paraId="1EE3E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6" w:type="dxa"/>
                  <w:tcBorders>
                    <w:tl2br w:val="nil"/>
                    <w:tr2bl w:val="nil"/>
                  </w:tcBorders>
                </w:tcPr>
                <w:p w14:paraId="7A0E15D5">
                  <w:pPr>
                    <w:numPr>
                      <w:ilvl w:val="0"/>
                      <w:numId w:val="0"/>
                    </w:numPr>
                    <w:adjustRightInd w:val="0"/>
                    <w:spacing w:line="360" w:lineRule="auto"/>
                    <w:jc w:val="both"/>
                    <w:rPr>
                      <w:rFonts w:hint="eastAsia" w:ascii="Times New Roman" w:hAnsi="Times New Roman" w:eastAsia="宋体" w:cs="Times New Roman"/>
                      <w:color w:val="auto"/>
                      <w:sz w:val="24"/>
                      <w:highlight w:val="none"/>
                      <w:vertAlign w:val="baseline"/>
                      <w:lang w:eastAsia="zh-CN"/>
                    </w:rPr>
                  </w:pPr>
                  <w:r>
                    <w:rPr>
                      <w:rFonts w:hint="eastAsia" w:ascii="Times New Roman" w:hAnsi="Times New Roman" w:eastAsia="宋体" w:cs="Times New Roman"/>
                      <w:color w:val="auto"/>
                      <w:sz w:val="24"/>
                      <w:highlight w:val="none"/>
                      <w:vertAlign w:val="baseline"/>
                      <w:lang w:eastAsia="zh-CN"/>
                    </w:rPr>
                    <w:drawing>
                      <wp:inline distT="0" distB="0" distL="114300" distR="114300">
                        <wp:extent cx="2392045" cy="1794510"/>
                        <wp:effectExtent l="0" t="0" r="635" b="3810"/>
                        <wp:docPr id="7" name="图片 7" descr="75147a65e53858b1583cb6f2d590d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5147a65e53858b1583cb6f2d590d8e"/>
                                <pic:cNvPicPr>
                                  <a:picLocks noChangeAspect="1"/>
                                </pic:cNvPicPr>
                              </pic:nvPicPr>
                              <pic:blipFill>
                                <a:blip r:embed="rId16"/>
                                <a:stretch>
                                  <a:fillRect/>
                                </a:stretch>
                              </pic:blipFill>
                              <pic:spPr>
                                <a:xfrm>
                                  <a:off x="0" y="0"/>
                                  <a:ext cx="2392045" cy="1794510"/>
                                </a:xfrm>
                                <a:prstGeom prst="rect">
                                  <a:avLst/>
                                </a:prstGeom>
                              </pic:spPr>
                            </pic:pic>
                          </a:graphicData>
                        </a:graphic>
                      </wp:inline>
                    </w:drawing>
                  </w:r>
                </w:p>
              </w:tc>
              <w:tc>
                <w:tcPr>
                  <w:tcW w:w="3987" w:type="dxa"/>
                  <w:tcBorders>
                    <w:tl2br w:val="nil"/>
                    <w:tr2bl w:val="nil"/>
                  </w:tcBorders>
                </w:tcPr>
                <w:p w14:paraId="68E4FEB7">
                  <w:pPr>
                    <w:numPr>
                      <w:ilvl w:val="0"/>
                      <w:numId w:val="0"/>
                    </w:numPr>
                    <w:adjustRightInd w:val="0"/>
                    <w:spacing w:line="360" w:lineRule="auto"/>
                    <w:jc w:val="both"/>
                    <w:rPr>
                      <w:rFonts w:hint="eastAsia" w:ascii="Times New Roman" w:hAnsi="Times New Roman" w:eastAsia="宋体" w:cs="Times New Roman"/>
                      <w:color w:val="auto"/>
                      <w:sz w:val="24"/>
                      <w:highlight w:val="none"/>
                      <w:vertAlign w:val="baseline"/>
                      <w:lang w:eastAsia="zh-CN"/>
                    </w:rPr>
                  </w:pPr>
                  <w:r>
                    <w:rPr>
                      <w:rFonts w:hint="eastAsia" w:ascii="Times New Roman" w:hAnsi="Times New Roman" w:eastAsia="宋体" w:cs="Times New Roman"/>
                      <w:color w:val="auto"/>
                      <w:sz w:val="24"/>
                      <w:highlight w:val="none"/>
                      <w:vertAlign w:val="baseline"/>
                      <w:lang w:eastAsia="zh-CN"/>
                    </w:rPr>
                    <w:drawing>
                      <wp:inline distT="0" distB="0" distL="114300" distR="114300">
                        <wp:extent cx="2392045" cy="1794510"/>
                        <wp:effectExtent l="0" t="0" r="635" b="3810"/>
                        <wp:docPr id="19" name="图片 19" descr="94d9dbc02d7a039e699bb69081447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4d9dbc02d7a039e699bb690814472e"/>
                                <pic:cNvPicPr>
                                  <a:picLocks noChangeAspect="1"/>
                                </pic:cNvPicPr>
                              </pic:nvPicPr>
                              <pic:blipFill>
                                <a:blip r:embed="rId17"/>
                                <a:stretch>
                                  <a:fillRect/>
                                </a:stretch>
                              </pic:blipFill>
                              <pic:spPr>
                                <a:xfrm>
                                  <a:off x="0" y="0"/>
                                  <a:ext cx="2392045" cy="1794510"/>
                                </a:xfrm>
                                <a:prstGeom prst="rect">
                                  <a:avLst/>
                                </a:prstGeom>
                              </pic:spPr>
                            </pic:pic>
                          </a:graphicData>
                        </a:graphic>
                      </wp:inline>
                    </w:drawing>
                  </w:r>
                </w:p>
              </w:tc>
            </w:tr>
            <w:tr w14:paraId="11794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6" w:type="dxa"/>
                  <w:tcBorders>
                    <w:tl2br w:val="nil"/>
                    <w:tr2bl w:val="nil"/>
                  </w:tcBorders>
                </w:tcPr>
                <w:p w14:paraId="2E8C3FF3">
                  <w:pPr>
                    <w:numPr>
                      <w:ilvl w:val="0"/>
                      <w:numId w:val="0"/>
                    </w:numPr>
                    <w:adjustRightInd w:val="0"/>
                    <w:spacing w:line="360" w:lineRule="auto"/>
                    <w:jc w:val="center"/>
                    <w:rPr>
                      <w:rFonts w:hint="default" w:ascii="Times New Roman" w:hAnsi="Times New Roman" w:eastAsia="宋体" w:cs="Times New Roman"/>
                      <w:color w:val="auto"/>
                      <w:sz w:val="24"/>
                      <w:highlight w:val="none"/>
                      <w:vertAlign w:val="baseline"/>
                      <w:lang w:val="en-US" w:eastAsia="zh-CN"/>
                    </w:rPr>
                  </w:pPr>
                  <w:r>
                    <w:rPr>
                      <w:rFonts w:hint="eastAsia" w:cs="Times New Roman"/>
                      <w:color w:val="auto"/>
                      <w:sz w:val="24"/>
                      <w:highlight w:val="none"/>
                      <w:vertAlign w:val="baseline"/>
                      <w:lang w:val="en-US" w:eastAsia="zh-CN"/>
                    </w:rPr>
                    <w:t>项目东侧道路</w:t>
                  </w:r>
                </w:p>
              </w:tc>
              <w:tc>
                <w:tcPr>
                  <w:tcW w:w="3987" w:type="dxa"/>
                  <w:tcBorders>
                    <w:tl2br w:val="nil"/>
                    <w:tr2bl w:val="nil"/>
                  </w:tcBorders>
                </w:tcPr>
                <w:p w14:paraId="1E02A432">
                  <w:pPr>
                    <w:numPr>
                      <w:ilvl w:val="0"/>
                      <w:numId w:val="0"/>
                    </w:numPr>
                    <w:adjustRightInd w:val="0"/>
                    <w:spacing w:line="360" w:lineRule="auto"/>
                    <w:jc w:val="center"/>
                    <w:rPr>
                      <w:rFonts w:hint="default" w:ascii="Times New Roman" w:hAnsi="Times New Roman" w:eastAsia="宋体" w:cs="Times New Roman"/>
                      <w:color w:val="auto"/>
                      <w:sz w:val="24"/>
                      <w:highlight w:val="none"/>
                      <w:vertAlign w:val="baseline"/>
                    </w:rPr>
                  </w:pPr>
                  <w:r>
                    <w:rPr>
                      <w:rFonts w:hint="eastAsia" w:cs="Times New Roman"/>
                      <w:color w:val="auto"/>
                      <w:sz w:val="24"/>
                      <w:highlight w:val="none"/>
                      <w:vertAlign w:val="baseline"/>
                      <w:lang w:val="en-US" w:eastAsia="zh-CN"/>
                    </w:rPr>
                    <w:t>项目南侧道路</w:t>
                  </w:r>
                </w:p>
              </w:tc>
            </w:tr>
            <w:tr w14:paraId="1819F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6" w:type="dxa"/>
                  <w:tcBorders>
                    <w:tl2br w:val="nil"/>
                    <w:tr2bl w:val="nil"/>
                  </w:tcBorders>
                </w:tcPr>
                <w:p w14:paraId="62D50FF7">
                  <w:pPr>
                    <w:numPr>
                      <w:ilvl w:val="0"/>
                      <w:numId w:val="0"/>
                    </w:numPr>
                    <w:adjustRightInd w:val="0"/>
                    <w:spacing w:line="360" w:lineRule="auto"/>
                    <w:jc w:val="center"/>
                    <w:rPr>
                      <w:rFonts w:hint="eastAsia" w:ascii="Times New Roman" w:hAnsi="Times New Roman" w:eastAsia="宋体" w:cs="Times New Roman"/>
                      <w:color w:val="auto"/>
                      <w:sz w:val="24"/>
                      <w:highlight w:val="none"/>
                      <w:vertAlign w:val="baseline"/>
                      <w:lang w:eastAsia="zh-CN"/>
                    </w:rPr>
                  </w:pPr>
                  <w:r>
                    <w:rPr>
                      <w:rFonts w:hint="eastAsia" w:ascii="Times New Roman" w:hAnsi="Times New Roman" w:eastAsia="宋体" w:cs="Times New Roman"/>
                      <w:color w:val="auto"/>
                      <w:sz w:val="24"/>
                      <w:highlight w:val="none"/>
                      <w:vertAlign w:val="baseline"/>
                      <w:lang w:eastAsia="zh-CN"/>
                    </w:rPr>
                    <w:drawing>
                      <wp:inline distT="0" distB="0" distL="114300" distR="114300">
                        <wp:extent cx="2392045" cy="1794510"/>
                        <wp:effectExtent l="0" t="0" r="635" b="3810"/>
                        <wp:docPr id="21" name="图片 21" descr="e4f8e8dc06bcedbc7e690788afcc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4f8e8dc06bcedbc7e690788afcceb9"/>
                                <pic:cNvPicPr>
                                  <a:picLocks noChangeAspect="1"/>
                                </pic:cNvPicPr>
                              </pic:nvPicPr>
                              <pic:blipFill>
                                <a:blip r:embed="rId18"/>
                                <a:stretch>
                                  <a:fillRect/>
                                </a:stretch>
                              </pic:blipFill>
                              <pic:spPr>
                                <a:xfrm>
                                  <a:off x="0" y="0"/>
                                  <a:ext cx="2392045" cy="1794510"/>
                                </a:xfrm>
                                <a:prstGeom prst="rect">
                                  <a:avLst/>
                                </a:prstGeom>
                              </pic:spPr>
                            </pic:pic>
                          </a:graphicData>
                        </a:graphic>
                      </wp:inline>
                    </w:drawing>
                  </w:r>
                </w:p>
              </w:tc>
              <w:tc>
                <w:tcPr>
                  <w:tcW w:w="3987" w:type="dxa"/>
                  <w:tcBorders>
                    <w:tl2br w:val="nil"/>
                    <w:tr2bl w:val="nil"/>
                  </w:tcBorders>
                </w:tcPr>
                <w:p w14:paraId="2E6E2DAC">
                  <w:pPr>
                    <w:numPr>
                      <w:ilvl w:val="0"/>
                      <w:numId w:val="0"/>
                    </w:numPr>
                    <w:adjustRightInd w:val="0"/>
                    <w:spacing w:line="360" w:lineRule="auto"/>
                    <w:jc w:val="center"/>
                    <w:rPr>
                      <w:rFonts w:hint="eastAsia" w:ascii="Times New Roman" w:hAnsi="Times New Roman" w:eastAsia="宋体" w:cs="Times New Roman"/>
                      <w:color w:val="auto"/>
                      <w:sz w:val="24"/>
                      <w:highlight w:val="none"/>
                      <w:vertAlign w:val="baseline"/>
                      <w:lang w:eastAsia="zh-CN"/>
                    </w:rPr>
                  </w:pPr>
                  <w:r>
                    <w:rPr>
                      <w:rFonts w:hint="eastAsia" w:ascii="Times New Roman" w:hAnsi="Times New Roman" w:eastAsia="宋体" w:cs="Times New Roman"/>
                      <w:color w:val="auto"/>
                      <w:sz w:val="24"/>
                      <w:highlight w:val="none"/>
                      <w:vertAlign w:val="baseline"/>
                      <w:lang w:eastAsia="zh-CN"/>
                    </w:rPr>
                    <w:drawing>
                      <wp:inline distT="0" distB="0" distL="114300" distR="114300">
                        <wp:extent cx="2392045" cy="1794510"/>
                        <wp:effectExtent l="0" t="0" r="635" b="3810"/>
                        <wp:docPr id="20" name="图片 20" descr="0ce3739ebfacb2b51cdceaed04813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ce3739ebfacb2b51cdceaed04813df"/>
                                <pic:cNvPicPr>
                                  <a:picLocks noChangeAspect="1"/>
                                </pic:cNvPicPr>
                              </pic:nvPicPr>
                              <pic:blipFill>
                                <a:blip r:embed="rId19"/>
                                <a:stretch>
                                  <a:fillRect/>
                                </a:stretch>
                              </pic:blipFill>
                              <pic:spPr>
                                <a:xfrm>
                                  <a:off x="0" y="0"/>
                                  <a:ext cx="2392045" cy="1794510"/>
                                </a:xfrm>
                                <a:prstGeom prst="rect">
                                  <a:avLst/>
                                </a:prstGeom>
                              </pic:spPr>
                            </pic:pic>
                          </a:graphicData>
                        </a:graphic>
                      </wp:inline>
                    </w:drawing>
                  </w:r>
                </w:p>
              </w:tc>
            </w:tr>
            <w:tr w14:paraId="42188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6" w:type="dxa"/>
                  <w:tcBorders>
                    <w:tl2br w:val="nil"/>
                    <w:tr2bl w:val="nil"/>
                  </w:tcBorders>
                </w:tcPr>
                <w:p w14:paraId="51428F5F">
                  <w:pPr>
                    <w:numPr>
                      <w:ilvl w:val="0"/>
                      <w:numId w:val="0"/>
                    </w:numPr>
                    <w:adjustRightInd w:val="0"/>
                    <w:spacing w:line="360" w:lineRule="auto"/>
                    <w:jc w:val="center"/>
                    <w:rPr>
                      <w:rFonts w:hint="default" w:ascii="Times New Roman" w:hAnsi="Times New Roman" w:eastAsia="宋体" w:cs="Times New Roman"/>
                      <w:color w:val="auto"/>
                      <w:sz w:val="24"/>
                      <w:highlight w:val="none"/>
                      <w:vertAlign w:val="baseline"/>
                    </w:rPr>
                  </w:pPr>
                  <w:r>
                    <w:rPr>
                      <w:rFonts w:hint="eastAsia" w:cs="Times New Roman"/>
                      <w:color w:val="auto"/>
                      <w:sz w:val="24"/>
                      <w:highlight w:val="none"/>
                      <w:vertAlign w:val="baseline"/>
                      <w:lang w:val="en-US" w:eastAsia="zh-CN"/>
                    </w:rPr>
                    <w:t>项目西侧道路</w:t>
                  </w:r>
                </w:p>
              </w:tc>
              <w:tc>
                <w:tcPr>
                  <w:tcW w:w="3987" w:type="dxa"/>
                  <w:tcBorders>
                    <w:tl2br w:val="nil"/>
                    <w:tr2bl w:val="nil"/>
                  </w:tcBorders>
                </w:tcPr>
                <w:p w14:paraId="7456FFE8">
                  <w:pPr>
                    <w:numPr>
                      <w:ilvl w:val="0"/>
                      <w:numId w:val="0"/>
                    </w:numPr>
                    <w:adjustRightInd w:val="0"/>
                    <w:spacing w:line="360" w:lineRule="auto"/>
                    <w:jc w:val="center"/>
                    <w:rPr>
                      <w:rFonts w:hint="default" w:ascii="Times New Roman" w:hAnsi="Times New Roman" w:eastAsia="宋体" w:cs="Times New Roman"/>
                      <w:color w:val="auto"/>
                      <w:sz w:val="24"/>
                      <w:highlight w:val="none"/>
                      <w:vertAlign w:val="baseline"/>
                    </w:rPr>
                  </w:pPr>
                  <w:r>
                    <w:rPr>
                      <w:rFonts w:hint="eastAsia" w:cs="Times New Roman"/>
                      <w:color w:val="auto"/>
                      <w:sz w:val="24"/>
                      <w:highlight w:val="none"/>
                      <w:vertAlign w:val="baseline"/>
                      <w:lang w:val="en-US" w:eastAsia="zh-CN"/>
                    </w:rPr>
                    <w:t>项目北侧道路</w:t>
                  </w:r>
                </w:p>
              </w:tc>
            </w:tr>
          </w:tbl>
          <w:p w14:paraId="511E0F45">
            <w:pPr>
              <w:numPr>
                <w:ilvl w:val="0"/>
                <w:numId w:val="16"/>
              </w:numPr>
              <w:adjustRightInd w:val="0"/>
              <w:spacing w:line="360" w:lineRule="auto"/>
              <w:ind w:left="425" w:leftChars="0" w:hanging="425" w:firstLineChars="0"/>
              <w:jc w:val="center"/>
              <w:rPr>
                <w:rFonts w:hint="default" w:ascii="Times New Roman" w:hAnsi="Times New Roman" w:eastAsia="宋体" w:cs="Times New Roman"/>
                <w:color w:val="auto"/>
                <w:sz w:val="24"/>
                <w:highlight w:val="none"/>
              </w:rPr>
            </w:pPr>
            <w:r>
              <w:rPr>
                <w:rFonts w:hint="eastAsia" w:cs="Times New Roman"/>
                <w:b/>
                <w:color w:val="auto"/>
                <w:sz w:val="24"/>
                <w:highlight w:val="none"/>
                <w:lang w:val="en-US" w:eastAsia="zh-CN"/>
              </w:rPr>
              <w:t>项目周边照片</w:t>
            </w:r>
          </w:p>
        </w:tc>
      </w:tr>
      <w:tr w14:paraId="1EF500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818" w:type="dxa"/>
            <w:vAlign w:val="center"/>
          </w:tcPr>
          <w:p w14:paraId="7C66032D">
            <w:pPr>
              <w:pStyle w:val="20"/>
              <w:adjustRightInd w:val="0"/>
              <w:snapToGrid w:val="0"/>
              <w:spacing w:before="0" w:beforeAutospacing="0" w:after="0" w:afterAutospacing="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工艺流程和产排污环节</w:t>
            </w:r>
          </w:p>
        </w:tc>
        <w:tc>
          <w:tcPr>
            <w:tcW w:w="8189" w:type="dxa"/>
          </w:tcPr>
          <w:p w14:paraId="4E71AAD0">
            <w:pPr>
              <w:adjustRightInd w:val="0"/>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一、</w:t>
            </w:r>
            <w:r>
              <w:rPr>
                <w:rFonts w:hint="default" w:ascii="Times New Roman" w:hAnsi="Times New Roman" w:eastAsia="宋体" w:cs="Times New Roman"/>
                <w:b/>
                <w:bCs/>
                <w:color w:val="auto"/>
                <w:sz w:val="24"/>
                <w:highlight w:val="none"/>
              </w:rPr>
              <w:t>施工期</w:t>
            </w:r>
          </w:p>
          <w:p w14:paraId="40867B67">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利用已建成房屋作为项目场所，施工期仅为厂房内简单装修和设备安装。主要污染物为施工噪声、施工人员生活污水，同时产生少量施工扬尘、施工固体废物（装修垃圾和生活垃圾）。随着施工期的结束，对环境的影响也随之消失。</w:t>
            </w:r>
          </w:p>
          <w:p w14:paraId="5A0DC028">
            <w:pPr>
              <w:numPr>
                <w:ilvl w:val="0"/>
                <w:numId w:val="16"/>
              </w:numPr>
              <w:adjustRightInd w:val="0"/>
              <w:spacing w:line="360" w:lineRule="auto"/>
              <w:ind w:left="425" w:leftChars="0" w:hanging="425"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drawing>
                <wp:anchor distT="0" distB="0" distL="114300" distR="114300" simplePos="0" relativeHeight="251665408" behindDoc="0" locked="0" layoutInCell="1" allowOverlap="1">
                  <wp:simplePos x="0" y="0"/>
                  <wp:positionH relativeFrom="column">
                    <wp:posOffset>304800</wp:posOffset>
                  </wp:positionH>
                  <wp:positionV relativeFrom="paragraph">
                    <wp:posOffset>5715</wp:posOffset>
                  </wp:positionV>
                  <wp:extent cx="4314825" cy="1774825"/>
                  <wp:effectExtent l="0" t="0" r="0" b="0"/>
                  <wp:wrapTopAndBottom/>
                  <wp:docPr id="150" name="ECB019B1-382A-4266-B25C-5B523AA43C14-1" descr="C:/Users/Administrator/AppData/Local/Temp/wps.sOBRP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ECB019B1-382A-4266-B25C-5B523AA43C14-1" descr="C:/Users/Administrator/AppData/Local/Temp/wps.sOBRPnwps"/>
                          <pic:cNvPicPr>
                            <a:picLocks noChangeAspect="1"/>
                          </pic:cNvPicPr>
                        </pic:nvPicPr>
                        <pic:blipFill>
                          <a:blip r:embed="rId20"/>
                          <a:srcRect t="10967" b="5363"/>
                          <a:stretch>
                            <a:fillRect/>
                          </a:stretch>
                        </pic:blipFill>
                        <pic:spPr>
                          <a:xfrm>
                            <a:off x="0" y="0"/>
                            <a:ext cx="4314825" cy="1774825"/>
                          </a:xfrm>
                          <a:prstGeom prst="rect">
                            <a:avLst/>
                          </a:prstGeom>
                        </pic:spPr>
                      </pic:pic>
                    </a:graphicData>
                  </a:graphic>
                </wp:anchor>
              </w:drawing>
            </w:r>
            <w:r>
              <w:rPr>
                <w:rFonts w:hint="default" w:ascii="Times New Roman" w:hAnsi="Times New Roman" w:eastAsia="宋体" w:cs="Times New Roman"/>
                <w:b/>
                <w:bCs/>
                <w:color w:val="auto"/>
                <w:sz w:val="24"/>
                <w:szCs w:val="32"/>
                <w:highlight w:val="none"/>
              </w:rPr>
              <w:t xml:space="preserve"> 项目施工期流程及产污节点图</w:t>
            </w:r>
          </w:p>
          <w:p w14:paraId="4001FB6E">
            <w:pPr>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二、运营期</w:t>
            </w:r>
          </w:p>
          <w:p w14:paraId="31DB7F1F">
            <w:pPr>
              <w:spacing w:line="360" w:lineRule="auto"/>
              <w:ind w:firstLine="480" w:firstLineChars="200"/>
              <w:jc w:val="left"/>
              <w:rPr>
                <w:b/>
                <w:bCs/>
                <w:color w:val="auto"/>
                <w:szCs w:val="21"/>
                <w:highlight w:val="none"/>
              </w:rPr>
            </w:pPr>
            <w:r>
              <w:rPr>
                <w:rFonts w:hint="eastAsia" w:cs="Times New Roman"/>
                <w:b w:val="0"/>
                <w:bCs/>
                <w:color w:val="auto"/>
                <w:sz w:val="24"/>
                <w:highlight w:val="none"/>
                <w:lang w:val="en-US" w:eastAsia="zh-CN"/>
              </w:rPr>
              <w:t>本项目环境检测</w:t>
            </w:r>
            <w:r>
              <w:rPr>
                <w:rFonts w:hint="eastAsia" w:ascii="Times New Roman" w:hAnsi="Times New Roman" w:eastAsia="宋体" w:cs="Times New Roman"/>
                <w:b w:val="0"/>
                <w:bCs/>
                <w:color w:val="auto"/>
                <w:sz w:val="24"/>
                <w:highlight w:val="none"/>
                <w:lang w:val="en-US" w:eastAsia="zh-CN"/>
              </w:rPr>
              <w:t>分为现场检测和实验室检测，具体的工艺流程如下：</w:t>
            </w:r>
          </w:p>
          <w:p w14:paraId="69E7E8E2">
            <w:pPr>
              <w:numPr>
                <w:ilvl w:val="0"/>
                <w:numId w:val="17"/>
              </w:numPr>
              <w:spacing w:line="360" w:lineRule="auto"/>
              <w:ind w:firstLine="482" w:firstLineChars="200"/>
              <w:jc w:val="left"/>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现场检测</w:t>
            </w:r>
          </w:p>
          <w:p w14:paraId="7C89586B">
            <w:pPr>
              <w:numPr>
                <w:ilvl w:val="0"/>
                <w:numId w:val="0"/>
              </w:numPr>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样品：此类样品主要为仪器直读参数的样品，主要有水质</w:t>
            </w:r>
            <w:r>
              <w:rPr>
                <w:rFonts w:hint="eastAsia" w:cs="Times New Roman"/>
                <w:b w:val="0"/>
                <w:bCs/>
                <w:color w:val="auto"/>
                <w:sz w:val="24"/>
                <w:highlight w:val="none"/>
                <w:lang w:val="en-US" w:eastAsia="zh-CN"/>
              </w:rPr>
              <w:t>类</w:t>
            </w:r>
            <w:r>
              <w:rPr>
                <w:rFonts w:hint="eastAsia" w:ascii="Times New Roman" w:hAnsi="Times New Roman" w:eastAsia="宋体" w:cs="Times New Roman"/>
                <w:b w:val="0"/>
                <w:bCs/>
                <w:color w:val="auto"/>
                <w:sz w:val="24"/>
                <w:highlight w:val="none"/>
                <w:lang w:val="en-US" w:eastAsia="zh-CN"/>
              </w:rPr>
              <w:t>的溶解氧、电导率、pH值、浊度、游离氯、余氯、总氯、透明度等，</w:t>
            </w:r>
            <w:r>
              <w:rPr>
                <w:rFonts w:hint="eastAsia" w:cs="Times New Roman"/>
                <w:b w:val="0"/>
                <w:bCs/>
                <w:color w:val="auto"/>
                <w:sz w:val="24"/>
                <w:highlight w:val="none"/>
                <w:lang w:val="en-US" w:eastAsia="zh-CN"/>
              </w:rPr>
              <w:t>气体类的二氧化硫、氮氧化物、林格曼黑度等，固体类</w:t>
            </w:r>
            <w:r>
              <w:rPr>
                <w:rFonts w:hint="eastAsia" w:ascii="Times New Roman" w:hAnsi="Times New Roman" w:eastAsia="宋体" w:cs="Times New Roman"/>
                <w:b w:val="0"/>
                <w:bCs/>
                <w:color w:val="auto"/>
                <w:sz w:val="24"/>
                <w:highlight w:val="none"/>
                <w:lang w:val="en-US" w:eastAsia="zh-CN"/>
              </w:rPr>
              <w:t>土壤的氧化还原电位，噪声等内容。</w:t>
            </w:r>
          </w:p>
          <w:p w14:paraId="09772001">
            <w:pPr>
              <w:numPr>
                <w:ilvl w:val="0"/>
                <w:numId w:val="0"/>
              </w:numPr>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检测：检测方式主要为仪器直读，仪器通过自校，然后直接测量样品，显示读数结果。</w:t>
            </w:r>
          </w:p>
          <w:p w14:paraId="0EE156B8">
            <w:pPr>
              <w:numPr>
                <w:ilvl w:val="0"/>
                <w:numId w:val="0"/>
              </w:numPr>
              <w:adjustRightInd w:val="0"/>
              <w:snapToGrid w:val="0"/>
              <w:spacing w:line="360" w:lineRule="auto"/>
              <w:ind w:firstLine="482" w:firstLineChars="200"/>
              <w:rPr>
                <w:rFonts w:hint="eastAsia"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eastAsia" w:ascii="Times New Roman" w:hAnsi="Times New Roman" w:eastAsia="宋体" w:cs="Times New Roman"/>
                <w:b/>
                <w:bCs w:val="0"/>
                <w:color w:val="auto"/>
                <w:sz w:val="24"/>
                <w:highlight w:val="none"/>
                <w:lang w:val="en-US" w:eastAsia="zh-CN"/>
              </w:rPr>
              <w:t>过程不产生污染物。</w:t>
            </w:r>
          </w:p>
          <w:p w14:paraId="347F153A">
            <w:pPr>
              <w:numPr>
                <w:ilvl w:val="0"/>
                <w:numId w:val="17"/>
              </w:numPr>
              <w:adjustRightInd w:val="0"/>
              <w:snapToGrid w:val="0"/>
              <w:spacing w:line="360" w:lineRule="auto"/>
              <w:ind w:left="0" w:leftChars="0" w:firstLine="482" w:firstLineChars="200"/>
              <w:rPr>
                <w:rFonts w:hint="eastAsia" w:ascii="Times New Roman" w:hAnsi="Times New Roman" w:eastAsia="宋体" w:cs="Times New Roman"/>
                <w:b/>
                <w:bCs w:val="0"/>
                <w:color w:val="auto"/>
                <w:sz w:val="24"/>
                <w:highlight w:val="none"/>
                <w:lang w:val="en-US" w:eastAsia="zh-CN"/>
              </w:rPr>
            </w:pPr>
            <w:r>
              <w:rPr>
                <w:rFonts w:hint="eastAsia" w:ascii="Times New Roman" w:hAnsi="Times New Roman" w:eastAsia="宋体" w:cs="Times New Roman"/>
                <w:b/>
                <w:bCs w:val="0"/>
                <w:color w:val="auto"/>
                <w:sz w:val="24"/>
                <w:highlight w:val="none"/>
                <w:lang w:val="en-US" w:eastAsia="zh-CN"/>
              </w:rPr>
              <w:t>实验室检测</w:t>
            </w:r>
          </w:p>
          <w:p w14:paraId="19FFA283">
            <w:pPr>
              <w:numPr>
                <w:ilvl w:val="0"/>
                <w:numId w:val="0"/>
              </w:numPr>
              <w:adjustRightInd w:val="0"/>
              <w:snapToGrid w:val="0"/>
              <w:spacing w:line="360" w:lineRule="auto"/>
              <w:ind w:firstLine="480" w:firstLineChars="200"/>
              <w:rPr>
                <w:rFonts w:hint="eastAsia"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实验室检测包括</w:t>
            </w:r>
            <w:r>
              <w:rPr>
                <w:rFonts w:hint="eastAsia" w:cs="Times New Roman"/>
                <w:b w:val="0"/>
                <w:bCs/>
                <w:color w:val="auto"/>
                <w:sz w:val="24"/>
                <w:highlight w:val="none"/>
                <w:lang w:val="en-US" w:eastAsia="zh-CN"/>
              </w:rPr>
              <w:t>水质类</w:t>
            </w:r>
            <w:r>
              <w:rPr>
                <w:rFonts w:hint="eastAsia" w:ascii="Times New Roman" w:hAnsi="Times New Roman" w:eastAsia="宋体" w:cs="Times New Roman"/>
                <w:b w:val="0"/>
                <w:bCs/>
                <w:color w:val="auto"/>
                <w:sz w:val="24"/>
                <w:highlight w:val="none"/>
                <w:lang w:val="en-US" w:eastAsia="zh-CN"/>
              </w:rPr>
              <w:t>、</w:t>
            </w:r>
            <w:r>
              <w:rPr>
                <w:rFonts w:hint="eastAsia" w:cs="Times New Roman"/>
                <w:b w:val="0"/>
                <w:bCs/>
                <w:color w:val="auto"/>
                <w:sz w:val="24"/>
                <w:highlight w:val="none"/>
                <w:lang w:val="en-US" w:eastAsia="zh-CN"/>
              </w:rPr>
              <w:t>气体类、</w:t>
            </w:r>
            <w:r>
              <w:rPr>
                <w:rFonts w:hint="eastAsia" w:ascii="Times New Roman" w:hAnsi="Times New Roman" w:eastAsia="宋体" w:cs="Times New Roman"/>
                <w:b w:val="0"/>
                <w:bCs/>
                <w:color w:val="auto"/>
                <w:sz w:val="24"/>
                <w:highlight w:val="none"/>
                <w:lang w:val="en-US" w:eastAsia="zh-CN"/>
              </w:rPr>
              <w:t>微生物</w:t>
            </w:r>
            <w:r>
              <w:rPr>
                <w:rFonts w:hint="eastAsia" w:cs="Times New Roman"/>
                <w:b w:val="0"/>
                <w:bCs/>
                <w:color w:val="auto"/>
                <w:sz w:val="24"/>
                <w:highlight w:val="none"/>
                <w:lang w:val="en-US" w:eastAsia="zh-CN"/>
              </w:rPr>
              <w:t>类</w:t>
            </w:r>
            <w:r>
              <w:rPr>
                <w:rFonts w:hint="eastAsia" w:ascii="Times New Roman" w:hAnsi="Times New Roman" w:eastAsia="宋体" w:cs="Times New Roman"/>
                <w:b w:val="0"/>
                <w:bCs/>
                <w:color w:val="auto"/>
                <w:sz w:val="24"/>
                <w:highlight w:val="none"/>
                <w:lang w:val="en-US" w:eastAsia="zh-CN"/>
              </w:rPr>
              <w:t>、</w:t>
            </w:r>
            <w:r>
              <w:rPr>
                <w:rFonts w:hint="eastAsia" w:cs="Times New Roman"/>
                <w:b w:val="0"/>
                <w:bCs/>
                <w:color w:val="auto"/>
                <w:sz w:val="24"/>
                <w:highlight w:val="none"/>
                <w:lang w:val="en-US" w:eastAsia="zh-CN"/>
              </w:rPr>
              <w:t>固体类土壤</w:t>
            </w:r>
            <w:r>
              <w:rPr>
                <w:rFonts w:hint="eastAsia" w:ascii="Times New Roman" w:hAnsi="Times New Roman" w:eastAsia="宋体" w:cs="Times New Roman"/>
                <w:b w:val="0"/>
                <w:bCs/>
                <w:color w:val="auto"/>
                <w:sz w:val="24"/>
                <w:highlight w:val="none"/>
                <w:lang w:val="en-US" w:eastAsia="zh-CN"/>
              </w:rPr>
              <w:t>检测。</w:t>
            </w:r>
          </w:p>
          <w:p w14:paraId="00B2C99A">
            <w:pPr>
              <w:numPr>
                <w:ilvl w:val="0"/>
                <w:numId w:val="16"/>
              </w:numPr>
              <w:adjustRightInd w:val="0"/>
              <w:spacing w:line="360" w:lineRule="auto"/>
              <w:ind w:left="425" w:leftChars="0" w:hanging="425" w:firstLineChars="0"/>
              <w:jc w:val="center"/>
              <w:rPr>
                <w:rFonts w:hint="eastAsia" w:ascii="Times New Roman" w:hAnsi="Times New Roman" w:eastAsia="宋体" w:cs="Times New Roman"/>
                <w:b w:val="0"/>
                <w:bCs/>
                <w:color w:val="auto"/>
                <w:sz w:val="24"/>
                <w:highlight w:val="none"/>
                <w:lang w:val="en-US" w:eastAsia="zh-CN"/>
              </w:rPr>
            </w:pPr>
            <w:r>
              <w:rPr>
                <w:color w:val="auto"/>
                <w:sz w:val="24"/>
                <w:highlight w:val="none"/>
              </w:rPr>
              <mc:AlternateContent>
                <mc:Choice Requires="wpg">
                  <w:drawing>
                    <wp:anchor distT="0" distB="0" distL="114300" distR="114300" simplePos="0" relativeHeight="251666432" behindDoc="0" locked="0" layoutInCell="1" allowOverlap="1">
                      <wp:simplePos x="0" y="0"/>
                      <wp:positionH relativeFrom="column">
                        <wp:posOffset>443865</wp:posOffset>
                      </wp:positionH>
                      <wp:positionV relativeFrom="paragraph">
                        <wp:posOffset>167005</wp:posOffset>
                      </wp:positionV>
                      <wp:extent cx="3791585" cy="4582795"/>
                      <wp:effectExtent l="6350" t="4445" r="12065" b="15240"/>
                      <wp:wrapTopAndBottom/>
                      <wp:docPr id="1" name="组合 1"/>
                      <wp:cNvGraphicFramePr/>
                      <a:graphic xmlns:a="http://schemas.openxmlformats.org/drawingml/2006/main">
                        <a:graphicData uri="http://schemas.microsoft.com/office/word/2010/wordprocessingGroup">
                          <wpg:wgp>
                            <wpg:cNvGrpSpPr/>
                            <wpg:grpSpPr>
                              <a:xfrm>
                                <a:off x="0" y="0"/>
                                <a:ext cx="3791585" cy="4582628"/>
                                <a:chOff x="9810" y="87753"/>
                                <a:chExt cx="5971" cy="7872"/>
                              </a:xfrm>
                              <a:effectLst/>
                            </wpg:grpSpPr>
                            <wps:wsp>
                              <wps:cNvPr id="54" name="文本框 11"/>
                              <wps:cNvSpPr txBox="1"/>
                              <wps:spPr>
                                <a:xfrm>
                                  <a:off x="9810" y="88908"/>
                                  <a:ext cx="2731" cy="4227"/>
                                </a:xfrm>
                                <a:prstGeom prst="rect">
                                  <a:avLst/>
                                </a:prstGeom>
                                <a:solidFill>
                                  <a:srgbClr val="FFFFFF"/>
                                </a:solidFill>
                                <a:ln w="12700" cmpd="sng">
                                  <a:solidFill>
                                    <a:srgbClr val="000000"/>
                                  </a:solidFill>
                                  <a:prstDash val="lgDash"/>
                                </a:ln>
                                <a:effectLst/>
                              </wps:spPr>
                              <wps:txbx>
                                <w:txbxContent>
                                  <w:p w14:paraId="7B71691D">
                                    <w:pPr>
                                      <w:jc w:val="center"/>
                                      <w:rPr>
                                        <w:color w:val="000000"/>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文本框 11"/>
                              <wps:cNvSpPr txBox="1"/>
                              <wps:spPr>
                                <a:xfrm>
                                  <a:off x="10223" y="87753"/>
                                  <a:ext cx="1830" cy="585"/>
                                </a:xfrm>
                                <a:prstGeom prst="rect">
                                  <a:avLst/>
                                </a:prstGeom>
                                <a:solidFill>
                                  <a:srgbClr val="FFFFFF"/>
                                </a:solidFill>
                                <a:ln w="6350">
                                  <a:solidFill>
                                    <a:prstClr val="black"/>
                                  </a:solidFill>
                                </a:ln>
                                <a:effectLst/>
                              </wps:spPr>
                              <wps:txbx>
                                <w:txbxContent>
                                  <w:p w14:paraId="03753318">
                                    <w:pPr>
                                      <w:ind w:firstLine="180" w:firstLineChars="100"/>
                                      <w:jc w:val="both"/>
                                      <w:rPr>
                                        <w:rFonts w:hint="default" w:eastAsia="宋体"/>
                                        <w:sz w:val="18"/>
                                        <w:szCs w:val="18"/>
                                        <w:lang w:val="en-US" w:eastAsia="zh-CN"/>
                                      </w:rPr>
                                    </w:pPr>
                                    <w:r>
                                      <w:rPr>
                                        <w:rFonts w:hint="eastAsia"/>
                                        <w:sz w:val="18"/>
                                        <w:szCs w:val="18"/>
                                        <w:lang w:val="en-US" w:eastAsia="zh-CN"/>
                                      </w:rPr>
                                      <w:t>样品采集与保存</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直接连接符 19"/>
                              <wps:cNvCnPr/>
                              <wps:spPr>
                                <a:xfrm rot="5400000">
                                  <a:off x="10845" y="88722"/>
                                  <a:ext cx="680" cy="1"/>
                                </a:xfrm>
                                <a:prstGeom prst="line">
                                  <a:avLst/>
                                </a:prstGeom>
                                <a:noFill/>
                                <a:ln w="25400" cap="flat" cmpd="sng" algn="ctr">
                                  <a:solidFill>
                                    <a:srgbClr val="000000"/>
                                  </a:solidFill>
                                  <a:prstDash val="solid"/>
                                  <a:tailEnd type="triangle" w="med" len="med"/>
                                </a:ln>
                                <a:effectLst>
                                  <a:outerShdw blurRad="40000" dist="20000" dir="5400000" rotWithShape="0">
                                    <a:srgbClr val="000000">
                                      <a:alpha val="38000"/>
                                    </a:srgbClr>
                                  </a:outerShdw>
                                </a:effectLst>
                              </wps:spPr>
                              <wps:bodyPr/>
                            </wps:wsp>
                            <wps:wsp>
                              <wps:cNvPr id="73" name="直接连接符 23"/>
                              <wps:cNvCnPr/>
                              <wps:spPr>
                                <a:xfrm>
                                  <a:off x="12555" y="90582"/>
                                  <a:ext cx="680" cy="1"/>
                                </a:xfrm>
                                <a:prstGeom prst="line">
                                  <a:avLst/>
                                </a:prstGeom>
                                <a:noFill/>
                                <a:ln w="12700" cap="flat" cmpd="sng" algn="ctr">
                                  <a:solidFill>
                                    <a:srgbClr val="000000"/>
                                  </a:solidFill>
                                  <a:prstDash val="lgDash"/>
                                  <a:tailEnd type="triangle" w="med" len="med"/>
                                </a:ln>
                                <a:effectLst>
                                  <a:outerShdw blurRad="40000" dist="20000" dir="5400000" rotWithShape="0">
                                    <a:srgbClr val="000000">
                                      <a:alpha val="38000"/>
                                    </a:srgbClr>
                                  </a:outerShdw>
                                </a:effectLst>
                              </wps:spPr>
                              <wps:bodyPr/>
                            </wps:wsp>
                            <wps:wsp>
                              <wps:cNvPr id="76" name="文本框 11"/>
                              <wps:cNvSpPr txBox="1"/>
                              <wps:spPr>
                                <a:xfrm>
                                  <a:off x="10320" y="89067"/>
                                  <a:ext cx="1697" cy="768"/>
                                </a:xfrm>
                                <a:prstGeom prst="rect">
                                  <a:avLst/>
                                </a:prstGeom>
                                <a:solidFill>
                                  <a:srgbClr val="FFFFFF"/>
                                </a:solidFill>
                                <a:ln w="6350">
                                  <a:solidFill>
                                    <a:prstClr val="black"/>
                                  </a:solidFill>
                                </a:ln>
                                <a:effectLst/>
                              </wps:spPr>
                              <wps:txbx>
                                <w:txbxContent>
                                  <w:p w14:paraId="2BABA41D">
                                    <w:pPr>
                                      <w:jc w:val="center"/>
                                      <w:rPr>
                                        <w:rFonts w:hint="default" w:eastAsia="宋体"/>
                                        <w:sz w:val="18"/>
                                        <w:szCs w:val="18"/>
                                        <w:lang w:val="en-US" w:eastAsia="zh-CN"/>
                                      </w:rPr>
                                    </w:pPr>
                                    <w:r>
                                      <w:rPr>
                                        <w:rFonts w:hint="eastAsia"/>
                                        <w:sz w:val="18"/>
                                        <w:szCs w:val="18"/>
                                        <w:lang w:val="en-US" w:eastAsia="zh-CN"/>
                                      </w:rPr>
                                      <w:t>试剂配制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直接连接符 19"/>
                              <wps:cNvCnPr/>
                              <wps:spPr>
                                <a:xfrm rot="5400000">
                                  <a:off x="10845" y="90177"/>
                                  <a:ext cx="680" cy="1"/>
                                </a:xfrm>
                                <a:prstGeom prst="line">
                                  <a:avLst/>
                                </a:prstGeom>
                                <a:noFill/>
                                <a:ln w="25400" cap="flat" cmpd="sng" algn="ctr">
                                  <a:solidFill>
                                    <a:srgbClr val="000000"/>
                                  </a:solidFill>
                                  <a:prstDash val="solid"/>
                                  <a:tailEnd type="triangle" w="med" len="med"/>
                                </a:ln>
                                <a:effectLst>
                                  <a:outerShdw blurRad="40000" dist="20000" dir="5400000" rotWithShape="0">
                                    <a:srgbClr val="000000">
                                      <a:alpha val="38000"/>
                                    </a:srgbClr>
                                  </a:outerShdw>
                                </a:effectLst>
                              </wps:spPr>
                              <wps:bodyPr/>
                            </wps:wsp>
                            <wps:wsp>
                              <wps:cNvPr id="81" name="文本框 11"/>
                              <wps:cNvSpPr txBox="1"/>
                              <wps:spPr>
                                <a:xfrm>
                                  <a:off x="10156" y="90522"/>
                                  <a:ext cx="2040" cy="768"/>
                                </a:xfrm>
                                <a:prstGeom prst="rect">
                                  <a:avLst/>
                                </a:prstGeom>
                                <a:solidFill>
                                  <a:srgbClr val="FFFFFF"/>
                                </a:solidFill>
                                <a:ln w="6350">
                                  <a:solidFill>
                                    <a:prstClr val="black"/>
                                  </a:solidFill>
                                </a:ln>
                                <a:effectLst/>
                              </wps:spPr>
                              <wps:txbx>
                                <w:txbxContent>
                                  <w:p w14:paraId="55C9BD2A">
                                    <w:pPr>
                                      <w:jc w:val="center"/>
                                      <w:rPr>
                                        <w:rFonts w:hint="default" w:eastAsia="宋体"/>
                                        <w:sz w:val="18"/>
                                        <w:szCs w:val="18"/>
                                        <w:lang w:val="en-US" w:eastAsia="zh-CN"/>
                                      </w:rPr>
                                    </w:pPr>
                                    <w:r>
                                      <w:rPr>
                                        <w:rFonts w:hint="eastAsia"/>
                                        <w:sz w:val="18"/>
                                        <w:szCs w:val="18"/>
                                        <w:lang w:val="en-US" w:eastAsia="zh-CN"/>
                                      </w:rPr>
                                      <w:t>样品处理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2" name="直接连接符 19"/>
                              <wps:cNvCnPr/>
                              <wps:spPr>
                                <a:xfrm rot="5400000">
                                  <a:off x="10830" y="91632"/>
                                  <a:ext cx="680" cy="1"/>
                                </a:xfrm>
                                <a:prstGeom prst="line">
                                  <a:avLst/>
                                </a:prstGeom>
                                <a:noFill/>
                                <a:ln w="25400" cap="flat" cmpd="sng" algn="ctr">
                                  <a:solidFill>
                                    <a:srgbClr val="000000"/>
                                  </a:solidFill>
                                  <a:prstDash val="solid"/>
                                  <a:tailEnd type="triangle" w="med" len="med"/>
                                </a:ln>
                                <a:effectLst>
                                  <a:outerShdw blurRad="40000" dist="20000" dir="5400000" rotWithShape="0">
                                    <a:srgbClr val="000000">
                                      <a:alpha val="38000"/>
                                    </a:srgbClr>
                                  </a:outerShdw>
                                </a:effectLst>
                              </wps:spPr>
                              <wps:bodyPr/>
                            </wps:wsp>
                            <wps:wsp>
                              <wps:cNvPr id="104" name="文本框 11"/>
                              <wps:cNvSpPr txBox="1"/>
                              <wps:spPr>
                                <a:xfrm>
                                  <a:off x="10305" y="91977"/>
                                  <a:ext cx="1697" cy="768"/>
                                </a:xfrm>
                                <a:prstGeom prst="rect">
                                  <a:avLst/>
                                </a:prstGeom>
                                <a:solidFill>
                                  <a:srgbClr val="FFFFFF"/>
                                </a:solidFill>
                                <a:ln w="6350">
                                  <a:solidFill>
                                    <a:prstClr val="black"/>
                                  </a:solidFill>
                                </a:ln>
                                <a:effectLst/>
                              </wps:spPr>
                              <wps:txbx>
                                <w:txbxContent>
                                  <w:p w14:paraId="29C9F81C">
                                    <w:pPr>
                                      <w:jc w:val="center"/>
                                      <w:rPr>
                                        <w:sz w:val="18"/>
                                        <w:szCs w:val="18"/>
                                      </w:rPr>
                                    </w:pPr>
                                  </w:p>
                                  <w:p w14:paraId="305E5096">
                                    <w:pPr>
                                      <w:jc w:val="center"/>
                                      <w:rPr>
                                        <w:rFonts w:hint="eastAsia" w:eastAsia="宋体"/>
                                        <w:sz w:val="18"/>
                                        <w:szCs w:val="18"/>
                                        <w:lang w:val="en-US" w:eastAsia="zh-CN"/>
                                      </w:rPr>
                                    </w:pPr>
                                    <w:r>
                                      <w:rPr>
                                        <w:rFonts w:hint="eastAsia"/>
                                        <w:sz w:val="18"/>
                                        <w:szCs w:val="18"/>
                                        <w:lang w:val="en-US" w:eastAsia="zh-CN"/>
                                      </w:rPr>
                                      <w:t>检测</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6" name="直接连接符 19"/>
                              <wps:cNvCnPr/>
                              <wps:spPr>
                                <a:xfrm rot="5400000">
                                  <a:off x="10830" y="93087"/>
                                  <a:ext cx="680" cy="1"/>
                                </a:xfrm>
                                <a:prstGeom prst="line">
                                  <a:avLst/>
                                </a:prstGeom>
                                <a:noFill/>
                                <a:ln w="25400" cap="flat" cmpd="sng" algn="ctr">
                                  <a:solidFill>
                                    <a:srgbClr val="000000"/>
                                  </a:solidFill>
                                  <a:prstDash val="solid"/>
                                  <a:tailEnd type="triangle" w="med" len="med"/>
                                </a:ln>
                                <a:effectLst>
                                  <a:outerShdw blurRad="40000" dist="20000" dir="5400000" rotWithShape="0">
                                    <a:srgbClr val="000000">
                                      <a:alpha val="38000"/>
                                    </a:srgbClr>
                                  </a:outerShdw>
                                </a:effectLst>
                              </wps:spPr>
                              <wps:bodyPr/>
                            </wps:wsp>
                            <wps:wsp>
                              <wps:cNvPr id="158" name="文本框 11"/>
                              <wps:cNvSpPr txBox="1"/>
                              <wps:spPr>
                                <a:xfrm>
                                  <a:off x="10455" y="93417"/>
                                  <a:ext cx="1417" cy="768"/>
                                </a:xfrm>
                                <a:prstGeom prst="rect">
                                  <a:avLst/>
                                </a:prstGeom>
                                <a:solidFill>
                                  <a:srgbClr val="FFFFFF"/>
                                </a:solidFill>
                                <a:ln w="6350">
                                  <a:solidFill>
                                    <a:prstClr val="black"/>
                                  </a:solidFill>
                                </a:ln>
                                <a:effectLst/>
                              </wps:spPr>
                              <wps:txbx>
                                <w:txbxContent>
                                  <w:p w14:paraId="6C691335">
                                    <w:pPr>
                                      <w:jc w:val="center"/>
                                      <w:rPr>
                                        <w:sz w:val="18"/>
                                        <w:szCs w:val="18"/>
                                      </w:rPr>
                                    </w:pPr>
                                  </w:p>
                                  <w:p w14:paraId="6D63BE27">
                                    <w:pPr>
                                      <w:jc w:val="center"/>
                                      <w:rPr>
                                        <w:sz w:val="18"/>
                                        <w:szCs w:val="18"/>
                                      </w:rPr>
                                    </w:pPr>
                                    <w:r>
                                      <w:rPr>
                                        <w:rFonts w:hint="eastAsia"/>
                                        <w:sz w:val="18"/>
                                        <w:szCs w:val="18"/>
                                      </w:rPr>
                                      <w:t>数据处理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直接连接符 19"/>
                              <wps:cNvCnPr/>
                              <wps:spPr>
                                <a:xfrm rot="5400000">
                                  <a:off x="10830" y="94527"/>
                                  <a:ext cx="680" cy="1"/>
                                </a:xfrm>
                                <a:prstGeom prst="line">
                                  <a:avLst/>
                                </a:prstGeom>
                                <a:noFill/>
                                <a:ln w="25400" cap="flat" cmpd="sng" algn="ctr">
                                  <a:solidFill>
                                    <a:srgbClr val="000000"/>
                                  </a:solidFill>
                                  <a:prstDash val="solid"/>
                                  <a:tailEnd type="triangle" w="med" len="med"/>
                                </a:ln>
                                <a:effectLst>
                                  <a:outerShdw blurRad="40000" dist="20000" dir="5400000" rotWithShape="0">
                                    <a:srgbClr val="000000">
                                      <a:alpha val="38000"/>
                                    </a:srgbClr>
                                  </a:outerShdw>
                                </a:effectLst>
                              </wps:spPr>
                              <wps:bodyPr/>
                            </wps:wsp>
                            <wps:wsp>
                              <wps:cNvPr id="160" name="文本框 11"/>
                              <wps:cNvSpPr txBox="1"/>
                              <wps:spPr>
                                <a:xfrm>
                                  <a:off x="10455" y="94857"/>
                                  <a:ext cx="1417" cy="768"/>
                                </a:xfrm>
                                <a:prstGeom prst="rect">
                                  <a:avLst/>
                                </a:prstGeom>
                                <a:solidFill>
                                  <a:srgbClr val="FFFFFF"/>
                                </a:solidFill>
                                <a:ln w="6350">
                                  <a:solidFill>
                                    <a:prstClr val="black"/>
                                  </a:solidFill>
                                </a:ln>
                                <a:effectLst/>
                              </wps:spPr>
                              <wps:txbx>
                                <w:txbxContent>
                                  <w:p w14:paraId="35DF2DDC">
                                    <w:pPr>
                                      <w:jc w:val="center"/>
                                      <w:rPr>
                                        <w:sz w:val="18"/>
                                        <w:szCs w:val="18"/>
                                      </w:rPr>
                                    </w:pPr>
                                  </w:p>
                                  <w:p w14:paraId="6F2232C3">
                                    <w:pPr>
                                      <w:jc w:val="center"/>
                                      <w:rPr>
                                        <w:sz w:val="18"/>
                                        <w:szCs w:val="18"/>
                                      </w:rPr>
                                    </w:pPr>
                                    <w:r>
                                      <w:rPr>
                                        <w:rFonts w:hint="eastAsia"/>
                                        <w:sz w:val="18"/>
                                        <w:szCs w:val="18"/>
                                      </w:rPr>
                                      <w:t>报告编制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1" name="文本框 11"/>
                              <wps:cNvSpPr txBox="1"/>
                              <wps:spPr>
                                <a:xfrm>
                                  <a:off x="13245" y="90267"/>
                                  <a:ext cx="1814" cy="567"/>
                                </a:xfrm>
                                <a:prstGeom prst="rect">
                                  <a:avLst/>
                                </a:prstGeom>
                                <a:solidFill>
                                  <a:srgbClr val="FFFFFF"/>
                                </a:solidFill>
                                <a:ln w="12700" cmpd="sng">
                                  <a:solidFill>
                                    <a:srgbClr val="000000"/>
                                  </a:solidFill>
                                  <a:prstDash val="lgDash"/>
                                </a:ln>
                                <a:effectLst/>
                              </wps:spPr>
                              <wps:txbx>
                                <w:txbxContent>
                                  <w:p w14:paraId="06B00821">
                                    <w:pPr>
                                      <w:jc w:val="center"/>
                                      <w:rPr>
                                        <w:color w:val="000000"/>
                                        <w:sz w:val="18"/>
                                        <w:szCs w:val="18"/>
                                      </w:rPr>
                                    </w:pPr>
                                    <w:r>
                                      <w:rPr>
                                        <w:rFonts w:hint="eastAsia"/>
                                        <w:color w:val="000000"/>
                                        <w:sz w:val="18"/>
                                        <w:szCs w:val="18"/>
                                      </w:rPr>
                                      <w:t>酸碱</w:t>
                                    </w:r>
                                    <w:r>
                                      <w:rPr>
                                        <w:rFonts w:hint="eastAsia"/>
                                        <w:color w:val="000000"/>
                                        <w:sz w:val="18"/>
                                        <w:szCs w:val="18"/>
                                        <w:lang w:val="en-US" w:eastAsia="zh-CN"/>
                                      </w:rPr>
                                      <w:t>无机</w:t>
                                    </w:r>
                                    <w:r>
                                      <w:rPr>
                                        <w:rFonts w:hint="eastAsia"/>
                                        <w:color w:val="000000"/>
                                        <w:sz w:val="18"/>
                                        <w:szCs w:val="18"/>
                                      </w:rPr>
                                      <w:t>废气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2" name="文本框 11"/>
                              <wps:cNvSpPr txBox="1"/>
                              <wps:spPr>
                                <a:xfrm>
                                  <a:off x="13230" y="90927"/>
                                  <a:ext cx="1814" cy="567"/>
                                </a:xfrm>
                                <a:prstGeom prst="rect">
                                  <a:avLst/>
                                </a:prstGeom>
                                <a:solidFill>
                                  <a:srgbClr val="FFFFFF"/>
                                </a:solidFill>
                                <a:ln w="12700" cmpd="sng">
                                  <a:solidFill>
                                    <a:srgbClr val="000000"/>
                                  </a:solidFill>
                                  <a:prstDash val="lgDash"/>
                                </a:ln>
                                <a:effectLst/>
                              </wps:spPr>
                              <wps:txbx>
                                <w:txbxContent>
                                  <w:p w14:paraId="679C33AF">
                                    <w:pPr>
                                      <w:jc w:val="center"/>
                                      <w:rPr>
                                        <w:sz w:val="18"/>
                                        <w:szCs w:val="18"/>
                                      </w:rPr>
                                    </w:pPr>
                                    <w:r>
                                      <w:rPr>
                                        <w:rFonts w:hint="eastAsia"/>
                                        <w:color w:val="000000"/>
                                        <w:sz w:val="18"/>
                                        <w:szCs w:val="18"/>
                                      </w:rPr>
                                      <w:t>噪声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3" name="直接连接符 23"/>
                              <wps:cNvCnPr/>
                              <wps:spPr>
                                <a:xfrm>
                                  <a:off x="12540" y="91212"/>
                                  <a:ext cx="680" cy="1"/>
                                </a:xfrm>
                                <a:prstGeom prst="line">
                                  <a:avLst/>
                                </a:prstGeom>
                                <a:noFill/>
                                <a:ln w="12700" cap="flat" cmpd="sng" algn="ctr">
                                  <a:solidFill>
                                    <a:srgbClr val="000000"/>
                                  </a:solidFill>
                                  <a:prstDash val="lgDash"/>
                                  <a:tailEnd type="triangle" w="med" len="med"/>
                                </a:ln>
                                <a:effectLst>
                                  <a:outerShdw blurRad="40000" dist="20000" dir="5400000" rotWithShape="0">
                                    <a:srgbClr val="000000">
                                      <a:alpha val="38000"/>
                                    </a:srgbClr>
                                  </a:outerShdw>
                                </a:effectLst>
                              </wps:spPr>
                              <wps:bodyPr/>
                            </wps:wsp>
                            <wps:wsp>
                              <wps:cNvPr id="164" name="直接连接符 23"/>
                              <wps:cNvCnPr/>
                              <wps:spPr>
                                <a:xfrm>
                                  <a:off x="12540" y="91872"/>
                                  <a:ext cx="680" cy="1"/>
                                </a:xfrm>
                                <a:prstGeom prst="line">
                                  <a:avLst/>
                                </a:prstGeom>
                                <a:noFill/>
                                <a:ln w="12700" cap="flat" cmpd="sng" algn="ctr">
                                  <a:solidFill>
                                    <a:srgbClr val="000000"/>
                                  </a:solidFill>
                                  <a:prstDash val="lgDash"/>
                                  <a:tailEnd type="triangle" w="med" len="med"/>
                                </a:ln>
                                <a:effectLst>
                                  <a:outerShdw blurRad="40000" dist="20000" dir="5400000" rotWithShape="0">
                                    <a:srgbClr val="000000">
                                      <a:alpha val="38000"/>
                                    </a:srgbClr>
                                  </a:outerShdw>
                                </a:effectLst>
                              </wps:spPr>
                              <wps:bodyPr/>
                            </wps:wsp>
                            <wps:wsp>
                              <wps:cNvPr id="165" name="文本框 11"/>
                              <wps:cNvSpPr txBox="1"/>
                              <wps:spPr>
                                <a:xfrm>
                                  <a:off x="13230" y="91564"/>
                                  <a:ext cx="2551" cy="626"/>
                                </a:xfrm>
                                <a:prstGeom prst="rect">
                                  <a:avLst/>
                                </a:prstGeom>
                                <a:solidFill>
                                  <a:srgbClr val="FFFFFF"/>
                                </a:solidFill>
                                <a:ln w="12700" cmpd="sng">
                                  <a:solidFill>
                                    <a:srgbClr val="000000"/>
                                  </a:solidFill>
                                  <a:prstDash val="lgDash"/>
                                </a:ln>
                                <a:effectLst/>
                              </wps:spPr>
                              <wps:txbx>
                                <w:txbxContent>
                                  <w:p w14:paraId="1B44EA82">
                                    <w:pPr>
                                      <w:jc w:val="center"/>
                                      <w:rPr>
                                        <w:rFonts w:hint="default" w:eastAsia="宋体"/>
                                        <w:color w:val="000000"/>
                                        <w:sz w:val="18"/>
                                        <w:szCs w:val="18"/>
                                        <w:lang w:val="en-US" w:eastAsia="zh-CN"/>
                                      </w:rPr>
                                    </w:pPr>
                                    <w:r>
                                      <w:rPr>
                                        <w:rFonts w:hint="eastAsia"/>
                                        <w:sz w:val="18"/>
                                        <w:szCs w:val="18"/>
                                        <w:lang w:val="en-US" w:eastAsia="zh-CN"/>
                                      </w:rPr>
                                      <w:t>未沾染化学试剂</w:t>
                                    </w:r>
                                    <w:r>
                                      <w:rPr>
                                        <w:rFonts w:hint="eastAsia"/>
                                        <w:sz w:val="18"/>
                                        <w:szCs w:val="18"/>
                                      </w:rPr>
                                      <w:t>的废包装物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6" name="文本框 11"/>
                              <wps:cNvSpPr txBox="1"/>
                              <wps:spPr>
                                <a:xfrm>
                                  <a:off x="13215" y="92247"/>
                                  <a:ext cx="2551" cy="1417"/>
                                </a:xfrm>
                                <a:prstGeom prst="rect">
                                  <a:avLst/>
                                </a:prstGeom>
                                <a:solidFill>
                                  <a:srgbClr val="FFFFFF"/>
                                </a:solidFill>
                                <a:ln w="12700" cmpd="sng">
                                  <a:solidFill>
                                    <a:srgbClr val="000000"/>
                                  </a:solidFill>
                                  <a:prstDash val="lgDash"/>
                                </a:ln>
                                <a:effectLst/>
                              </wps:spPr>
                              <wps:txbx>
                                <w:txbxContent>
                                  <w:p w14:paraId="190FCDD2">
                                    <w:pPr>
                                      <w:jc w:val="both"/>
                                      <w:rPr>
                                        <w:rFonts w:hint="default"/>
                                        <w:lang w:val="en-US"/>
                                      </w:rPr>
                                    </w:pPr>
                                    <w:r>
                                      <w:rPr>
                                        <w:rFonts w:hint="eastAsia" w:eastAsia="宋体"/>
                                        <w:sz w:val="18"/>
                                        <w:szCs w:val="18"/>
                                        <w:lang w:val="en-US" w:eastAsia="zh-CN"/>
                                      </w:rPr>
                                      <w:t>废试剂瓶、废试剂、</w:t>
                                    </w:r>
                                    <w:r>
                                      <w:rPr>
                                        <w:rFonts w:hint="eastAsia"/>
                                        <w:sz w:val="18"/>
                                        <w:szCs w:val="18"/>
                                        <w:lang w:val="en-US" w:eastAsia="zh-CN"/>
                                      </w:rPr>
                                      <w:t>废一次性实验耗材</w:t>
                                    </w:r>
                                    <w:r>
                                      <w:rPr>
                                        <w:rFonts w:hint="eastAsia" w:eastAsia="宋体"/>
                                        <w:sz w:val="18"/>
                                        <w:szCs w:val="18"/>
                                        <w:lang w:val="en-US" w:eastAsia="zh-CN"/>
                                      </w:rPr>
                                      <w:t>、废培养基、检测废液、清洗废液、废活性炭</w:t>
                                    </w:r>
                                    <w:r>
                                      <w:rPr>
                                        <w:rFonts w:hint="eastAsia"/>
                                        <w:sz w:val="18"/>
                                        <w:szCs w:val="18"/>
                                        <w:lang w:val="en-US" w:eastAsia="zh-CN"/>
                                      </w:rPr>
                                      <w:t>、废吸附剂、</w:t>
                                    </w:r>
                                    <w:r>
                                      <w:rPr>
                                        <w:rFonts w:hint="eastAsia" w:eastAsia="宋体"/>
                                        <w:sz w:val="18"/>
                                        <w:szCs w:val="18"/>
                                        <w:lang w:val="en-US" w:eastAsia="zh-CN"/>
                                      </w:rPr>
                                      <w:t>废样品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7" name="直接连接符 23"/>
                              <wps:cNvCnPr/>
                              <wps:spPr>
                                <a:xfrm>
                                  <a:off x="12555" y="92817"/>
                                  <a:ext cx="680" cy="1"/>
                                </a:xfrm>
                                <a:prstGeom prst="line">
                                  <a:avLst/>
                                </a:prstGeom>
                                <a:noFill/>
                                <a:ln w="12700" cap="flat" cmpd="sng" algn="ctr">
                                  <a:solidFill>
                                    <a:srgbClr val="000000"/>
                                  </a:solidFill>
                                  <a:prstDash val="lgDash"/>
                                  <a:tailEnd type="triangle" w="med" len="med"/>
                                </a:ln>
                                <a:effectLst>
                                  <a:outerShdw blurRad="40000" dist="20000" dir="5400000" rotWithShape="0">
                                    <a:srgbClr val="000000">
                                      <a:alpha val="38000"/>
                                    </a:srgbClr>
                                  </a:outerShdw>
                                </a:effectLst>
                              </wps:spPr>
                              <wps:bodyPr/>
                            </wps:wsp>
                            <wps:wsp>
                              <wps:cNvPr id="168" name="直接连接符 23"/>
                              <wps:cNvCnPr>
                                <a:endCxn id="68" idx="1"/>
                              </wps:cNvCnPr>
                              <wps:spPr>
                                <a:xfrm flipV="1">
                                  <a:off x="12556" y="89876"/>
                                  <a:ext cx="674" cy="304"/>
                                </a:xfrm>
                                <a:prstGeom prst="line">
                                  <a:avLst/>
                                </a:prstGeom>
                                <a:noFill/>
                                <a:ln w="12700" cap="flat" cmpd="sng" algn="ctr">
                                  <a:solidFill>
                                    <a:srgbClr val="000000"/>
                                  </a:solidFill>
                                  <a:prstDash val="lgDash"/>
                                  <a:tailEnd type="triangle" w="med" len="med"/>
                                </a:ln>
                                <a:effectLst>
                                  <a:outerShdw blurRad="40000" dist="20000" dir="5400000" rotWithShape="0">
                                    <a:srgbClr val="000000">
                                      <a:alpha val="38000"/>
                                    </a:srgbClr>
                                  </a:outerShdw>
                                </a:effectLst>
                              </wps:spPr>
                              <wps:bodyPr/>
                            </wps:wsp>
                            <wps:wsp>
                              <wps:cNvPr id="169" name="直接连接符 23"/>
                              <wps:cNvCnPr>
                                <a:endCxn id="170" idx="1"/>
                              </wps:cNvCnPr>
                              <wps:spPr>
                                <a:xfrm>
                                  <a:off x="12556" y="93277"/>
                                  <a:ext cx="673" cy="923"/>
                                </a:xfrm>
                                <a:prstGeom prst="line">
                                  <a:avLst/>
                                </a:prstGeom>
                                <a:noFill/>
                                <a:ln w="12700" cap="flat" cmpd="sng" algn="ctr">
                                  <a:solidFill>
                                    <a:srgbClr val="000000"/>
                                  </a:solidFill>
                                  <a:prstDash val="lgDash"/>
                                  <a:tailEnd type="triangle" w="med" len="med"/>
                                </a:ln>
                                <a:effectLst>
                                  <a:outerShdw blurRad="40000" dist="20000" dir="5400000" rotWithShape="0">
                                    <a:srgbClr val="000000">
                                      <a:alpha val="38000"/>
                                    </a:srgbClr>
                                  </a:outerShdw>
                                </a:effectLst>
                              </wps:spPr>
                              <wps:bodyPr/>
                            </wps:wsp>
                            <wps:wsp>
                              <wps:cNvPr id="170" name="文本框 11"/>
                              <wps:cNvSpPr txBox="1"/>
                              <wps:spPr>
                                <a:xfrm>
                                  <a:off x="13229" y="93722"/>
                                  <a:ext cx="2551" cy="956"/>
                                </a:xfrm>
                                <a:prstGeom prst="rect">
                                  <a:avLst/>
                                </a:prstGeom>
                                <a:solidFill>
                                  <a:srgbClr val="FFFFFF"/>
                                </a:solidFill>
                                <a:ln w="12700" cmpd="sng">
                                  <a:solidFill>
                                    <a:srgbClr val="000000"/>
                                  </a:solidFill>
                                  <a:prstDash val="lgDash"/>
                                </a:ln>
                                <a:effectLst/>
                              </wps:spPr>
                              <wps:txbx>
                                <w:txbxContent>
                                  <w:p w14:paraId="615378E2">
                                    <w:pPr>
                                      <w:jc w:val="both"/>
                                      <w:rPr>
                                        <w:rFonts w:hint="default" w:eastAsia="宋体"/>
                                        <w:sz w:val="18"/>
                                        <w:szCs w:val="18"/>
                                        <w:lang w:val="en-US" w:eastAsia="zh-CN"/>
                                      </w:rPr>
                                    </w:pPr>
                                    <w:r>
                                      <w:rPr>
                                        <w:rFonts w:hint="eastAsia" w:eastAsia="宋体"/>
                                        <w:sz w:val="18"/>
                                        <w:szCs w:val="18"/>
                                        <w:lang w:val="en-US" w:eastAsia="zh-CN"/>
                                      </w:rPr>
                                      <w:t>容器第三次及以后清洗废水、高压蒸汽灭菌废水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1" name="文本框 11"/>
                              <wps:cNvSpPr txBox="1"/>
                              <wps:spPr>
                                <a:xfrm>
                                  <a:off x="13230" y="89592"/>
                                  <a:ext cx="1814" cy="567"/>
                                </a:xfrm>
                                <a:prstGeom prst="rect">
                                  <a:avLst/>
                                </a:prstGeom>
                                <a:solidFill>
                                  <a:srgbClr val="FFFFFF"/>
                                </a:solidFill>
                                <a:ln w="12700" cmpd="sng">
                                  <a:solidFill>
                                    <a:srgbClr val="000000"/>
                                  </a:solidFill>
                                  <a:prstDash val="lgDash"/>
                                </a:ln>
                                <a:effectLst/>
                              </wps:spPr>
                              <wps:txbx>
                                <w:txbxContent>
                                  <w:p w14:paraId="62FAF400">
                                    <w:pPr>
                                      <w:jc w:val="center"/>
                                      <w:rPr>
                                        <w:color w:val="000000"/>
                                        <w:sz w:val="18"/>
                                        <w:szCs w:val="18"/>
                                      </w:rPr>
                                    </w:pPr>
                                    <w:r>
                                      <w:rPr>
                                        <w:rFonts w:hint="eastAsia"/>
                                        <w:color w:val="000000"/>
                                        <w:sz w:val="18"/>
                                        <w:szCs w:val="18"/>
                                      </w:rPr>
                                      <w:t>有机废气</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4.95pt;margin-top:13.15pt;height:360.85pt;width:298.55pt;mso-wrap-distance-bottom:0pt;mso-wrap-distance-top:0pt;z-index:251666432;mso-width-relative:page;mso-height-relative:page;" coordorigin="9810,87753" coordsize="5971,7872" o:gfxdata="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MZJoD3aAAAACQEAAA8AAAAAAAAAAQAgAAAAIgAAAGRycy9kb3ducmV2LnhtbFBLAQIUABQAAAAI&#10;AIdO4kC9SkRPCgcAALRHAAAOAAAAAAAAAAEAIAAAACkBAABkcnMvZTJvRG9jLnhtbFBLBQYAAAAA&#10;BgAGAFkBAAClCgAAAAA=&#10;">
                      <o:lock v:ext="edit" aspectratio="f"/>
                      <v:shape id="文本框 11" o:spid="_x0000_s1026" o:spt="202" type="#_x0000_t202" style="position:absolute;left:9810;top:88908;height:4227;width:2731;v-text-anchor:middle;" fillcolor="#FFFFFF" filled="t" stroked="t" coordsize="21600,21600" o:gfxdata="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Zdtr4A&#10;AADbAAAADwAAAAAAAAABACAAAAAiAAAAZHJzL2Rvd25yZXYueG1sUEsBAhQAFAAAAAgAh07iQDMv&#10;BZ47AAAAOQAAABAAAAAAAAAAAQAgAAAADQEAAGRycy9zaGFwZXhtbC54bWxQSwUGAAAAAAYABgBb&#10;AQAAtwMAAAAA&#10;">
                        <v:fill on="t" focussize="0,0"/>
                        <v:stroke weight="1pt" color="#000000" joinstyle="round" dashstyle="longDash"/>
                        <v:imagedata o:title=""/>
                        <o:lock v:ext="edit" aspectratio="f"/>
                        <v:textbox>
                          <w:txbxContent>
                            <w:p w14:paraId="7B71691D">
                              <w:pPr>
                                <w:jc w:val="center"/>
                                <w:rPr>
                                  <w:color w:val="000000"/>
                                  <w:sz w:val="18"/>
                                  <w:szCs w:val="18"/>
                                </w:rPr>
                              </w:pPr>
                            </w:p>
                          </w:txbxContent>
                        </v:textbox>
                      </v:shape>
                      <v:shape id="文本框 11" o:spid="_x0000_s1026" o:spt="202" type="#_x0000_t202" style="position:absolute;left:10223;top:87753;height:585;width:1830;v-text-anchor:middle;" fillcolor="#FFFFFF" filled="t" stroked="t" coordsize="21600,21600" o:gfxdata="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6Gh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03753318">
                              <w:pPr>
                                <w:ind w:firstLine="180" w:firstLineChars="100"/>
                                <w:jc w:val="both"/>
                                <w:rPr>
                                  <w:rFonts w:hint="default" w:eastAsia="宋体"/>
                                  <w:sz w:val="18"/>
                                  <w:szCs w:val="18"/>
                                  <w:lang w:val="en-US" w:eastAsia="zh-CN"/>
                                </w:rPr>
                              </w:pPr>
                              <w:r>
                                <w:rPr>
                                  <w:rFonts w:hint="eastAsia"/>
                                  <w:sz w:val="18"/>
                                  <w:szCs w:val="18"/>
                                  <w:lang w:val="en-US" w:eastAsia="zh-CN"/>
                                </w:rPr>
                                <w:t>样品采集与保存</w:t>
                              </w:r>
                            </w:p>
                          </w:txbxContent>
                        </v:textbox>
                      </v:shape>
                      <v:line id="直接连接符 19" o:spid="_x0000_s1026" o:spt="20" style="position:absolute;left:10845;top:88722;height:1;width:680;rotation:5898240f;" filled="f" stroked="t" coordsize="21600,21600" o:gfxdata="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ZKKvQAA&#10;ANsAAAAPAAAAAAAAAAEAIAAAACIAAABkcnMvZG93bnJldi54bWxQSwECFAAUAAAACACHTuJAMy8F&#10;njsAAAA5AAAAEAAAAAAAAAABACAAAAAMAQAAZHJzL3NoYXBleG1sLnhtbFBLBQYAAAAABgAGAFsB&#10;AAC2AwAAAAA=&#10;">
                        <v:fill on="f" focussize="0,0"/>
                        <v:stroke weight="2pt" color="#000000" joinstyle="round" endarrow="block"/>
                        <v:imagedata o:title=""/>
                        <o:lock v:ext="edit" aspectratio="f"/>
                        <v:shadow on="t" color="#000000" opacity="24903f" offset="0pt,1.5748031496063pt" origin="0f,32768f" matrix="65536f,0f,0f,65536f"/>
                      </v:line>
                      <v:line id="直接连接符 23" o:spid="_x0000_s1026" o:spt="20" style="position:absolute;left:12555;top:90582;height:1;width:680;" filled="f" stroked="t" coordsize="21600,21600" o:gfxdata="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pENb4A&#10;AADbAAAADwAAAAAAAAABACAAAAAiAAAAZHJzL2Rvd25yZXYueG1sUEsBAhQAFAAAAAgAh07iQDMv&#10;BZ47AAAAOQAAABAAAAAAAAAAAQAgAAAADQEAAGRycy9zaGFwZXhtbC54bWxQSwUGAAAAAAYABgBb&#10;AQAAtwMAAAAA&#10;">
                        <v:fill on="f" focussize="0,0"/>
                        <v:stroke weight="1pt" color="#000000" joinstyle="round" dashstyle="longDash" endarrow="block"/>
                        <v:imagedata o:title=""/>
                        <o:lock v:ext="edit" aspectratio="f"/>
                        <v:shadow on="t" color="#000000" opacity="24903f" offset="0pt,1.5748031496063pt" origin="0f,32768f" matrix="65536f,0f,0f,65536f"/>
                      </v:line>
                      <v:shape id="文本框 11" o:spid="_x0000_s1026" o:spt="202" type="#_x0000_t202" style="position:absolute;left:10320;top:89067;height:768;width:1697;v-text-anchor:middle;" fillcolor="#FFFFFF" filled="t" stroked="t" coordsize="21600,21600" o:gfxdata="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WOdW8AAAA&#10;2wAAAA8AAAAAAAAAAQAgAAAAIgAAAGRycy9kb3ducmV2LnhtbFBLAQIUABQAAAAIAIdO4kAzLwWe&#10;OwAAADkAAAAQAAAAAAAAAAEAIAAAAAsBAABkcnMvc2hhcGV4bWwueG1sUEsFBgAAAAAGAAYAWwEA&#10;ALUDAAAAAA==&#10;">
                        <v:fill on="t" focussize="0,0"/>
                        <v:stroke weight="0.5pt" color="#000000" joinstyle="round"/>
                        <v:imagedata o:title=""/>
                        <o:lock v:ext="edit" aspectratio="f"/>
                        <v:textbox>
                          <w:txbxContent>
                            <w:p w14:paraId="2BABA41D">
                              <w:pPr>
                                <w:jc w:val="center"/>
                                <w:rPr>
                                  <w:rFonts w:hint="default" w:eastAsia="宋体"/>
                                  <w:sz w:val="18"/>
                                  <w:szCs w:val="18"/>
                                  <w:lang w:val="en-US" w:eastAsia="zh-CN"/>
                                </w:rPr>
                              </w:pPr>
                              <w:r>
                                <w:rPr>
                                  <w:rFonts w:hint="eastAsia"/>
                                  <w:sz w:val="18"/>
                                  <w:szCs w:val="18"/>
                                  <w:lang w:val="en-US" w:eastAsia="zh-CN"/>
                                </w:rPr>
                                <w:t>试剂配制</w:t>
                              </w:r>
                            </w:p>
                          </w:txbxContent>
                        </v:textbox>
                      </v:shape>
                      <v:line id="直接连接符 19" o:spid="_x0000_s1026" o:spt="20" style="position:absolute;left:10845;top:90177;height:1;width:680;rotation:5898240f;" filled="f" stroked="t" coordsize="21600,21600" o:gfxdata="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vLZQbUAAADbAAAADwAA&#10;AAAAAAABACAAAAAiAAAAZHJzL2Rvd25yZXYueG1sUEsBAhQAFAAAAAgAh07iQDMvBZ47AAAAOQAA&#10;ABAAAAAAAAAAAQAgAAAABAEAAGRycy9zaGFwZXhtbC54bWxQSwUGAAAAAAYABgBbAQAArgMAAAAA&#10;">
                        <v:fill on="f" focussize="0,0"/>
                        <v:stroke weight="2pt" color="#000000" joinstyle="round" endarrow="block"/>
                        <v:imagedata o:title=""/>
                        <o:lock v:ext="edit" aspectratio="f"/>
                        <v:shadow on="t" color="#000000" opacity="24903f" offset="0pt,1.5748031496063pt" origin="0f,32768f" matrix="65536f,0f,0f,65536f"/>
                      </v:line>
                      <v:shape id="文本框 11" o:spid="_x0000_s1026" o:spt="202" type="#_x0000_t202" style="position:absolute;left:10156;top:90522;height:768;width:2040;v-text-anchor:middle;" fillcolor="#FFFFFF" filled="t" stroked="t" coordsize="21600,21600" o:gfxdata="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atGGvQAA&#10;ANsAAAAPAAAAAAAAAAEAIAAAACIAAABkcnMvZG93bnJldi54bWxQSwECFAAUAAAACACHTuJAMy8F&#10;njsAAAA5AAAAEAAAAAAAAAABACAAAAAMAQAAZHJzL3NoYXBleG1sLnhtbFBLBQYAAAAABgAGAFsB&#10;AAC2AwAAAAA=&#10;">
                        <v:fill on="t" focussize="0,0"/>
                        <v:stroke weight="0.5pt" color="#000000" joinstyle="round"/>
                        <v:imagedata o:title=""/>
                        <o:lock v:ext="edit" aspectratio="f"/>
                        <v:textbox>
                          <w:txbxContent>
                            <w:p w14:paraId="55C9BD2A">
                              <w:pPr>
                                <w:jc w:val="center"/>
                                <w:rPr>
                                  <w:rFonts w:hint="default" w:eastAsia="宋体"/>
                                  <w:sz w:val="18"/>
                                  <w:szCs w:val="18"/>
                                  <w:lang w:val="en-US" w:eastAsia="zh-CN"/>
                                </w:rPr>
                              </w:pPr>
                              <w:r>
                                <w:rPr>
                                  <w:rFonts w:hint="eastAsia"/>
                                  <w:sz w:val="18"/>
                                  <w:szCs w:val="18"/>
                                  <w:lang w:val="en-US" w:eastAsia="zh-CN"/>
                                </w:rPr>
                                <w:t>样品处理</w:t>
                              </w:r>
                            </w:p>
                          </w:txbxContent>
                        </v:textbox>
                      </v:shape>
                      <v:line id="直接连接符 19" o:spid="_x0000_s1026" o:spt="20" style="position:absolute;left:10830;top:91632;height:1;width:680;rotation:5898240f;" filled="f" stroked="t" coordsize="21600,21600" o:gfxdata="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YXcVugAAANwA&#10;AAAPAAAAAAAAAAEAIAAAACIAAABkcnMvZG93bnJldi54bWxQSwECFAAUAAAACACHTuJAMy8FnjsA&#10;AAA5AAAAEAAAAAAAAAABACAAAAAJAQAAZHJzL3NoYXBleG1sLnhtbFBLBQYAAAAABgAGAFsBAACz&#10;AwAAAAA=&#10;">
                        <v:fill on="f" focussize="0,0"/>
                        <v:stroke weight="2pt" color="#000000" joinstyle="round" endarrow="block"/>
                        <v:imagedata o:title=""/>
                        <o:lock v:ext="edit" aspectratio="f"/>
                        <v:shadow on="t" color="#000000" opacity="24903f" offset="0pt,1.5748031496063pt" origin="0f,32768f" matrix="65536f,0f,0f,65536f"/>
                      </v:line>
                      <v:shape id="文本框 11" o:spid="_x0000_s1026" o:spt="202" type="#_x0000_t202" style="position:absolute;left:10305;top:91977;height:768;width:1697;v-text-anchor:middle;" fillcolor="#FFFFFF" filled="t" stroked="t" coordsize="21600,21600" o:gfxdata="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F9nrsAAADc&#10;AAAADwAAAAAAAAABACAAAAAiAAAAZHJzL2Rvd25yZXYueG1sUEsBAhQAFAAAAAgAh07iQDMvBZ47&#10;AAAAOQAAABAAAAAAAAAAAQAgAAAACgEAAGRycy9zaGFwZXhtbC54bWxQSwUGAAAAAAYABgBbAQAA&#10;tAMAAAAA&#10;">
                        <v:fill on="t" focussize="0,0"/>
                        <v:stroke weight="0.5pt" color="#000000" joinstyle="round"/>
                        <v:imagedata o:title=""/>
                        <o:lock v:ext="edit" aspectratio="f"/>
                        <v:textbox>
                          <w:txbxContent>
                            <w:p w14:paraId="29C9F81C">
                              <w:pPr>
                                <w:jc w:val="center"/>
                                <w:rPr>
                                  <w:sz w:val="18"/>
                                  <w:szCs w:val="18"/>
                                </w:rPr>
                              </w:pPr>
                            </w:p>
                            <w:p w14:paraId="305E5096">
                              <w:pPr>
                                <w:jc w:val="center"/>
                                <w:rPr>
                                  <w:rFonts w:hint="eastAsia" w:eastAsia="宋体"/>
                                  <w:sz w:val="18"/>
                                  <w:szCs w:val="18"/>
                                  <w:lang w:val="en-US" w:eastAsia="zh-CN"/>
                                </w:rPr>
                              </w:pPr>
                              <w:r>
                                <w:rPr>
                                  <w:rFonts w:hint="eastAsia"/>
                                  <w:sz w:val="18"/>
                                  <w:szCs w:val="18"/>
                                  <w:lang w:val="en-US" w:eastAsia="zh-CN"/>
                                </w:rPr>
                                <w:t>检测</w:t>
                              </w:r>
                            </w:p>
                          </w:txbxContent>
                        </v:textbox>
                      </v:shape>
                      <v:line id="直接连接符 19" o:spid="_x0000_s1026" o:spt="20" style="position:absolute;left:10830;top:93087;height:1;width:680;rotation:5898240f;" filled="f" stroked="t" coordsize="21600,21600" o:gfxdata="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WnEWugAAANwA&#10;AAAPAAAAAAAAAAEAIAAAACIAAABkcnMvZG93bnJldi54bWxQSwECFAAUAAAACACHTuJAMy8FnjsA&#10;AAA5AAAAEAAAAAAAAAABACAAAAAJAQAAZHJzL3NoYXBleG1sLnhtbFBLBQYAAAAABgAGAFsBAACz&#10;AwAAAAA=&#10;">
                        <v:fill on="f" focussize="0,0"/>
                        <v:stroke weight="2pt" color="#000000" joinstyle="round" endarrow="block"/>
                        <v:imagedata o:title=""/>
                        <o:lock v:ext="edit" aspectratio="f"/>
                        <v:shadow on="t" color="#000000" opacity="24903f" offset="0pt,1.5748031496063pt" origin="0f,32768f" matrix="65536f,0f,0f,65536f"/>
                      </v:line>
                      <v:shape id="文本框 11" o:spid="_x0000_s1026" o:spt="202" type="#_x0000_t202" style="position:absolute;left:10455;top:93417;height:768;width:1417;v-text-anchor:middle;" fillcolor="#FFFFFF" filled="t" stroked="t" coordsize="21600,21600" o:gfxdata="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9Yhr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6C691335">
                              <w:pPr>
                                <w:jc w:val="center"/>
                                <w:rPr>
                                  <w:sz w:val="18"/>
                                  <w:szCs w:val="18"/>
                                </w:rPr>
                              </w:pPr>
                            </w:p>
                            <w:p w14:paraId="6D63BE27">
                              <w:pPr>
                                <w:jc w:val="center"/>
                                <w:rPr>
                                  <w:sz w:val="18"/>
                                  <w:szCs w:val="18"/>
                                </w:rPr>
                              </w:pPr>
                              <w:r>
                                <w:rPr>
                                  <w:rFonts w:hint="eastAsia"/>
                                  <w:sz w:val="18"/>
                                  <w:szCs w:val="18"/>
                                </w:rPr>
                                <w:t>数据处理</w:t>
                              </w:r>
                            </w:p>
                          </w:txbxContent>
                        </v:textbox>
                      </v:shape>
                      <v:line id="直接连接符 19" o:spid="_x0000_s1026" o:spt="20" style="position:absolute;left:10830;top:94527;height:1;width:680;rotation:5898240f;" filled="f" stroked="t" coordsize="21600,21600" o:gfxdata="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2ynm8AAAA&#10;3AAAAA8AAAAAAAAAAQAgAAAAIgAAAGRycy9kb3ducmV2LnhtbFBLAQIUABQAAAAIAIdO4kAzLwWe&#10;OwAAADkAAAAQAAAAAAAAAAEAIAAAAAsBAABkcnMvc2hhcGV4bWwueG1sUEsFBgAAAAAGAAYAWwEA&#10;ALUDAAAAAA==&#10;">
                        <v:fill on="f" focussize="0,0"/>
                        <v:stroke weight="2pt" color="#000000" joinstyle="round" endarrow="block"/>
                        <v:imagedata o:title=""/>
                        <o:lock v:ext="edit" aspectratio="f"/>
                        <v:shadow on="t" color="#000000" opacity="24903f" offset="0pt,1.5748031496063pt" origin="0f,32768f" matrix="65536f,0f,0f,65536f"/>
                      </v:line>
                      <v:shape id="文本框 11" o:spid="_x0000_s1026" o:spt="202" type="#_x0000_t202" style="position:absolute;left:10455;top:94857;height:768;width:1417;v-text-anchor:middle;" fillcolor="#FFFFFF" filled="t" stroked="t" coordsize="21600,21600" o:gfxdata="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WePb4A&#10;AADcAAAADwAAAAAAAAABACAAAAAiAAAAZHJzL2Rvd25yZXYueG1sUEsBAhQAFAAAAAgAh07iQDMv&#10;BZ47AAAAOQAAABAAAAAAAAAAAQAgAAAADQEAAGRycy9zaGFwZXhtbC54bWxQSwUGAAAAAAYABgBb&#10;AQAAtwMAAAAA&#10;">
                        <v:fill on="t" focussize="0,0"/>
                        <v:stroke weight="0.5pt" color="#000000" joinstyle="round"/>
                        <v:imagedata o:title=""/>
                        <o:lock v:ext="edit" aspectratio="f"/>
                        <v:textbox>
                          <w:txbxContent>
                            <w:p w14:paraId="35DF2DDC">
                              <w:pPr>
                                <w:jc w:val="center"/>
                                <w:rPr>
                                  <w:sz w:val="18"/>
                                  <w:szCs w:val="18"/>
                                </w:rPr>
                              </w:pPr>
                            </w:p>
                            <w:p w14:paraId="6F2232C3">
                              <w:pPr>
                                <w:jc w:val="center"/>
                                <w:rPr>
                                  <w:sz w:val="18"/>
                                  <w:szCs w:val="18"/>
                                </w:rPr>
                              </w:pPr>
                              <w:r>
                                <w:rPr>
                                  <w:rFonts w:hint="eastAsia"/>
                                  <w:sz w:val="18"/>
                                  <w:szCs w:val="18"/>
                                </w:rPr>
                                <w:t>报告编制</w:t>
                              </w:r>
                            </w:p>
                          </w:txbxContent>
                        </v:textbox>
                      </v:shape>
                      <v:shape id="文本框 11" o:spid="_x0000_s1026" o:spt="202" type="#_x0000_t202" style="position:absolute;left:13245;top:90267;height:567;width:1814;v-text-anchor:middle;" fillcolor="#FFFFFF" filled="t" stroked="t" coordsize="21600,21600" o:gfxdata="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zZMO8AAAA&#10;3AAAAA8AAAAAAAAAAQAgAAAAIgAAAGRycy9kb3ducmV2LnhtbFBLAQIUABQAAAAIAIdO4kAzLwWe&#10;OwAAADkAAAAQAAAAAAAAAAEAIAAAAAsBAABkcnMvc2hhcGV4bWwueG1sUEsFBgAAAAAGAAYAWwEA&#10;ALUDAAAAAA==&#10;">
                        <v:fill on="t" focussize="0,0"/>
                        <v:stroke weight="1pt" color="#000000" joinstyle="round" dashstyle="longDash"/>
                        <v:imagedata o:title=""/>
                        <o:lock v:ext="edit" aspectratio="f"/>
                        <v:textbox>
                          <w:txbxContent>
                            <w:p w14:paraId="06B00821">
                              <w:pPr>
                                <w:jc w:val="center"/>
                                <w:rPr>
                                  <w:color w:val="000000"/>
                                  <w:sz w:val="18"/>
                                  <w:szCs w:val="18"/>
                                </w:rPr>
                              </w:pPr>
                              <w:r>
                                <w:rPr>
                                  <w:rFonts w:hint="eastAsia"/>
                                  <w:color w:val="000000"/>
                                  <w:sz w:val="18"/>
                                  <w:szCs w:val="18"/>
                                </w:rPr>
                                <w:t>酸碱</w:t>
                              </w:r>
                              <w:r>
                                <w:rPr>
                                  <w:rFonts w:hint="eastAsia"/>
                                  <w:color w:val="000000"/>
                                  <w:sz w:val="18"/>
                                  <w:szCs w:val="18"/>
                                  <w:lang w:val="en-US" w:eastAsia="zh-CN"/>
                                </w:rPr>
                                <w:t>无机</w:t>
                              </w:r>
                              <w:r>
                                <w:rPr>
                                  <w:rFonts w:hint="eastAsia"/>
                                  <w:color w:val="000000"/>
                                  <w:sz w:val="18"/>
                                  <w:szCs w:val="18"/>
                                </w:rPr>
                                <w:t>废气</w:t>
                              </w:r>
                            </w:p>
                          </w:txbxContent>
                        </v:textbox>
                      </v:shape>
                      <v:shape id="文本框 11" o:spid="_x0000_s1026" o:spt="202" type="#_x0000_t202" style="position:absolute;left:13230;top:90927;height:567;width:1814;v-text-anchor:middle;" fillcolor="#FFFFFF" filled="t" stroked="t" coordsize="21600,21600" o:gfxdata="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h+rS8AAAA&#10;3AAAAA8AAAAAAAAAAQAgAAAAIgAAAGRycy9kb3ducmV2LnhtbFBLAQIUABQAAAAIAIdO4kAzLwWe&#10;OwAAADkAAAAQAAAAAAAAAAEAIAAAAAsBAABkcnMvc2hhcGV4bWwueG1sUEsFBgAAAAAGAAYAWwEA&#10;ALUDAAAAAA==&#10;">
                        <v:fill on="t" focussize="0,0"/>
                        <v:stroke weight="1pt" color="#000000" joinstyle="round" dashstyle="longDash"/>
                        <v:imagedata o:title=""/>
                        <o:lock v:ext="edit" aspectratio="f"/>
                        <v:textbox>
                          <w:txbxContent>
                            <w:p w14:paraId="679C33AF">
                              <w:pPr>
                                <w:jc w:val="center"/>
                                <w:rPr>
                                  <w:sz w:val="18"/>
                                  <w:szCs w:val="18"/>
                                </w:rPr>
                              </w:pPr>
                              <w:r>
                                <w:rPr>
                                  <w:rFonts w:hint="eastAsia"/>
                                  <w:color w:val="000000"/>
                                  <w:sz w:val="18"/>
                                  <w:szCs w:val="18"/>
                                </w:rPr>
                                <w:t>噪声</w:t>
                              </w:r>
                            </w:p>
                          </w:txbxContent>
                        </v:textbox>
                      </v:shape>
                      <v:line id="直接连接符 23" o:spid="_x0000_s1026" o:spt="20" style="position:absolute;left:12540;top:91212;height:1;width:680;" filled="f" stroked="t" coordsize="21600,21600" o:gfxdata="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VRdlvQAA&#10;ANwAAAAPAAAAAAAAAAEAIAAAACIAAABkcnMvZG93bnJldi54bWxQSwECFAAUAAAACACHTuJAMy8F&#10;njsAAAA5AAAAEAAAAAAAAAABACAAAAAMAQAAZHJzL3NoYXBleG1sLnhtbFBLBQYAAAAABgAGAFsB&#10;AAC2AwAAAAA=&#10;">
                        <v:fill on="f" focussize="0,0"/>
                        <v:stroke weight="1pt" color="#000000" joinstyle="round" dashstyle="longDash" endarrow="block"/>
                        <v:imagedata o:title=""/>
                        <o:lock v:ext="edit" aspectratio="f"/>
                        <v:shadow on="t" color="#000000" opacity="24903f" offset="0pt,1.5748031496063pt" origin="0f,32768f" matrix="65536f,0f,0f,65536f"/>
                      </v:line>
                      <v:line id="直接连接符 23" o:spid="_x0000_s1026" o:spt="20" style="position:absolute;left:12540;top:91872;height:1;width:680;" filled="f" stroked="t" coordsize="21600,21600" o:gfxdata="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8jxG8AAAA&#10;3AAAAA8AAAAAAAAAAQAgAAAAIgAAAGRycy9kb3ducmV2LnhtbFBLAQIUABQAAAAIAIdO4kAzLwWe&#10;OwAAADkAAAAQAAAAAAAAAAEAIAAAAAsBAABkcnMvc2hhcGV4bWwueG1sUEsFBgAAAAAGAAYAWwEA&#10;ALUDAAAAAA==&#10;">
                        <v:fill on="f" focussize="0,0"/>
                        <v:stroke weight="1pt" color="#000000" joinstyle="round" dashstyle="longDash" endarrow="block"/>
                        <v:imagedata o:title=""/>
                        <o:lock v:ext="edit" aspectratio="f"/>
                        <v:shadow on="t" color="#000000" opacity="24903f" offset="0pt,1.5748031496063pt" origin="0f,32768f" matrix="65536f,0f,0f,65536f"/>
                      </v:line>
                      <v:shape id="文本框 11" o:spid="_x0000_s1026" o:spt="202" type="#_x0000_t202" style="position:absolute;left:13230;top:91564;height:626;width:2551;v-text-anchor:middle;" fillcolor="#FFFFFF" filled="t" stroked="t" coordsize="21600,21600" o:gfxdata="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GLAvQAA&#10;ANwAAAAPAAAAAAAAAAEAIAAAACIAAABkcnMvZG93bnJldi54bWxQSwECFAAUAAAACACHTuJAMy8F&#10;njsAAAA5AAAAEAAAAAAAAAABACAAAAAMAQAAZHJzL3NoYXBleG1sLnhtbFBLBQYAAAAABgAGAFsB&#10;AAC2AwAAAAA=&#10;">
                        <v:fill on="t" focussize="0,0"/>
                        <v:stroke weight="1pt" color="#000000" joinstyle="round" dashstyle="longDash"/>
                        <v:imagedata o:title=""/>
                        <o:lock v:ext="edit" aspectratio="f"/>
                        <v:textbox>
                          <w:txbxContent>
                            <w:p w14:paraId="1B44EA82">
                              <w:pPr>
                                <w:jc w:val="center"/>
                                <w:rPr>
                                  <w:rFonts w:hint="default" w:eastAsia="宋体"/>
                                  <w:color w:val="000000"/>
                                  <w:sz w:val="18"/>
                                  <w:szCs w:val="18"/>
                                  <w:lang w:val="en-US" w:eastAsia="zh-CN"/>
                                </w:rPr>
                              </w:pPr>
                              <w:r>
                                <w:rPr>
                                  <w:rFonts w:hint="eastAsia"/>
                                  <w:sz w:val="18"/>
                                  <w:szCs w:val="18"/>
                                  <w:lang w:val="en-US" w:eastAsia="zh-CN"/>
                                </w:rPr>
                                <w:t>未沾染化学试剂</w:t>
                              </w:r>
                              <w:r>
                                <w:rPr>
                                  <w:rFonts w:hint="eastAsia"/>
                                  <w:sz w:val="18"/>
                                  <w:szCs w:val="18"/>
                                </w:rPr>
                                <w:t>的废包装物</w:t>
                              </w:r>
                            </w:p>
                          </w:txbxContent>
                        </v:textbox>
                      </v:shape>
                      <v:shape id="文本框 11" o:spid="_x0000_s1026" o:spt="202" type="#_x0000_t202" style="position:absolute;left:13215;top:92247;height:1417;width:2551;v-text-anchor:middle;" fillcolor="#FFFFFF" filled="t" stroked="t" coordsize="21600,21600" o:gfxdata="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a/Le8AAAA&#10;3AAAAA8AAAAAAAAAAQAgAAAAIgAAAGRycy9kb3ducmV2LnhtbFBLAQIUABQAAAAIAIdO4kAzLwWe&#10;OwAAADkAAAAQAAAAAAAAAAEAIAAAAAsBAABkcnMvc2hhcGV4bWwueG1sUEsFBgAAAAAGAAYAWwEA&#10;ALUDAAAAAA==&#10;">
                        <v:fill on="t" focussize="0,0"/>
                        <v:stroke weight="1pt" color="#000000" joinstyle="round" dashstyle="longDash"/>
                        <v:imagedata o:title=""/>
                        <o:lock v:ext="edit" aspectratio="f"/>
                        <v:textbox>
                          <w:txbxContent>
                            <w:p w14:paraId="190FCDD2">
                              <w:pPr>
                                <w:jc w:val="both"/>
                                <w:rPr>
                                  <w:rFonts w:hint="default"/>
                                  <w:lang w:val="en-US"/>
                                </w:rPr>
                              </w:pPr>
                              <w:r>
                                <w:rPr>
                                  <w:rFonts w:hint="eastAsia" w:eastAsia="宋体"/>
                                  <w:sz w:val="18"/>
                                  <w:szCs w:val="18"/>
                                  <w:lang w:val="en-US" w:eastAsia="zh-CN"/>
                                </w:rPr>
                                <w:t>废试剂瓶、废试剂、</w:t>
                              </w:r>
                              <w:r>
                                <w:rPr>
                                  <w:rFonts w:hint="eastAsia"/>
                                  <w:sz w:val="18"/>
                                  <w:szCs w:val="18"/>
                                  <w:lang w:val="en-US" w:eastAsia="zh-CN"/>
                                </w:rPr>
                                <w:t>废一次性实验耗材</w:t>
                              </w:r>
                              <w:r>
                                <w:rPr>
                                  <w:rFonts w:hint="eastAsia" w:eastAsia="宋体"/>
                                  <w:sz w:val="18"/>
                                  <w:szCs w:val="18"/>
                                  <w:lang w:val="en-US" w:eastAsia="zh-CN"/>
                                </w:rPr>
                                <w:t>、废培养基、检测废液、清洗废液、废活性炭</w:t>
                              </w:r>
                              <w:r>
                                <w:rPr>
                                  <w:rFonts w:hint="eastAsia"/>
                                  <w:sz w:val="18"/>
                                  <w:szCs w:val="18"/>
                                  <w:lang w:val="en-US" w:eastAsia="zh-CN"/>
                                </w:rPr>
                                <w:t>、废吸附剂、</w:t>
                              </w:r>
                              <w:r>
                                <w:rPr>
                                  <w:rFonts w:hint="eastAsia" w:eastAsia="宋体"/>
                                  <w:sz w:val="18"/>
                                  <w:szCs w:val="18"/>
                                  <w:lang w:val="en-US" w:eastAsia="zh-CN"/>
                                </w:rPr>
                                <w:t>废样品</w:t>
                              </w:r>
                            </w:p>
                          </w:txbxContent>
                        </v:textbox>
                      </v:shape>
                      <v:line id="直接连接符 23" o:spid="_x0000_s1026" o:spt="20" style="position:absolute;left:12555;top:92817;height:1;width:680;" filled="f" stroked="t" coordsize="21600,21600" o:gfxdata="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bhFmvQAA&#10;ANwAAAAPAAAAAAAAAAEAIAAAACIAAABkcnMvZG93bnJldi54bWxQSwECFAAUAAAACACHTuJAMy8F&#10;njsAAAA5AAAAEAAAAAAAAAABACAAAAAMAQAAZHJzL3NoYXBleG1sLnhtbFBLBQYAAAAABgAGAFsB&#10;AAC2AwAAAAA=&#10;">
                        <v:fill on="f" focussize="0,0"/>
                        <v:stroke weight="1pt" color="#000000" joinstyle="round" dashstyle="longDash" endarrow="block"/>
                        <v:imagedata o:title=""/>
                        <o:lock v:ext="edit" aspectratio="f"/>
                        <v:shadow on="t" color="#000000" opacity="24903f" offset="0pt,1.5748031496063pt" origin="0f,32768f" matrix="65536f,0f,0f,65536f"/>
                      </v:line>
                      <v:line id="直接连接符 23" o:spid="_x0000_s1026" o:spt="20" style="position:absolute;left:12556;top:89876;flip:y;height:304;width:674;" filled="f" stroked="t" coordsize="21600,21600" o:gfxdata="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1Mn&#10;wAAAANwAAAAPAAAAAAAAAAEAIAAAACIAAABkcnMvZG93bnJldi54bWxQSwECFAAUAAAACACHTuJA&#10;My8FnjsAAAA5AAAAEAAAAAAAAAABACAAAAAPAQAAZHJzL3NoYXBleG1sLnhtbFBLBQYAAAAABgAG&#10;AFsBAAC5AwAAAAA=&#10;">
                        <v:fill on="f" focussize="0,0"/>
                        <v:stroke weight="1pt" color="#000000" joinstyle="round" dashstyle="longDash" endarrow="block"/>
                        <v:imagedata o:title=""/>
                        <o:lock v:ext="edit" aspectratio="f"/>
                        <v:shadow on="t" color="#000000" opacity="24903f" offset="0pt,1.5748031496063pt" origin="0f,32768f" matrix="65536f,0f,0f,65536f"/>
                      </v:line>
                      <v:line id="直接连接符 23" o:spid="_x0000_s1026" o:spt="20" style="position:absolute;left:12556;top:93277;height:923;width:673;" filled="f" stroked="t" coordsize="21600,21600" o:gfxdata="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SCPvQAA&#10;ANwAAAAPAAAAAAAAAAEAIAAAACIAAABkcnMvZG93bnJldi54bWxQSwECFAAUAAAACACHTuJAMy8F&#10;njsAAAA5AAAAEAAAAAAAAAABACAAAAAMAQAAZHJzL3NoYXBleG1sLnhtbFBLBQYAAAAABgAGAFsB&#10;AAC2AwAAAAA=&#10;">
                        <v:fill on="f" focussize="0,0"/>
                        <v:stroke weight="1pt" color="#000000" joinstyle="round" dashstyle="longDash" endarrow="block"/>
                        <v:imagedata o:title=""/>
                        <o:lock v:ext="edit" aspectratio="f"/>
                        <v:shadow on="t" color="#000000" opacity="24903f" offset="0pt,1.5748031496063pt" origin="0f,32768f" matrix="65536f,0f,0f,65536f"/>
                      </v:line>
                      <v:shape id="文本框 11" o:spid="_x0000_s1026" o:spt="202" type="#_x0000_t202" style="position:absolute;left:13229;top:93722;height:956;width:2551;v-text-anchor:middle;" fillcolor="#FFFFFF" filled="t" stroked="t" coordsize="21600,21600" o:gfxdata="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JleF&#10;wAAAANwAAAAPAAAAAAAAAAEAIAAAACIAAABkcnMvZG93bnJldi54bWxQSwECFAAUAAAACACHTuJA&#10;My8FnjsAAAA5AAAAEAAAAAAAAAABACAAAAAPAQAAZHJzL3NoYXBleG1sLnhtbFBLBQYAAAAABgAG&#10;AFsBAAC5AwAAAAA=&#10;">
                        <v:fill on="t" focussize="0,0"/>
                        <v:stroke weight="1pt" color="#000000" joinstyle="round" dashstyle="longDash"/>
                        <v:imagedata o:title=""/>
                        <o:lock v:ext="edit" aspectratio="f"/>
                        <v:textbox>
                          <w:txbxContent>
                            <w:p w14:paraId="615378E2">
                              <w:pPr>
                                <w:jc w:val="both"/>
                                <w:rPr>
                                  <w:rFonts w:hint="default" w:eastAsia="宋体"/>
                                  <w:sz w:val="18"/>
                                  <w:szCs w:val="18"/>
                                  <w:lang w:val="en-US" w:eastAsia="zh-CN"/>
                                </w:rPr>
                              </w:pPr>
                              <w:r>
                                <w:rPr>
                                  <w:rFonts w:hint="eastAsia" w:eastAsia="宋体"/>
                                  <w:sz w:val="18"/>
                                  <w:szCs w:val="18"/>
                                  <w:lang w:val="en-US" w:eastAsia="zh-CN"/>
                                </w:rPr>
                                <w:t>容器第三次及以后清洗废水、高压蒸汽灭菌废水</w:t>
                              </w:r>
                            </w:p>
                          </w:txbxContent>
                        </v:textbox>
                      </v:shape>
                      <v:shape id="文本框 11" o:spid="_x0000_s1026" o:spt="202" type="#_x0000_t202" style="position:absolute;left:13230;top:89592;height:567;width:1814;v-text-anchor:middle;" fillcolor="#FFFFFF" filled="t" stroked="t" coordsize="21600,21600" o:gfxdata="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q8h68AAAA&#10;3AAAAA8AAAAAAAAAAQAgAAAAIgAAAGRycy9kb3ducmV2LnhtbFBLAQIUABQAAAAIAIdO4kAzLwWe&#10;OwAAADkAAAAQAAAAAAAAAAEAIAAAAAsBAABkcnMvc2hhcGV4bWwueG1sUEsFBgAAAAAGAAYAWwEA&#10;ALUDAAAAAA==&#10;">
                        <v:fill on="t" focussize="0,0"/>
                        <v:stroke weight="1pt" color="#000000" joinstyle="round" dashstyle="longDash"/>
                        <v:imagedata o:title=""/>
                        <o:lock v:ext="edit" aspectratio="f"/>
                        <v:textbox>
                          <w:txbxContent>
                            <w:p w14:paraId="62FAF400">
                              <w:pPr>
                                <w:jc w:val="center"/>
                                <w:rPr>
                                  <w:color w:val="000000"/>
                                  <w:sz w:val="18"/>
                                  <w:szCs w:val="18"/>
                                </w:rPr>
                              </w:pPr>
                              <w:r>
                                <w:rPr>
                                  <w:rFonts w:hint="eastAsia"/>
                                  <w:color w:val="000000"/>
                                  <w:sz w:val="18"/>
                                  <w:szCs w:val="18"/>
                                </w:rPr>
                                <w:t>有机废气</w:t>
                              </w:r>
                            </w:p>
                          </w:txbxContent>
                        </v:textbox>
                      </v:shape>
                      <w10:wrap type="topAndBottom"/>
                    </v:group>
                  </w:pict>
                </mc:Fallback>
              </mc:AlternateContent>
            </w:r>
            <w:r>
              <w:rPr>
                <w:rFonts w:hint="eastAsia" w:cs="Times New Roman"/>
                <w:b/>
                <w:bCs/>
                <w:color w:val="auto"/>
                <w:sz w:val="24"/>
                <w:szCs w:val="32"/>
                <w:highlight w:val="none"/>
                <w:lang w:val="en-US" w:eastAsia="zh-CN"/>
              </w:rPr>
              <w:t>运营期检测</w:t>
            </w:r>
            <w:r>
              <w:rPr>
                <w:rFonts w:hint="default" w:ascii="Times New Roman" w:hAnsi="Times New Roman" w:eastAsia="宋体" w:cs="Times New Roman"/>
                <w:b/>
                <w:bCs/>
                <w:color w:val="auto"/>
                <w:sz w:val="24"/>
                <w:szCs w:val="32"/>
                <w:highlight w:val="none"/>
              </w:rPr>
              <w:t>流程及产污节点图</w:t>
            </w:r>
          </w:p>
          <w:p w14:paraId="63FED2F1">
            <w:pPr>
              <w:numPr>
                <w:ilvl w:val="0"/>
                <w:numId w:val="18"/>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水质类检测</w:t>
            </w:r>
          </w:p>
          <w:p w14:paraId="04634B2C">
            <w:pPr>
              <w:numPr>
                <w:ilvl w:val="0"/>
                <w:numId w:val="19"/>
              </w:numPr>
              <w:adjustRightInd w:val="0"/>
              <w:snapToGrid w:val="0"/>
              <w:spacing w:line="360" w:lineRule="auto"/>
              <w:ind w:left="0" w:leftChars="0" w:firstLine="482" w:firstLineChars="200"/>
              <w:rPr>
                <w:rFonts w:hint="default" w:cs="Times New Roman"/>
                <w:b/>
                <w:bCs w:val="0"/>
                <w:color w:val="auto"/>
                <w:sz w:val="24"/>
                <w:highlight w:val="none"/>
                <w:lang w:val="en-US" w:eastAsia="zh-CN"/>
              </w:rPr>
            </w:pPr>
            <w:r>
              <w:rPr>
                <w:rFonts w:hint="eastAsia" w:cs="Times New Roman"/>
                <w:b/>
                <w:bCs w:val="0"/>
                <w:color w:val="auto"/>
                <w:sz w:val="24"/>
                <w:highlight w:val="none"/>
                <w:lang w:val="en-US" w:eastAsia="zh-CN"/>
              </w:rPr>
              <w:t>分光光度法</w:t>
            </w:r>
          </w:p>
          <w:p w14:paraId="3D01B7E4">
            <w:pPr>
              <w:numPr>
                <w:ilvl w:val="0"/>
                <w:numId w:val="0"/>
              </w:numPr>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eastAsia" w:cs="Times New Roman"/>
                <w:b w:val="0"/>
                <w:bCs/>
                <w:color w:val="auto"/>
                <w:sz w:val="24"/>
                <w:highlight w:val="none"/>
                <w:lang w:val="en-US" w:eastAsia="zh-CN"/>
              </w:rPr>
              <w:t>以氨氮、总氮、总磷、甲醛</w:t>
            </w:r>
            <w:r>
              <w:rPr>
                <w:rFonts w:hint="default" w:cs="Times New Roman"/>
                <w:b w:val="0"/>
                <w:bCs/>
                <w:color w:val="auto"/>
                <w:sz w:val="24"/>
                <w:highlight w:val="none"/>
                <w:lang w:val="en-US" w:eastAsia="zh-CN"/>
              </w:rPr>
              <w:t>的测定为典型的产污环节</w:t>
            </w:r>
            <w:r>
              <w:rPr>
                <w:rFonts w:hint="eastAsia" w:cs="Times New Roman"/>
                <w:b w:val="0"/>
                <w:bCs/>
                <w:color w:val="auto"/>
                <w:sz w:val="24"/>
                <w:highlight w:val="none"/>
                <w:lang w:val="en-US" w:eastAsia="zh-CN"/>
              </w:rPr>
              <w:t>。</w:t>
            </w:r>
          </w:p>
          <w:p w14:paraId="5E2BEF83">
            <w:pPr>
              <w:numPr>
                <w:ilvl w:val="0"/>
                <w:numId w:val="0"/>
              </w:numPr>
              <w:adjustRightInd w:val="0"/>
              <w:snapToGrid w:val="0"/>
              <w:spacing w:line="360" w:lineRule="auto"/>
              <w:ind w:firstLine="482"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eastAsia" w:cs="Times New Roman"/>
                <w:b w:val="0"/>
                <w:bCs/>
                <w:color w:val="auto"/>
                <w:sz w:val="24"/>
                <w:highlight w:val="none"/>
                <w:lang w:val="en-US" w:eastAsia="zh-CN"/>
              </w:rPr>
              <w:t>按照标准要求分别用</w:t>
            </w:r>
            <w:r>
              <w:rPr>
                <w:rFonts w:hint="default" w:ascii="Times New Roman" w:hAnsi="Times New Roman" w:eastAsia="宋体" w:cs="Times New Roman"/>
                <w:b w:val="0"/>
                <w:bCs/>
                <w:color w:val="auto"/>
                <w:sz w:val="24"/>
                <w:highlight w:val="none"/>
                <w:lang w:val="en-US" w:eastAsia="zh-CN"/>
              </w:rPr>
              <w:t>玻璃瓶</w:t>
            </w:r>
            <w:r>
              <w:rPr>
                <w:rFonts w:hint="eastAsia" w:cs="Times New Roman"/>
                <w:b w:val="0"/>
                <w:bCs/>
                <w:color w:val="auto"/>
                <w:sz w:val="24"/>
                <w:highlight w:val="none"/>
                <w:lang w:val="en-US" w:eastAsia="zh-CN"/>
              </w:rPr>
              <w:t>或聚乙烯瓶采集水样</w:t>
            </w:r>
            <w:r>
              <w:rPr>
                <w:rFonts w:hint="default" w:ascii="Times New Roman" w:hAnsi="Times New Roman" w:eastAsia="宋体" w:cs="Times New Roman"/>
                <w:b w:val="0"/>
                <w:bCs/>
                <w:color w:val="auto"/>
                <w:sz w:val="24"/>
                <w:highlight w:val="none"/>
                <w:lang w:val="en-US" w:eastAsia="zh-CN"/>
              </w:rPr>
              <w:t>，样品按照技术规范要求密封保存</w:t>
            </w:r>
            <w:r>
              <w:rPr>
                <w:rFonts w:hint="eastAsia" w:cs="Times New Roman"/>
                <w:b w:val="0"/>
                <w:bCs/>
                <w:color w:val="auto"/>
                <w:sz w:val="24"/>
                <w:highlight w:val="none"/>
                <w:lang w:val="en-US" w:eastAsia="zh-CN"/>
              </w:rPr>
              <w:t>待检</w:t>
            </w:r>
            <w:r>
              <w:rPr>
                <w:rFonts w:hint="default" w:ascii="Times New Roman" w:hAnsi="Times New Roman" w:eastAsia="宋体" w:cs="Times New Roman"/>
                <w:b w:val="0"/>
                <w:bCs/>
                <w:color w:val="auto"/>
                <w:sz w:val="24"/>
                <w:highlight w:val="none"/>
                <w:lang w:val="en-US" w:eastAsia="zh-CN"/>
              </w:rPr>
              <w:t>。</w:t>
            </w:r>
          </w:p>
          <w:p w14:paraId="5162D3FC">
            <w:pPr>
              <w:numPr>
                <w:ilvl w:val="0"/>
                <w:numId w:val="0"/>
              </w:numPr>
              <w:adjustRightInd w:val="0"/>
              <w:snapToGrid w:val="0"/>
              <w:spacing w:line="360" w:lineRule="auto"/>
              <w:ind w:firstLine="482"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试剂配制</w:t>
            </w:r>
            <w:r>
              <w:rPr>
                <w:rFonts w:hint="eastAsia" w:cs="Times New Roman"/>
                <w:b/>
                <w:bCs w:val="0"/>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根据</w:t>
            </w:r>
            <w:r>
              <w:rPr>
                <w:rFonts w:hint="eastAsia" w:cs="Times New Roman"/>
                <w:b w:val="0"/>
                <w:bCs/>
                <w:color w:val="auto"/>
                <w:sz w:val="24"/>
                <w:highlight w:val="none"/>
                <w:lang w:val="en-US" w:eastAsia="zh-CN"/>
              </w:rPr>
              <w:t>不同</w:t>
            </w:r>
            <w:r>
              <w:rPr>
                <w:rFonts w:hint="default" w:ascii="Times New Roman" w:hAnsi="Times New Roman" w:eastAsia="宋体" w:cs="Times New Roman"/>
                <w:b w:val="0"/>
                <w:bCs/>
                <w:color w:val="auto"/>
                <w:sz w:val="24"/>
                <w:highlight w:val="none"/>
                <w:lang w:val="en-US" w:eastAsia="zh-CN"/>
              </w:rPr>
              <w:t>检测项目</w:t>
            </w:r>
            <w:r>
              <w:rPr>
                <w:rFonts w:hint="eastAsia"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按照标准配制检测液，涉及挥发性试剂在通风橱</w:t>
            </w:r>
            <w:r>
              <w:rPr>
                <w:rFonts w:hint="eastAsia" w:cs="Times New Roman"/>
                <w:b w:val="0"/>
                <w:bCs/>
                <w:color w:val="auto"/>
                <w:sz w:val="24"/>
                <w:highlight w:val="none"/>
                <w:lang w:val="en-US" w:eastAsia="zh-CN"/>
              </w:rPr>
              <w:t>内</w:t>
            </w:r>
            <w:r>
              <w:rPr>
                <w:rFonts w:hint="default" w:ascii="Times New Roman" w:hAnsi="Times New Roman" w:eastAsia="宋体" w:cs="Times New Roman"/>
                <w:b w:val="0"/>
                <w:bCs/>
                <w:color w:val="auto"/>
                <w:sz w:val="24"/>
                <w:highlight w:val="none"/>
                <w:lang w:val="en-US" w:eastAsia="zh-CN"/>
              </w:rPr>
              <w:t>操作。</w:t>
            </w:r>
          </w:p>
          <w:p w14:paraId="5A860A1F">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过程产生挥发性有机废气</w:t>
            </w:r>
            <w:r>
              <w:rPr>
                <w:rFonts w:hint="eastAsia" w:cs="Times New Roman"/>
                <w:b/>
                <w:bCs w:val="0"/>
                <w:color w:val="auto"/>
                <w:sz w:val="24"/>
                <w:highlight w:val="none"/>
                <w:lang w:val="en-US" w:eastAsia="zh-CN"/>
              </w:rPr>
              <w:t>G1</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挥发性无机废气G2（硫酸</w:t>
            </w:r>
            <w:r>
              <w:rPr>
                <w:rFonts w:hint="default" w:ascii="Times New Roman" w:hAnsi="Times New Roman" w:eastAsia="宋体" w:cs="Times New Roman"/>
                <w:b/>
                <w:bCs w:val="0"/>
                <w:color w:val="auto"/>
                <w:sz w:val="24"/>
                <w:highlight w:val="none"/>
                <w:lang w:val="en-US" w:eastAsia="zh-CN"/>
              </w:rPr>
              <w:t>雾、氯化氢</w:t>
            </w:r>
            <w:r>
              <w:rPr>
                <w:rFonts w:hint="eastAsia" w:cs="Times New Roman"/>
                <w:b/>
                <w:bCs w:val="0"/>
                <w:color w:val="auto"/>
                <w:sz w:val="24"/>
                <w:highlight w:val="none"/>
                <w:lang w:val="en-US" w:eastAsia="zh-CN"/>
              </w:rPr>
              <w:t>、氨、硝酸雾）、清洗废液S1、清洗废水W1、废试剂瓶S2、废一次性实验耗材（废手套、废称量纸、废移液枪头等）S3。</w:t>
            </w:r>
          </w:p>
          <w:p w14:paraId="21B20987">
            <w:pPr>
              <w:numPr>
                <w:ilvl w:val="0"/>
                <w:numId w:val="0"/>
              </w:numPr>
              <w:adjustRightInd w:val="0"/>
              <w:snapToGrid w:val="0"/>
              <w:spacing w:line="360" w:lineRule="auto"/>
              <w:ind w:firstLine="482" w:firstLineChars="200"/>
              <w:rPr>
                <w:rFonts w:hint="default"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样品处理</w:t>
            </w:r>
            <w:r>
              <w:rPr>
                <w:rFonts w:hint="eastAsia" w:cs="Times New Roman"/>
                <w:b/>
                <w:bCs w:val="0"/>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根据</w:t>
            </w:r>
            <w:r>
              <w:rPr>
                <w:rFonts w:hint="eastAsia" w:cs="Times New Roman"/>
                <w:b w:val="0"/>
                <w:bCs/>
                <w:color w:val="auto"/>
                <w:sz w:val="24"/>
                <w:highlight w:val="none"/>
                <w:lang w:val="en-US" w:eastAsia="zh-CN"/>
              </w:rPr>
              <w:t>不同</w:t>
            </w:r>
            <w:r>
              <w:rPr>
                <w:rFonts w:hint="default" w:ascii="Times New Roman" w:hAnsi="Times New Roman" w:eastAsia="宋体" w:cs="Times New Roman"/>
                <w:b w:val="0"/>
                <w:bCs/>
                <w:color w:val="auto"/>
                <w:sz w:val="24"/>
                <w:highlight w:val="none"/>
                <w:lang w:val="en-US" w:eastAsia="zh-CN"/>
              </w:rPr>
              <w:t>检测项目</w:t>
            </w:r>
            <w:r>
              <w:rPr>
                <w:rFonts w:hint="eastAsia"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按照标准对样品进行处理，涉及挥发性试剂在通风橱</w:t>
            </w:r>
            <w:r>
              <w:rPr>
                <w:rFonts w:hint="eastAsia" w:cs="Times New Roman"/>
                <w:b w:val="0"/>
                <w:bCs/>
                <w:color w:val="auto"/>
                <w:sz w:val="24"/>
                <w:highlight w:val="none"/>
                <w:lang w:val="en-US" w:eastAsia="zh-CN"/>
              </w:rPr>
              <w:t>内</w:t>
            </w:r>
            <w:r>
              <w:rPr>
                <w:rFonts w:hint="default" w:ascii="Times New Roman" w:hAnsi="Times New Roman" w:eastAsia="宋体" w:cs="Times New Roman"/>
                <w:b w:val="0"/>
                <w:bCs/>
                <w:color w:val="auto"/>
                <w:sz w:val="24"/>
                <w:highlight w:val="none"/>
                <w:lang w:val="en-US" w:eastAsia="zh-CN"/>
              </w:rPr>
              <w:t>操作</w:t>
            </w:r>
            <w:r>
              <w:rPr>
                <w:rFonts w:hint="default" w:cs="Times New Roman"/>
                <w:b w:val="0"/>
                <w:bCs/>
                <w:color w:val="auto"/>
                <w:sz w:val="24"/>
                <w:highlight w:val="none"/>
                <w:lang w:val="en-US" w:eastAsia="zh-CN"/>
              </w:rPr>
              <w:t>。</w:t>
            </w:r>
          </w:p>
          <w:p w14:paraId="5295B4DD">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过程产生挥发性有机废气</w:t>
            </w:r>
            <w:r>
              <w:rPr>
                <w:rFonts w:hint="eastAsia" w:cs="Times New Roman"/>
                <w:b/>
                <w:bCs w:val="0"/>
                <w:color w:val="auto"/>
                <w:sz w:val="24"/>
                <w:highlight w:val="none"/>
                <w:lang w:val="en-US" w:eastAsia="zh-CN"/>
              </w:rPr>
              <w:t>G3</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挥发性无机废气G4（硫酸</w:t>
            </w:r>
            <w:r>
              <w:rPr>
                <w:rFonts w:hint="default" w:ascii="Times New Roman" w:hAnsi="Times New Roman" w:eastAsia="宋体" w:cs="Times New Roman"/>
                <w:b/>
                <w:bCs w:val="0"/>
                <w:color w:val="auto"/>
                <w:sz w:val="24"/>
                <w:highlight w:val="none"/>
                <w:lang w:val="en-US" w:eastAsia="zh-CN"/>
              </w:rPr>
              <w:t>雾、氯化氢</w:t>
            </w:r>
            <w:r>
              <w:rPr>
                <w:rFonts w:hint="eastAsia" w:cs="Times New Roman"/>
                <w:b/>
                <w:bCs w:val="0"/>
                <w:color w:val="auto"/>
                <w:sz w:val="24"/>
                <w:highlight w:val="none"/>
                <w:lang w:val="en-US" w:eastAsia="zh-CN"/>
              </w:rPr>
              <w:t>、氨、硝酸雾）、清洗废液S1、清洗废水W1、废一次性实验耗材（废手套等）S3。</w:t>
            </w:r>
          </w:p>
          <w:p w14:paraId="745C1312">
            <w:pPr>
              <w:numPr>
                <w:ilvl w:val="0"/>
                <w:numId w:val="0"/>
              </w:numPr>
              <w:adjustRightInd w:val="0"/>
              <w:snapToGrid w:val="0"/>
              <w:spacing w:line="360" w:lineRule="auto"/>
              <w:ind w:firstLine="482" w:firstLineChars="200"/>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上机检测</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对处理后的样品上机检测，</w:t>
            </w:r>
            <w:r>
              <w:rPr>
                <w:rFonts w:hint="eastAsia" w:cs="Times New Roman"/>
                <w:b w:val="0"/>
                <w:bCs/>
                <w:color w:val="auto"/>
                <w:sz w:val="24"/>
                <w:highlight w:val="none"/>
                <w:lang w:val="en-US" w:eastAsia="zh-CN"/>
              </w:rPr>
              <w:t>根据不同检测项目选择不同仪器条件，在一定波长下测</w:t>
            </w:r>
            <w:r>
              <w:rPr>
                <w:rFonts w:hint="default" w:cs="Times New Roman"/>
                <w:b w:val="0"/>
                <w:bCs/>
                <w:color w:val="auto"/>
                <w:sz w:val="24"/>
                <w:highlight w:val="none"/>
                <w:lang w:val="en-US" w:eastAsia="zh-CN"/>
              </w:rPr>
              <w:t>定吸光度，电脑分析数据出具报告。</w:t>
            </w:r>
          </w:p>
          <w:p w14:paraId="12AC7063">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清洗废液S1、清洗废水W1、废一次性实验耗材（废手套等）S3、检测废液S4。</w:t>
            </w:r>
          </w:p>
          <w:p w14:paraId="45A73937">
            <w:pPr>
              <w:numPr>
                <w:ilvl w:val="0"/>
                <w:numId w:val="19"/>
              </w:numPr>
              <w:adjustRightInd w:val="0"/>
              <w:snapToGrid w:val="0"/>
              <w:spacing w:line="360" w:lineRule="auto"/>
              <w:ind w:left="0" w:leftChars="0" w:firstLine="482" w:firstLineChars="200"/>
              <w:rPr>
                <w:rFonts w:hint="default" w:cs="Times New Roman"/>
                <w:b/>
                <w:bCs w:val="0"/>
                <w:color w:val="auto"/>
                <w:sz w:val="24"/>
                <w:highlight w:val="none"/>
                <w:lang w:val="en-US" w:eastAsia="zh-CN"/>
              </w:rPr>
            </w:pPr>
            <w:r>
              <w:rPr>
                <w:rFonts w:hint="default" w:cs="Times New Roman"/>
                <w:b/>
                <w:bCs w:val="0"/>
                <w:color w:val="auto"/>
                <w:sz w:val="24"/>
                <w:highlight w:val="none"/>
                <w:lang w:val="en-US" w:eastAsia="zh-CN"/>
              </w:rPr>
              <w:t>重量法</w:t>
            </w:r>
          </w:p>
          <w:p w14:paraId="4FA2FC2C">
            <w:pPr>
              <w:numPr>
                <w:ilvl w:val="0"/>
                <w:numId w:val="0"/>
              </w:numPr>
              <w:adjustRightInd w:val="0"/>
              <w:snapToGrid w:val="0"/>
              <w:spacing w:line="360" w:lineRule="auto"/>
              <w:ind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以全盐量、悬浮物的测定为典型的产污环节</w:t>
            </w:r>
            <w:r>
              <w:rPr>
                <w:rFonts w:hint="eastAsia" w:cs="Times New Roman"/>
                <w:b w:val="0"/>
                <w:bCs/>
                <w:color w:val="auto"/>
                <w:sz w:val="24"/>
                <w:highlight w:val="none"/>
                <w:lang w:val="en-US" w:eastAsia="zh-CN"/>
              </w:rPr>
              <w:t>。</w:t>
            </w:r>
          </w:p>
          <w:p w14:paraId="7FB82408">
            <w:pPr>
              <w:numPr>
                <w:ilvl w:val="0"/>
                <w:numId w:val="0"/>
              </w:numPr>
              <w:adjustRightInd w:val="0"/>
              <w:snapToGrid w:val="0"/>
              <w:spacing w:line="360" w:lineRule="auto"/>
              <w:ind w:firstLine="482"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eastAsia" w:cs="Times New Roman"/>
                <w:b w:val="0"/>
                <w:bCs/>
                <w:color w:val="auto"/>
                <w:sz w:val="24"/>
                <w:highlight w:val="none"/>
                <w:lang w:val="en-US" w:eastAsia="zh-CN"/>
              </w:rPr>
              <w:t>按照标准要求分别用</w:t>
            </w:r>
            <w:r>
              <w:rPr>
                <w:rFonts w:hint="default" w:ascii="Times New Roman" w:hAnsi="Times New Roman" w:eastAsia="宋体" w:cs="Times New Roman"/>
                <w:b w:val="0"/>
                <w:bCs/>
                <w:color w:val="auto"/>
                <w:sz w:val="24"/>
                <w:highlight w:val="none"/>
                <w:lang w:val="en-US" w:eastAsia="zh-CN"/>
              </w:rPr>
              <w:t>玻璃瓶</w:t>
            </w:r>
            <w:r>
              <w:rPr>
                <w:rFonts w:hint="eastAsia" w:cs="Times New Roman"/>
                <w:b w:val="0"/>
                <w:bCs/>
                <w:color w:val="auto"/>
                <w:sz w:val="24"/>
                <w:highlight w:val="none"/>
                <w:lang w:val="en-US" w:eastAsia="zh-CN"/>
              </w:rPr>
              <w:t>或聚乙烯瓶采集水样</w:t>
            </w:r>
            <w:r>
              <w:rPr>
                <w:rFonts w:hint="default" w:ascii="Times New Roman" w:hAnsi="Times New Roman" w:eastAsia="宋体" w:cs="Times New Roman"/>
                <w:b w:val="0"/>
                <w:bCs/>
                <w:color w:val="auto"/>
                <w:sz w:val="24"/>
                <w:highlight w:val="none"/>
                <w:lang w:val="en-US" w:eastAsia="zh-CN"/>
              </w:rPr>
              <w:t>，样品按照技术规范要求密封保存</w:t>
            </w:r>
            <w:r>
              <w:rPr>
                <w:rFonts w:hint="eastAsia" w:cs="Times New Roman"/>
                <w:b w:val="0"/>
                <w:bCs/>
                <w:color w:val="auto"/>
                <w:sz w:val="24"/>
                <w:highlight w:val="none"/>
                <w:lang w:val="en-US" w:eastAsia="zh-CN"/>
              </w:rPr>
              <w:t>待检</w:t>
            </w:r>
            <w:r>
              <w:rPr>
                <w:rFonts w:hint="default" w:ascii="Times New Roman" w:hAnsi="Times New Roman" w:eastAsia="宋体" w:cs="Times New Roman"/>
                <w:b w:val="0"/>
                <w:bCs/>
                <w:color w:val="auto"/>
                <w:sz w:val="24"/>
                <w:highlight w:val="none"/>
                <w:lang w:val="en-US" w:eastAsia="zh-CN"/>
              </w:rPr>
              <w:t>。</w:t>
            </w:r>
          </w:p>
          <w:p w14:paraId="4FFD7796">
            <w:pPr>
              <w:numPr>
                <w:ilvl w:val="0"/>
                <w:numId w:val="0"/>
              </w:numPr>
              <w:spacing w:line="360" w:lineRule="auto"/>
              <w:ind w:firstLine="482" w:firstLineChars="200"/>
              <w:jc w:val="left"/>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w:t>
            </w:r>
            <w:r>
              <w:rPr>
                <w:rFonts w:hint="eastAsia" w:cs="Times New Roman"/>
                <w:b/>
                <w:bCs w:val="0"/>
                <w:color w:val="auto"/>
                <w:sz w:val="24"/>
                <w:highlight w:val="none"/>
                <w:lang w:val="en-US" w:eastAsia="zh-CN"/>
              </w:rPr>
              <w:t>处理：</w:t>
            </w:r>
            <w:r>
              <w:rPr>
                <w:rFonts w:hint="eastAsia" w:cs="Times New Roman"/>
                <w:b w:val="0"/>
                <w:bCs/>
                <w:color w:val="auto"/>
                <w:sz w:val="24"/>
                <w:highlight w:val="none"/>
                <w:lang w:val="en-US" w:eastAsia="zh-CN"/>
              </w:rPr>
              <w:t>按照标准要求取一定量水样，选择标准要求的滤膜过滤水样</w:t>
            </w:r>
            <w:r>
              <w:rPr>
                <w:rFonts w:hint="default" w:cs="Times New Roman"/>
                <w:b w:val="0"/>
                <w:bCs/>
                <w:color w:val="auto"/>
                <w:sz w:val="24"/>
                <w:highlight w:val="none"/>
                <w:lang w:val="en-US" w:eastAsia="zh-CN"/>
              </w:rPr>
              <w:t>。</w:t>
            </w:r>
          </w:p>
          <w:p w14:paraId="0471ECA7">
            <w:pPr>
              <w:numPr>
                <w:ilvl w:val="0"/>
                <w:numId w:val="0"/>
              </w:numPr>
              <w:spacing w:line="360" w:lineRule="auto"/>
              <w:ind w:firstLine="482" w:firstLineChars="200"/>
              <w:jc w:val="left"/>
              <w:rPr>
                <w:rFonts w:hint="default" w:cs="Times New Roman"/>
                <w:b w:val="0"/>
                <w:bCs/>
                <w:color w:val="auto"/>
                <w:sz w:val="24"/>
                <w:highlight w:val="none"/>
                <w:lang w:val="en-US" w:eastAsia="zh-CN"/>
              </w:rPr>
            </w:pPr>
            <w:r>
              <w:rPr>
                <w:rFonts w:hint="eastAsia" w:cs="Times New Roman"/>
                <w:b/>
                <w:bCs w:val="0"/>
                <w:color w:val="auto"/>
                <w:sz w:val="24"/>
                <w:highlight w:val="none"/>
                <w:lang w:val="en-US" w:eastAsia="zh-CN"/>
              </w:rPr>
              <w:t>样品检测：</w:t>
            </w:r>
            <w:r>
              <w:rPr>
                <w:rFonts w:hint="eastAsia" w:cs="Times New Roman"/>
                <w:b w:val="0"/>
                <w:bCs/>
                <w:color w:val="auto"/>
                <w:sz w:val="24"/>
                <w:highlight w:val="none"/>
                <w:lang w:val="en-US" w:eastAsia="zh-CN"/>
              </w:rPr>
              <w:t>按照标准要求将过滤后的滤膜或水样蒸发，将蒸发后的滤膜或烧杯在一定温度下烘干至恒重，通过称量前后的质量差值计算待测物质的含量</w:t>
            </w:r>
            <w:r>
              <w:rPr>
                <w:rFonts w:hint="default" w:cs="Times New Roman"/>
                <w:b w:val="0"/>
                <w:bCs/>
                <w:color w:val="auto"/>
                <w:sz w:val="24"/>
                <w:highlight w:val="none"/>
                <w:lang w:val="en-US" w:eastAsia="zh-CN"/>
              </w:rPr>
              <w:t>。</w:t>
            </w:r>
          </w:p>
          <w:p w14:paraId="1DB3C60D">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清洗废液S1、清洗废水W1、废一次性实验耗材（废手套、废滤膜等）S3。</w:t>
            </w:r>
          </w:p>
          <w:p w14:paraId="566D1C1A">
            <w:pPr>
              <w:numPr>
                <w:ilvl w:val="0"/>
                <w:numId w:val="19"/>
              </w:numPr>
              <w:adjustRightInd w:val="0"/>
              <w:snapToGrid w:val="0"/>
              <w:spacing w:line="360" w:lineRule="auto"/>
              <w:ind w:left="0" w:leftChars="0" w:firstLine="482" w:firstLineChars="200"/>
              <w:rPr>
                <w:rFonts w:hint="default" w:cs="Times New Roman"/>
                <w:b/>
                <w:bCs w:val="0"/>
                <w:color w:val="auto"/>
                <w:sz w:val="24"/>
                <w:highlight w:val="none"/>
                <w:lang w:val="en-US" w:eastAsia="zh-CN"/>
              </w:rPr>
            </w:pPr>
            <w:r>
              <w:rPr>
                <w:rFonts w:hint="default" w:cs="Times New Roman"/>
                <w:b/>
                <w:bCs w:val="0"/>
                <w:color w:val="auto"/>
                <w:sz w:val="24"/>
                <w:highlight w:val="none"/>
                <w:lang w:val="en-US" w:eastAsia="zh-CN"/>
              </w:rPr>
              <w:t>滴定法</w:t>
            </w:r>
          </w:p>
          <w:p w14:paraId="724977CA">
            <w:pPr>
              <w:numPr>
                <w:ilvl w:val="0"/>
                <w:numId w:val="0"/>
              </w:numPr>
              <w:adjustRightInd w:val="0"/>
              <w:snapToGrid w:val="0"/>
              <w:spacing w:line="360" w:lineRule="auto"/>
              <w:ind w:firstLine="480" w:firstLineChars="200"/>
              <w:rPr>
                <w:rFonts w:hint="default" w:cs="Times New Roman"/>
                <w:b/>
                <w:bCs w:val="0"/>
                <w:color w:val="auto"/>
                <w:sz w:val="24"/>
                <w:highlight w:val="none"/>
                <w:lang w:val="en-US" w:eastAsia="zh-CN"/>
              </w:rPr>
            </w:pPr>
            <w:r>
              <w:rPr>
                <w:rFonts w:hint="eastAsia" w:cs="Times New Roman"/>
                <w:b w:val="0"/>
                <w:bCs/>
                <w:color w:val="auto"/>
                <w:sz w:val="24"/>
                <w:highlight w:val="none"/>
                <w:lang w:val="en-US" w:eastAsia="zh-CN"/>
              </w:rPr>
              <w:t>以COD、酸碱度等</w:t>
            </w:r>
            <w:r>
              <w:rPr>
                <w:rFonts w:hint="default" w:cs="Times New Roman"/>
                <w:b w:val="0"/>
                <w:bCs/>
                <w:color w:val="auto"/>
                <w:sz w:val="24"/>
                <w:highlight w:val="none"/>
                <w:lang w:val="en-US" w:eastAsia="zh-CN"/>
              </w:rPr>
              <w:t>的测定为典型的产污环节</w:t>
            </w:r>
            <w:r>
              <w:rPr>
                <w:rFonts w:hint="eastAsia" w:cs="Times New Roman"/>
                <w:b w:val="0"/>
                <w:bCs/>
                <w:color w:val="auto"/>
                <w:sz w:val="24"/>
                <w:highlight w:val="none"/>
                <w:lang w:val="en-US" w:eastAsia="zh-CN"/>
              </w:rPr>
              <w:t>。</w:t>
            </w:r>
          </w:p>
          <w:p w14:paraId="0A8C0C91">
            <w:pPr>
              <w:numPr>
                <w:ilvl w:val="0"/>
                <w:numId w:val="0"/>
              </w:numPr>
              <w:adjustRightInd w:val="0"/>
              <w:snapToGrid w:val="0"/>
              <w:spacing w:line="360" w:lineRule="auto"/>
              <w:ind w:firstLine="482"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eastAsia" w:cs="Times New Roman"/>
                <w:b w:val="0"/>
                <w:bCs/>
                <w:color w:val="auto"/>
                <w:sz w:val="24"/>
                <w:highlight w:val="none"/>
                <w:lang w:val="en-US" w:eastAsia="zh-CN"/>
              </w:rPr>
              <w:t>按照标准要求分别用</w:t>
            </w:r>
            <w:r>
              <w:rPr>
                <w:rFonts w:hint="default" w:ascii="Times New Roman" w:hAnsi="Times New Roman" w:eastAsia="宋体" w:cs="Times New Roman"/>
                <w:b w:val="0"/>
                <w:bCs/>
                <w:color w:val="auto"/>
                <w:sz w:val="24"/>
                <w:highlight w:val="none"/>
                <w:lang w:val="en-US" w:eastAsia="zh-CN"/>
              </w:rPr>
              <w:t>玻璃瓶</w:t>
            </w:r>
            <w:r>
              <w:rPr>
                <w:rFonts w:hint="eastAsia" w:cs="Times New Roman"/>
                <w:b w:val="0"/>
                <w:bCs/>
                <w:color w:val="auto"/>
                <w:sz w:val="24"/>
                <w:highlight w:val="none"/>
                <w:lang w:val="en-US" w:eastAsia="zh-CN"/>
              </w:rPr>
              <w:t>或聚四氟乙烯瓶采集水样</w:t>
            </w:r>
            <w:r>
              <w:rPr>
                <w:rFonts w:hint="default" w:ascii="Times New Roman" w:hAnsi="Times New Roman" w:eastAsia="宋体" w:cs="Times New Roman"/>
                <w:b w:val="0"/>
                <w:bCs/>
                <w:color w:val="auto"/>
                <w:sz w:val="24"/>
                <w:highlight w:val="none"/>
                <w:lang w:val="en-US" w:eastAsia="zh-CN"/>
              </w:rPr>
              <w:t>，样品按照技术规范要求密封保存</w:t>
            </w:r>
            <w:r>
              <w:rPr>
                <w:rFonts w:hint="eastAsia" w:cs="Times New Roman"/>
                <w:b w:val="0"/>
                <w:bCs/>
                <w:color w:val="auto"/>
                <w:sz w:val="24"/>
                <w:highlight w:val="none"/>
                <w:lang w:val="en-US" w:eastAsia="zh-CN"/>
              </w:rPr>
              <w:t>待检</w:t>
            </w:r>
            <w:r>
              <w:rPr>
                <w:rFonts w:hint="default" w:ascii="Times New Roman" w:hAnsi="Times New Roman" w:eastAsia="宋体" w:cs="Times New Roman"/>
                <w:b w:val="0"/>
                <w:bCs/>
                <w:color w:val="auto"/>
                <w:sz w:val="24"/>
                <w:highlight w:val="none"/>
                <w:lang w:val="en-US" w:eastAsia="zh-CN"/>
              </w:rPr>
              <w:t>。</w:t>
            </w:r>
          </w:p>
          <w:p w14:paraId="5108DAB4">
            <w:pPr>
              <w:numPr>
                <w:ilvl w:val="0"/>
                <w:numId w:val="0"/>
              </w:numPr>
              <w:adjustRightInd w:val="0"/>
              <w:snapToGrid w:val="0"/>
              <w:spacing w:line="360" w:lineRule="auto"/>
              <w:ind w:firstLine="482"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试剂配制</w:t>
            </w:r>
            <w:r>
              <w:rPr>
                <w:rFonts w:hint="eastAsia" w:cs="Times New Roman"/>
                <w:b/>
                <w:bCs w:val="0"/>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根据</w:t>
            </w:r>
            <w:r>
              <w:rPr>
                <w:rFonts w:hint="eastAsia" w:cs="Times New Roman"/>
                <w:b w:val="0"/>
                <w:bCs/>
                <w:color w:val="auto"/>
                <w:sz w:val="24"/>
                <w:highlight w:val="none"/>
                <w:lang w:val="en-US" w:eastAsia="zh-CN"/>
              </w:rPr>
              <w:t>不同</w:t>
            </w:r>
            <w:r>
              <w:rPr>
                <w:rFonts w:hint="default" w:ascii="Times New Roman" w:hAnsi="Times New Roman" w:eastAsia="宋体" w:cs="Times New Roman"/>
                <w:b w:val="0"/>
                <w:bCs/>
                <w:color w:val="auto"/>
                <w:sz w:val="24"/>
                <w:highlight w:val="none"/>
                <w:lang w:val="en-US" w:eastAsia="zh-CN"/>
              </w:rPr>
              <w:t>检测项目</w:t>
            </w:r>
            <w:r>
              <w:rPr>
                <w:rFonts w:hint="eastAsia"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按照标准配制</w:t>
            </w:r>
            <w:r>
              <w:rPr>
                <w:rFonts w:hint="eastAsia" w:cs="Times New Roman"/>
                <w:b w:val="0"/>
                <w:bCs/>
                <w:color w:val="auto"/>
                <w:sz w:val="24"/>
                <w:highlight w:val="none"/>
                <w:lang w:val="en-US" w:eastAsia="zh-CN"/>
              </w:rPr>
              <w:t>检测</w:t>
            </w:r>
            <w:r>
              <w:rPr>
                <w:rFonts w:hint="default" w:ascii="Times New Roman" w:hAnsi="Times New Roman" w:eastAsia="宋体" w:cs="Times New Roman"/>
                <w:b w:val="0"/>
                <w:bCs/>
                <w:color w:val="auto"/>
                <w:sz w:val="24"/>
                <w:highlight w:val="none"/>
                <w:lang w:val="en-US" w:eastAsia="zh-CN"/>
              </w:rPr>
              <w:t>液，涉及挥发性试剂在通风橱</w:t>
            </w:r>
            <w:r>
              <w:rPr>
                <w:rFonts w:hint="eastAsia" w:cs="Times New Roman"/>
                <w:b w:val="0"/>
                <w:bCs/>
                <w:color w:val="auto"/>
                <w:sz w:val="24"/>
                <w:highlight w:val="none"/>
                <w:lang w:val="en-US" w:eastAsia="zh-CN"/>
              </w:rPr>
              <w:t>内</w:t>
            </w:r>
            <w:r>
              <w:rPr>
                <w:rFonts w:hint="default" w:ascii="Times New Roman" w:hAnsi="Times New Roman" w:eastAsia="宋体" w:cs="Times New Roman"/>
                <w:b w:val="0"/>
                <w:bCs/>
                <w:color w:val="auto"/>
                <w:sz w:val="24"/>
                <w:highlight w:val="none"/>
                <w:lang w:val="en-US" w:eastAsia="zh-CN"/>
              </w:rPr>
              <w:t>操作。</w:t>
            </w:r>
          </w:p>
          <w:p w14:paraId="0C3ED03C">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过程产生挥发性有机废气</w:t>
            </w:r>
            <w:r>
              <w:rPr>
                <w:rFonts w:hint="eastAsia" w:cs="Times New Roman"/>
                <w:b/>
                <w:bCs w:val="0"/>
                <w:color w:val="auto"/>
                <w:sz w:val="24"/>
                <w:highlight w:val="none"/>
                <w:lang w:val="en-US" w:eastAsia="zh-CN"/>
              </w:rPr>
              <w:t>G1</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挥发性无机废气G2（硫酸</w:t>
            </w:r>
            <w:r>
              <w:rPr>
                <w:rFonts w:hint="default" w:ascii="Times New Roman" w:hAnsi="Times New Roman" w:eastAsia="宋体" w:cs="Times New Roman"/>
                <w:b/>
                <w:bCs w:val="0"/>
                <w:color w:val="auto"/>
                <w:sz w:val="24"/>
                <w:highlight w:val="none"/>
                <w:lang w:val="en-US" w:eastAsia="zh-CN"/>
              </w:rPr>
              <w:t>雾、氯化氢</w:t>
            </w:r>
            <w:r>
              <w:rPr>
                <w:rFonts w:hint="eastAsia" w:cs="Times New Roman"/>
                <w:b/>
                <w:bCs w:val="0"/>
                <w:color w:val="auto"/>
                <w:sz w:val="24"/>
                <w:highlight w:val="none"/>
                <w:lang w:val="en-US" w:eastAsia="zh-CN"/>
              </w:rPr>
              <w:t>、氨、硝酸雾）、清洗废液S1、清洗废水W1、废试剂瓶S2、废一次性实验耗材（废手套、废称量纸、废移液枪头等）S3。</w:t>
            </w:r>
          </w:p>
          <w:p w14:paraId="3778631C">
            <w:pPr>
              <w:numPr>
                <w:ilvl w:val="0"/>
                <w:numId w:val="0"/>
              </w:numPr>
              <w:adjustRightInd w:val="0"/>
              <w:snapToGrid w:val="0"/>
              <w:spacing w:line="360" w:lineRule="auto"/>
              <w:ind w:firstLine="482" w:firstLineChars="200"/>
              <w:rPr>
                <w:rFonts w:hint="default"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样品处理</w:t>
            </w:r>
            <w:r>
              <w:rPr>
                <w:rFonts w:hint="eastAsia" w:cs="Times New Roman"/>
                <w:b/>
                <w:bCs w:val="0"/>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根据</w:t>
            </w:r>
            <w:r>
              <w:rPr>
                <w:rFonts w:hint="eastAsia" w:cs="Times New Roman"/>
                <w:b w:val="0"/>
                <w:bCs/>
                <w:color w:val="auto"/>
                <w:sz w:val="24"/>
                <w:highlight w:val="none"/>
                <w:lang w:val="en-US" w:eastAsia="zh-CN"/>
              </w:rPr>
              <w:t>不同</w:t>
            </w:r>
            <w:r>
              <w:rPr>
                <w:rFonts w:hint="default" w:ascii="Times New Roman" w:hAnsi="Times New Roman" w:eastAsia="宋体" w:cs="Times New Roman"/>
                <w:b w:val="0"/>
                <w:bCs/>
                <w:color w:val="auto"/>
                <w:sz w:val="24"/>
                <w:highlight w:val="none"/>
                <w:lang w:val="en-US" w:eastAsia="zh-CN"/>
              </w:rPr>
              <w:t>检测项目</w:t>
            </w:r>
            <w:r>
              <w:rPr>
                <w:rFonts w:hint="eastAsia"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按照标准对样品进行处理，涉及挥发性试剂在通风橱</w:t>
            </w:r>
            <w:r>
              <w:rPr>
                <w:rFonts w:hint="eastAsia" w:cs="Times New Roman"/>
                <w:b w:val="0"/>
                <w:bCs/>
                <w:color w:val="auto"/>
                <w:sz w:val="24"/>
                <w:highlight w:val="none"/>
                <w:lang w:val="en-US" w:eastAsia="zh-CN"/>
              </w:rPr>
              <w:t>内</w:t>
            </w:r>
            <w:r>
              <w:rPr>
                <w:rFonts w:hint="default" w:ascii="Times New Roman" w:hAnsi="Times New Roman" w:eastAsia="宋体" w:cs="Times New Roman"/>
                <w:b w:val="0"/>
                <w:bCs/>
                <w:color w:val="auto"/>
                <w:sz w:val="24"/>
                <w:highlight w:val="none"/>
                <w:lang w:val="en-US" w:eastAsia="zh-CN"/>
              </w:rPr>
              <w:t>操作</w:t>
            </w:r>
            <w:r>
              <w:rPr>
                <w:rFonts w:hint="default" w:cs="Times New Roman"/>
                <w:b w:val="0"/>
                <w:bCs/>
                <w:color w:val="auto"/>
                <w:sz w:val="24"/>
                <w:highlight w:val="none"/>
                <w:lang w:val="en-US" w:eastAsia="zh-CN"/>
              </w:rPr>
              <w:t>。</w:t>
            </w:r>
          </w:p>
          <w:p w14:paraId="41349447">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过程产生挥发性有机废气</w:t>
            </w:r>
            <w:r>
              <w:rPr>
                <w:rFonts w:hint="eastAsia" w:cs="Times New Roman"/>
                <w:b/>
                <w:bCs w:val="0"/>
                <w:color w:val="auto"/>
                <w:sz w:val="24"/>
                <w:highlight w:val="none"/>
                <w:lang w:val="en-US" w:eastAsia="zh-CN"/>
              </w:rPr>
              <w:t>G3</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挥发性无机废气G4（硫酸雾）、清洗废液S1、清洗废水W1、废一次性实验耗材（废手套等）S3。</w:t>
            </w:r>
          </w:p>
          <w:p w14:paraId="262D1911">
            <w:pPr>
              <w:numPr>
                <w:ilvl w:val="0"/>
                <w:numId w:val="0"/>
              </w:numPr>
              <w:adjustRightInd w:val="0"/>
              <w:snapToGrid w:val="0"/>
              <w:spacing w:line="360" w:lineRule="auto"/>
              <w:ind w:firstLine="482" w:firstLineChars="200"/>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滴定检测</w:t>
            </w:r>
            <w:r>
              <w:rPr>
                <w:rFonts w:hint="eastAsia" w:cs="Times New Roman"/>
                <w:b/>
                <w:bCs w:val="0"/>
                <w:color w:val="auto"/>
                <w:sz w:val="24"/>
                <w:highlight w:val="none"/>
                <w:lang w:val="en-US" w:eastAsia="zh-CN"/>
              </w:rPr>
              <w:t>：</w:t>
            </w:r>
            <w:r>
              <w:rPr>
                <w:rFonts w:hint="eastAsia" w:cs="Times New Roman"/>
                <w:b w:val="0"/>
                <w:bCs/>
                <w:color w:val="auto"/>
                <w:sz w:val="24"/>
                <w:highlight w:val="none"/>
                <w:lang w:val="en-US" w:eastAsia="zh-CN"/>
              </w:rPr>
              <w:t>取一定量样品加入锥形瓶中，加入指示剂，用标准滴定溶液滴定至终点，根据公式计算物质含量</w:t>
            </w:r>
            <w:r>
              <w:rPr>
                <w:rFonts w:hint="default" w:cs="Times New Roman"/>
                <w:b w:val="0"/>
                <w:bCs/>
                <w:color w:val="auto"/>
                <w:sz w:val="24"/>
                <w:highlight w:val="none"/>
                <w:lang w:val="en-US" w:eastAsia="zh-CN"/>
              </w:rPr>
              <w:t>。</w:t>
            </w:r>
          </w:p>
          <w:p w14:paraId="7DFDE4F4">
            <w:pPr>
              <w:numPr>
                <w:ilvl w:val="0"/>
                <w:numId w:val="0"/>
              </w:numPr>
              <w:adjustRightInd w:val="0"/>
              <w:snapToGrid w:val="0"/>
              <w:spacing w:line="360" w:lineRule="auto"/>
              <w:ind w:firstLine="482" w:firstLineChars="200"/>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清洗废液S1、清洗废水W1、废一次性实验耗材（废手套等）S3、检测废液S4。</w:t>
            </w:r>
          </w:p>
          <w:p w14:paraId="260F7481">
            <w:pPr>
              <w:numPr>
                <w:ilvl w:val="0"/>
                <w:numId w:val="18"/>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微生物类</w:t>
            </w:r>
          </w:p>
          <w:p w14:paraId="2B57C25A">
            <w:pPr>
              <w:numPr>
                <w:ilvl w:val="0"/>
                <w:numId w:val="0"/>
              </w:numPr>
              <w:adjustRightInd w:val="0"/>
              <w:snapToGrid w:val="0"/>
              <w:spacing w:line="360" w:lineRule="auto"/>
              <w:ind w:firstLine="480" w:firstLineChars="200"/>
              <w:rPr>
                <w:rFonts w:hint="default" w:ascii="Times New Roman" w:hAnsi="Times New Roman" w:eastAsia="宋体" w:cs="Times New Roman"/>
                <w:b/>
                <w:bCs w:val="0"/>
                <w:color w:val="auto"/>
                <w:sz w:val="24"/>
                <w:highlight w:val="none"/>
                <w:lang w:val="en-US" w:eastAsia="zh-CN"/>
              </w:rPr>
            </w:pPr>
            <w:r>
              <w:rPr>
                <w:rFonts w:hint="eastAsia" w:cs="Times New Roman"/>
                <w:b w:val="0"/>
                <w:bCs/>
                <w:color w:val="auto"/>
                <w:sz w:val="24"/>
                <w:highlight w:val="none"/>
                <w:lang w:val="en-US" w:eastAsia="zh-CN"/>
              </w:rPr>
              <w:t>以粪大肠菌群等</w:t>
            </w:r>
            <w:r>
              <w:rPr>
                <w:rFonts w:hint="default" w:cs="Times New Roman"/>
                <w:b w:val="0"/>
                <w:bCs/>
                <w:color w:val="auto"/>
                <w:sz w:val="24"/>
                <w:highlight w:val="none"/>
                <w:lang w:val="en-US" w:eastAsia="zh-CN"/>
              </w:rPr>
              <w:t>的测定为典型的产污环节</w:t>
            </w:r>
            <w:r>
              <w:rPr>
                <w:rFonts w:hint="eastAsia" w:cs="Times New Roman"/>
                <w:b w:val="0"/>
                <w:bCs/>
                <w:color w:val="auto"/>
                <w:sz w:val="24"/>
                <w:highlight w:val="none"/>
                <w:lang w:val="en-US" w:eastAsia="zh-CN"/>
              </w:rPr>
              <w:t>。</w:t>
            </w:r>
          </w:p>
          <w:p w14:paraId="508FEEB2">
            <w:pPr>
              <w:numPr>
                <w:ilvl w:val="0"/>
                <w:numId w:val="0"/>
              </w:numPr>
              <w:adjustRightInd w:val="0"/>
              <w:snapToGrid w:val="0"/>
              <w:spacing w:line="360" w:lineRule="auto"/>
              <w:ind w:firstLine="482"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eastAsia" w:cs="Times New Roman"/>
                <w:b w:val="0"/>
                <w:bCs/>
                <w:color w:val="auto"/>
                <w:sz w:val="24"/>
                <w:highlight w:val="none"/>
                <w:lang w:val="en-US" w:eastAsia="zh-CN"/>
              </w:rPr>
              <w:t>按照标准要求分别用</w:t>
            </w:r>
            <w:r>
              <w:rPr>
                <w:rFonts w:hint="default" w:ascii="Times New Roman" w:hAnsi="Times New Roman" w:eastAsia="宋体" w:cs="Times New Roman"/>
                <w:b w:val="0"/>
                <w:bCs/>
                <w:color w:val="auto"/>
                <w:sz w:val="24"/>
                <w:highlight w:val="none"/>
                <w:lang w:val="en-US" w:eastAsia="zh-CN"/>
              </w:rPr>
              <w:t>玻璃瓶</w:t>
            </w:r>
            <w:r>
              <w:rPr>
                <w:rFonts w:hint="eastAsia" w:cs="Times New Roman"/>
                <w:b w:val="0"/>
                <w:bCs/>
                <w:color w:val="auto"/>
                <w:sz w:val="24"/>
                <w:highlight w:val="none"/>
                <w:lang w:val="en-US" w:eastAsia="zh-CN"/>
              </w:rPr>
              <w:t>或聚四氟乙烯瓶采集水样</w:t>
            </w:r>
            <w:r>
              <w:rPr>
                <w:rFonts w:hint="default" w:ascii="Times New Roman" w:hAnsi="Times New Roman" w:eastAsia="宋体" w:cs="Times New Roman"/>
                <w:b w:val="0"/>
                <w:bCs/>
                <w:color w:val="auto"/>
                <w:sz w:val="24"/>
                <w:highlight w:val="none"/>
                <w:lang w:val="en-US" w:eastAsia="zh-CN"/>
              </w:rPr>
              <w:t>，样品按照技术规范要求密封保存</w:t>
            </w:r>
            <w:r>
              <w:rPr>
                <w:rFonts w:hint="eastAsia" w:cs="Times New Roman"/>
                <w:b w:val="0"/>
                <w:bCs/>
                <w:color w:val="auto"/>
                <w:sz w:val="24"/>
                <w:highlight w:val="none"/>
                <w:lang w:val="en-US" w:eastAsia="zh-CN"/>
              </w:rPr>
              <w:t>待检</w:t>
            </w:r>
            <w:r>
              <w:rPr>
                <w:rFonts w:hint="default" w:ascii="Times New Roman" w:hAnsi="Times New Roman" w:eastAsia="宋体" w:cs="Times New Roman"/>
                <w:b w:val="0"/>
                <w:bCs/>
                <w:color w:val="auto"/>
                <w:sz w:val="24"/>
                <w:highlight w:val="none"/>
                <w:lang w:val="en-US" w:eastAsia="zh-CN"/>
              </w:rPr>
              <w:t>。</w:t>
            </w:r>
          </w:p>
          <w:p w14:paraId="6D2419EC">
            <w:pPr>
              <w:numPr>
                <w:ilvl w:val="0"/>
                <w:numId w:val="0"/>
              </w:numPr>
              <w:adjustRightInd w:val="0"/>
              <w:snapToGrid w:val="0"/>
              <w:spacing w:line="360" w:lineRule="auto"/>
              <w:ind w:firstLine="482" w:firstLineChars="200"/>
              <w:rPr>
                <w:rFonts w:hint="eastAsia" w:cs="Times New Roman"/>
                <w:b/>
                <w:bCs w:val="0"/>
                <w:color w:val="auto"/>
                <w:sz w:val="24"/>
                <w:highlight w:val="none"/>
                <w:lang w:val="en-US" w:eastAsia="zh-CN"/>
              </w:rPr>
            </w:pPr>
            <w:r>
              <w:rPr>
                <w:rFonts w:hint="default" w:cs="Times New Roman"/>
                <w:b/>
                <w:bCs w:val="0"/>
                <w:color w:val="auto"/>
                <w:sz w:val="24"/>
                <w:highlight w:val="none"/>
                <w:lang w:val="en-US" w:eastAsia="zh-CN"/>
              </w:rPr>
              <w:t>培养基制备</w:t>
            </w:r>
            <w:r>
              <w:rPr>
                <w:rFonts w:hint="eastAsia" w:cs="Times New Roman"/>
                <w:b/>
                <w:bCs w:val="0"/>
                <w:color w:val="auto"/>
                <w:sz w:val="24"/>
                <w:highlight w:val="none"/>
                <w:lang w:val="en-US" w:eastAsia="zh-CN"/>
              </w:rPr>
              <w:t>：</w:t>
            </w:r>
          </w:p>
          <w:p w14:paraId="7C00D985">
            <w:pPr>
              <w:numPr>
                <w:ilvl w:val="0"/>
                <w:numId w:val="0"/>
              </w:numPr>
              <w:adjustRightInd w:val="0"/>
              <w:snapToGrid w:val="0"/>
              <w:spacing w:line="360" w:lineRule="auto"/>
              <w:ind w:firstLine="480" w:firstLineChars="200"/>
              <w:rPr>
                <w:rFonts w:hint="default" w:cs="Times New Roman"/>
                <w:b w:val="0"/>
                <w:bCs/>
                <w:color w:val="auto"/>
                <w:sz w:val="24"/>
                <w:highlight w:val="none"/>
                <w:lang w:val="en-US" w:eastAsia="zh-CN"/>
              </w:rPr>
            </w:pPr>
            <w:r>
              <w:rPr>
                <w:rFonts w:hint="default" w:cs="Times New Roman"/>
                <w:b w:val="0"/>
                <w:bCs/>
                <w:color w:val="auto"/>
                <w:sz w:val="24"/>
                <w:highlight w:val="none"/>
                <w:lang w:val="en-US" w:eastAsia="zh-CN"/>
              </w:rPr>
              <w:t>制备培养基1：将可溶性淀粉、氯化钠加热溶解于1000mL 蒸馏水中，调节pH值到7.2～7.4，在通风橱中再加入75%乙醇溶液1mL，充分混匀，分装于含有倒置小玻璃管的试管中，115℃高压蒸汽灭菌 20min，储存于暗处备用。</w:t>
            </w:r>
          </w:p>
          <w:p w14:paraId="17180CD7">
            <w:pPr>
              <w:numPr>
                <w:ilvl w:val="0"/>
                <w:numId w:val="0"/>
              </w:numPr>
              <w:adjustRightInd w:val="0"/>
              <w:snapToGrid w:val="0"/>
              <w:spacing w:line="360" w:lineRule="auto"/>
              <w:ind w:firstLine="480" w:firstLineChars="200"/>
              <w:rPr>
                <w:rFonts w:hint="default" w:cs="Times New Roman"/>
                <w:b w:val="0"/>
                <w:bCs/>
                <w:color w:val="auto"/>
                <w:sz w:val="24"/>
                <w:highlight w:val="none"/>
                <w:lang w:val="en-US" w:eastAsia="zh-CN"/>
              </w:rPr>
            </w:pPr>
            <w:r>
              <w:rPr>
                <w:rFonts w:hint="default" w:cs="Times New Roman"/>
                <w:b w:val="0"/>
                <w:bCs/>
                <w:color w:val="auto"/>
                <w:sz w:val="24"/>
                <w:highlight w:val="none"/>
                <w:lang w:val="en-US" w:eastAsia="zh-CN"/>
              </w:rPr>
              <w:t>制备培养基2：将含有可溶性淀粉、磷酸氢二钠（Na</w:t>
            </w:r>
            <w:r>
              <w:rPr>
                <w:rFonts w:hint="default" w:cs="Times New Roman"/>
                <w:b w:val="0"/>
                <w:bCs/>
                <w:color w:val="auto"/>
                <w:sz w:val="24"/>
                <w:highlight w:val="none"/>
                <w:vertAlign w:val="subscript"/>
                <w:lang w:val="en-US" w:eastAsia="zh-CN"/>
              </w:rPr>
              <w:t>2</w:t>
            </w:r>
            <w:r>
              <w:rPr>
                <w:rFonts w:hint="default" w:cs="Times New Roman"/>
                <w:b w:val="0"/>
                <w:bCs/>
                <w:color w:val="auto"/>
                <w:sz w:val="24"/>
                <w:highlight w:val="none"/>
                <w:lang w:val="en-US" w:eastAsia="zh-CN"/>
              </w:rPr>
              <w:t>HPO</w:t>
            </w:r>
            <w:r>
              <w:rPr>
                <w:rFonts w:hint="default" w:cs="Times New Roman"/>
                <w:b w:val="0"/>
                <w:bCs/>
                <w:color w:val="auto"/>
                <w:sz w:val="24"/>
                <w:highlight w:val="none"/>
                <w:vertAlign w:val="subscript"/>
                <w:lang w:val="en-US" w:eastAsia="zh-CN"/>
              </w:rPr>
              <w:t>4</w:t>
            </w:r>
            <w:r>
              <w:rPr>
                <w:rFonts w:hint="default" w:cs="Times New Roman"/>
                <w:b w:val="0"/>
                <w:bCs/>
                <w:color w:val="auto"/>
                <w:sz w:val="24"/>
                <w:highlight w:val="none"/>
                <w:lang w:val="en-US" w:eastAsia="zh-CN"/>
              </w:rPr>
              <w:t>）、磷酸二氢钠（NaH</w:t>
            </w:r>
            <w:r>
              <w:rPr>
                <w:rFonts w:hint="default" w:cs="Times New Roman"/>
                <w:b w:val="0"/>
                <w:bCs/>
                <w:color w:val="auto"/>
                <w:sz w:val="24"/>
                <w:highlight w:val="none"/>
                <w:vertAlign w:val="subscript"/>
                <w:lang w:val="en-US" w:eastAsia="zh-CN"/>
              </w:rPr>
              <w:t>2</w:t>
            </w:r>
            <w:r>
              <w:rPr>
                <w:rFonts w:hint="default" w:cs="Times New Roman"/>
                <w:b w:val="0"/>
                <w:bCs/>
                <w:color w:val="auto"/>
                <w:sz w:val="24"/>
                <w:highlight w:val="none"/>
                <w:lang w:val="en-US" w:eastAsia="zh-CN"/>
              </w:rPr>
              <w:t>PO</w:t>
            </w:r>
            <w:r>
              <w:rPr>
                <w:rFonts w:hint="default" w:cs="Times New Roman"/>
                <w:b w:val="0"/>
                <w:bCs/>
                <w:color w:val="auto"/>
                <w:sz w:val="24"/>
                <w:highlight w:val="none"/>
                <w:vertAlign w:val="subscript"/>
                <w:lang w:val="en-US" w:eastAsia="zh-CN"/>
              </w:rPr>
              <w:t>4</w:t>
            </w:r>
            <w:r>
              <w:rPr>
                <w:rFonts w:hint="default" w:cs="Times New Roman"/>
                <w:b w:val="0"/>
                <w:bCs/>
                <w:color w:val="auto"/>
                <w:sz w:val="24"/>
                <w:highlight w:val="none"/>
                <w:lang w:val="en-US" w:eastAsia="zh-CN"/>
              </w:rPr>
              <w:t>）、氯化钠的市售成品加热溶解于1000mL蒸馏水中，然后分装于有玻璃倒管的试管中，115℃高压蒸汽灭菌 20min。</w:t>
            </w:r>
          </w:p>
          <w:p w14:paraId="275AD621">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过程产生挥发性有机废气</w:t>
            </w:r>
            <w:r>
              <w:rPr>
                <w:rFonts w:hint="eastAsia" w:cs="Times New Roman"/>
                <w:b/>
                <w:bCs w:val="0"/>
                <w:color w:val="auto"/>
                <w:sz w:val="24"/>
                <w:highlight w:val="none"/>
                <w:lang w:val="en-US" w:eastAsia="zh-CN"/>
              </w:rPr>
              <w:t>G5</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清洗废液S1、清洗废水W1、废一次性实验耗材（废手套等）S3。</w:t>
            </w:r>
          </w:p>
          <w:p w14:paraId="62C00686">
            <w:pPr>
              <w:numPr>
                <w:ilvl w:val="0"/>
                <w:numId w:val="0"/>
              </w:numPr>
              <w:adjustRightInd w:val="0"/>
              <w:snapToGrid w:val="0"/>
              <w:spacing w:line="360" w:lineRule="auto"/>
              <w:ind w:firstLine="482" w:firstLineChars="200"/>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样品接种</w:t>
            </w:r>
            <w:r>
              <w:rPr>
                <w:rFonts w:hint="eastAsia" w:cs="Times New Roman"/>
                <w:b/>
                <w:bCs w:val="0"/>
                <w:color w:val="auto"/>
                <w:sz w:val="24"/>
                <w:highlight w:val="none"/>
                <w:lang w:val="en-US" w:eastAsia="zh-CN"/>
              </w:rPr>
              <w:t>：</w:t>
            </w:r>
            <w:r>
              <w:rPr>
                <w:rFonts w:hint="default" w:eastAsia="宋体" w:cs="Times New Roman"/>
                <w:b w:val="0"/>
                <w:bCs/>
                <w:color w:val="auto"/>
                <w:sz w:val="24"/>
                <w:highlight w:val="none"/>
                <w:lang w:val="en-US" w:eastAsia="zh-CN"/>
              </w:rPr>
              <w:t>生物安全柜提前打开紫外灯杀毒1h</w:t>
            </w:r>
            <w:r>
              <w:rPr>
                <w:rFonts w:hint="eastAsia" w:eastAsia="宋体" w:cs="Times New Roman"/>
                <w:b w:val="0"/>
                <w:bCs/>
                <w:color w:val="auto"/>
                <w:sz w:val="24"/>
                <w:highlight w:val="none"/>
                <w:lang w:val="en-US" w:eastAsia="zh-CN"/>
              </w:rPr>
              <w:t>，</w:t>
            </w:r>
            <w:r>
              <w:rPr>
                <w:rFonts w:hint="default" w:eastAsia="宋体" w:cs="Times New Roman"/>
                <w:b w:val="0"/>
                <w:bCs/>
                <w:color w:val="auto"/>
                <w:sz w:val="24"/>
                <w:highlight w:val="none"/>
                <w:lang w:val="en-US" w:eastAsia="zh-CN"/>
              </w:rPr>
              <w:t>去除生物安全柜内微生物，将水样充分混匀，在2支装有已灭</w:t>
            </w:r>
            <w:r>
              <w:rPr>
                <w:rFonts w:hint="default" w:cs="Times New Roman"/>
                <w:b w:val="0"/>
                <w:bCs/>
                <w:color w:val="auto"/>
                <w:sz w:val="24"/>
                <w:highlight w:val="none"/>
                <w:lang w:val="en-US" w:eastAsia="zh-CN"/>
              </w:rPr>
              <w:t>菌的50mL三倍乳糖蛋白胨培养液的大试管中（内有倒管）</w:t>
            </w:r>
            <w:r>
              <w:rPr>
                <w:rFonts w:hint="eastAsia" w:cs="Times New Roman"/>
                <w:b w:val="0"/>
                <w:bCs/>
                <w:color w:val="auto"/>
                <w:sz w:val="24"/>
                <w:highlight w:val="none"/>
                <w:lang w:val="en-US" w:eastAsia="zh-CN"/>
              </w:rPr>
              <w:t>中</w:t>
            </w:r>
            <w:r>
              <w:rPr>
                <w:rFonts w:hint="default" w:cs="Times New Roman"/>
                <w:b w:val="0"/>
                <w:bCs/>
                <w:color w:val="auto"/>
                <w:sz w:val="24"/>
                <w:highlight w:val="none"/>
                <w:lang w:val="en-US" w:eastAsia="zh-CN"/>
              </w:rPr>
              <w:t>各加入水样100mL，在10支装有已灭菌的5mL三倍乳糖蛋白胨培养液的试管中（内有倒管）各加入水样10mL，共计12 管两个稀释度。对于较清洁水样，接种量为10mL、1mL、0.1mL；对于受到污染的水样，接种量1mL、0.1mL、0.01mL或0.1mL、0.01mL、0.001mL等，共计15管三个稀释度水样。</w:t>
            </w:r>
          </w:p>
          <w:p w14:paraId="6C4F06BD">
            <w:pPr>
              <w:numPr>
                <w:ilvl w:val="0"/>
                <w:numId w:val="0"/>
              </w:numPr>
              <w:adjustRightInd w:val="0"/>
              <w:snapToGrid w:val="0"/>
              <w:spacing w:line="360" w:lineRule="auto"/>
              <w:ind w:firstLine="482" w:firstLineChars="200"/>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培养与记录</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将已充分混匀的水样以无菌操作分别接种到盛有乳糖蛋白胨培养液的试管中，在37±0.5℃下培养24±2h。产酸和产气的试管表明试验阳性。如在倒管内产气不明显，可轻拍试管，有小气泡升起的为阳性。轻微振荡在初发酵试验中显示为试验阳性的试管，用接种环将培养物转接到EC培养液中</w:t>
            </w:r>
            <w:r>
              <w:rPr>
                <w:rFonts w:hint="eastAsia" w:cs="Times New Roman"/>
                <w:b w:val="0"/>
                <w:bCs/>
                <w:color w:val="auto"/>
                <w:sz w:val="24"/>
                <w:highlight w:val="none"/>
                <w:lang w:val="en-US" w:eastAsia="zh-CN"/>
              </w:rPr>
              <w:t>，</w:t>
            </w:r>
            <w:r>
              <w:rPr>
                <w:rFonts w:hint="default" w:cs="Times New Roman"/>
                <w:b w:val="0"/>
                <w:bCs/>
                <w:color w:val="auto"/>
                <w:sz w:val="24"/>
                <w:highlight w:val="none"/>
                <w:lang w:val="en-US" w:eastAsia="zh-CN"/>
              </w:rPr>
              <w:t>在44.5±0.5℃下培养24±2h。接种后所有试管必须在30min内放进培养箱中。培养后立即观察，倒管中产气证实为粪大肠菌群阳性。</w:t>
            </w:r>
          </w:p>
          <w:p w14:paraId="11EA82F9">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过程产生挥发性有机废气</w:t>
            </w:r>
            <w:r>
              <w:rPr>
                <w:rFonts w:hint="eastAsia" w:cs="Times New Roman"/>
                <w:b/>
                <w:bCs w:val="0"/>
                <w:color w:val="auto"/>
                <w:sz w:val="24"/>
                <w:highlight w:val="none"/>
                <w:lang w:val="en-US" w:eastAsia="zh-CN"/>
              </w:rPr>
              <w:t>G6</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清洗废液S1、清洗废水W1、高压蒸汽灭菌废水W2、废一次性实验耗材（废手套等）S3、废培养基S5、废紫外灯管S6。</w:t>
            </w:r>
          </w:p>
          <w:p w14:paraId="0ADB70EA">
            <w:pPr>
              <w:widowControl w:val="0"/>
              <w:numPr>
                <w:ilvl w:val="0"/>
                <w:numId w:val="18"/>
              </w:numPr>
              <w:adjustRightInd w:val="0"/>
              <w:snapToGrid w:val="0"/>
              <w:spacing w:line="360" w:lineRule="auto"/>
              <w:ind w:left="0" w:leftChars="0" w:firstLine="482" w:firstLineChars="200"/>
              <w:jc w:val="both"/>
              <w:rPr>
                <w:rFonts w:hint="default" w:cs="Times New Roman"/>
                <w:b/>
                <w:bCs w:val="0"/>
                <w:color w:val="auto"/>
                <w:sz w:val="24"/>
                <w:highlight w:val="none"/>
                <w:lang w:val="en-US" w:eastAsia="zh-CN"/>
              </w:rPr>
            </w:pPr>
            <w:r>
              <w:rPr>
                <w:rFonts w:hint="default" w:cs="Times New Roman"/>
                <w:b/>
                <w:bCs w:val="0"/>
                <w:color w:val="auto"/>
                <w:sz w:val="24"/>
                <w:highlight w:val="none"/>
                <w:lang w:val="en-US" w:eastAsia="zh-CN"/>
              </w:rPr>
              <w:t>气</w:t>
            </w:r>
            <w:r>
              <w:rPr>
                <w:rFonts w:hint="eastAsia" w:cs="Times New Roman"/>
                <w:b/>
                <w:bCs w:val="0"/>
                <w:color w:val="auto"/>
                <w:sz w:val="24"/>
                <w:highlight w:val="none"/>
                <w:lang w:val="en-US" w:eastAsia="zh-CN"/>
              </w:rPr>
              <w:t>体类检测</w:t>
            </w:r>
          </w:p>
          <w:p w14:paraId="56CE5421">
            <w:pPr>
              <w:widowControl w:val="0"/>
              <w:numPr>
                <w:ilvl w:val="0"/>
                <w:numId w:val="20"/>
              </w:numPr>
              <w:adjustRightInd w:val="0"/>
              <w:snapToGrid w:val="0"/>
              <w:spacing w:line="360" w:lineRule="auto"/>
              <w:ind w:left="0" w:leftChars="0" w:firstLine="482" w:firstLineChars="200"/>
              <w:jc w:val="both"/>
              <w:rPr>
                <w:rFonts w:hint="default" w:cs="Times New Roman"/>
                <w:b/>
                <w:bCs w:val="0"/>
                <w:color w:val="auto"/>
                <w:sz w:val="24"/>
                <w:highlight w:val="none"/>
                <w:lang w:val="en-US" w:eastAsia="zh-CN"/>
              </w:rPr>
            </w:pPr>
            <w:r>
              <w:rPr>
                <w:rFonts w:hint="default" w:cs="Times New Roman"/>
                <w:b/>
                <w:bCs w:val="0"/>
                <w:color w:val="auto"/>
                <w:sz w:val="24"/>
                <w:highlight w:val="none"/>
                <w:lang w:val="en-US" w:eastAsia="zh-CN"/>
              </w:rPr>
              <w:t>重量法检测</w:t>
            </w:r>
          </w:p>
          <w:p w14:paraId="0ABEE3A3">
            <w:pPr>
              <w:widowControl w:val="0"/>
              <w:numPr>
                <w:ilvl w:val="0"/>
                <w:numId w:val="0"/>
              </w:numPr>
              <w:adjustRightInd w:val="0"/>
              <w:snapToGrid w:val="0"/>
              <w:spacing w:line="360" w:lineRule="auto"/>
              <w:ind w:firstLine="480" w:firstLineChars="200"/>
              <w:jc w:val="both"/>
              <w:rPr>
                <w:rFonts w:hint="eastAsia" w:cs="Times New Roman"/>
                <w:b w:val="0"/>
                <w:bCs/>
                <w:color w:val="auto"/>
                <w:sz w:val="24"/>
                <w:highlight w:val="none"/>
                <w:lang w:val="en-US" w:eastAsia="zh-CN"/>
              </w:rPr>
            </w:pPr>
            <w:r>
              <w:rPr>
                <w:rFonts w:hint="default" w:cs="Times New Roman"/>
                <w:b w:val="0"/>
                <w:bCs/>
                <w:color w:val="auto"/>
                <w:sz w:val="24"/>
                <w:highlight w:val="none"/>
                <w:lang w:val="en-US" w:eastAsia="zh-CN"/>
              </w:rPr>
              <w:t>以颗粒物、PM</w:t>
            </w:r>
            <w:r>
              <w:rPr>
                <w:rFonts w:hint="default" w:cs="Times New Roman"/>
                <w:b w:val="0"/>
                <w:bCs/>
                <w:color w:val="auto"/>
                <w:sz w:val="24"/>
                <w:highlight w:val="none"/>
                <w:vertAlign w:val="subscript"/>
                <w:lang w:val="en-US" w:eastAsia="zh-CN"/>
              </w:rPr>
              <w:t>10</w:t>
            </w:r>
            <w:r>
              <w:rPr>
                <w:rFonts w:hint="default" w:cs="Times New Roman"/>
                <w:b w:val="0"/>
                <w:bCs/>
                <w:color w:val="auto"/>
                <w:sz w:val="24"/>
                <w:highlight w:val="none"/>
                <w:lang w:val="en-US" w:eastAsia="zh-CN"/>
              </w:rPr>
              <w:t>、PM</w:t>
            </w:r>
            <w:r>
              <w:rPr>
                <w:rFonts w:hint="default" w:cs="Times New Roman"/>
                <w:b w:val="0"/>
                <w:bCs/>
                <w:color w:val="auto"/>
                <w:sz w:val="24"/>
                <w:highlight w:val="none"/>
                <w:vertAlign w:val="subscript"/>
                <w:lang w:val="en-US" w:eastAsia="zh-CN"/>
              </w:rPr>
              <w:t>2.5</w:t>
            </w:r>
            <w:r>
              <w:rPr>
                <w:rFonts w:hint="default" w:cs="Times New Roman"/>
                <w:b w:val="0"/>
                <w:bCs/>
                <w:color w:val="auto"/>
                <w:sz w:val="24"/>
                <w:highlight w:val="none"/>
                <w:lang w:val="en-US" w:eastAsia="zh-CN"/>
              </w:rPr>
              <w:t>、总悬浮颗粒物的测定为典型的产污环节</w:t>
            </w:r>
            <w:r>
              <w:rPr>
                <w:rFonts w:hint="eastAsia" w:cs="Times New Roman"/>
                <w:b w:val="0"/>
                <w:bCs/>
                <w:color w:val="auto"/>
                <w:sz w:val="24"/>
                <w:highlight w:val="none"/>
                <w:lang w:val="en-US" w:eastAsia="zh-CN"/>
              </w:rPr>
              <w:t>。</w:t>
            </w:r>
          </w:p>
          <w:p w14:paraId="466FF19C">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选择合适的采样滤膜和采样头，按标准要求抽取气体，样品存放于实验室恒重</w:t>
            </w:r>
            <w:r>
              <w:rPr>
                <w:rFonts w:hint="eastAsia" w:cs="Times New Roman"/>
                <w:b w:val="0"/>
                <w:bCs/>
                <w:color w:val="auto"/>
                <w:sz w:val="24"/>
                <w:highlight w:val="none"/>
                <w:lang w:val="en-US" w:eastAsia="zh-CN"/>
              </w:rPr>
              <w:t>待检测</w:t>
            </w:r>
            <w:r>
              <w:rPr>
                <w:rFonts w:hint="default" w:cs="Times New Roman"/>
                <w:b w:val="0"/>
                <w:bCs/>
                <w:color w:val="auto"/>
                <w:sz w:val="24"/>
                <w:highlight w:val="none"/>
                <w:lang w:val="en-US" w:eastAsia="zh-CN"/>
              </w:rPr>
              <w:t>。</w:t>
            </w:r>
          </w:p>
          <w:p w14:paraId="416CC23E">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样品称重测量</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用电子天平测量采样结果。</w:t>
            </w:r>
          </w:p>
          <w:p w14:paraId="0E755DE0">
            <w:pPr>
              <w:numPr>
                <w:ilvl w:val="0"/>
                <w:numId w:val="0"/>
              </w:numPr>
              <w:adjustRightInd w:val="0"/>
              <w:snapToGrid w:val="0"/>
              <w:spacing w:line="360" w:lineRule="auto"/>
              <w:ind w:firstLine="482" w:firstLineChars="200"/>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废一次性实验耗材（废滤膜）S3。</w:t>
            </w:r>
          </w:p>
          <w:p w14:paraId="0F899127">
            <w:pPr>
              <w:numPr>
                <w:ilvl w:val="0"/>
                <w:numId w:val="0"/>
              </w:numPr>
              <w:adjustRightInd w:val="0"/>
              <w:snapToGrid w:val="0"/>
              <w:spacing w:line="360" w:lineRule="auto"/>
              <w:ind w:firstLine="482" w:firstLineChars="200"/>
              <w:rPr>
                <w:rFonts w:hint="default" w:cs="Times New Roman"/>
                <w:b/>
                <w:bCs w:val="0"/>
                <w:color w:val="auto"/>
                <w:sz w:val="24"/>
                <w:highlight w:val="none"/>
                <w:lang w:val="en-US" w:eastAsia="zh-CN"/>
              </w:rPr>
            </w:pPr>
            <w:r>
              <w:rPr>
                <w:rFonts w:hint="eastAsia" w:cs="Times New Roman"/>
                <w:b/>
                <w:bCs w:val="0"/>
                <w:color w:val="auto"/>
                <w:sz w:val="24"/>
                <w:highlight w:val="none"/>
                <w:lang w:val="en-US" w:eastAsia="zh-CN"/>
              </w:rPr>
              <w:t>结果计算：</w:t>
            </w:r>
            <w:r>
              <w:rPr>
                <w:rFonts w:hint="eastAsia" w:cs="Times New Roman"/>
                <w:b w:val="0"/>
                <w:bCs/>
                <w:color w:val="auto"/>
                <w:sz w:val="24"/>
                <w:highlight w:val="none"/>
                <w:lang w:val="en-US" w:eastAsia="zh-CN"/>
              </w:rPr>
              <w:t>根据滤膜质量变化及采样体积计算含量。</w:t>
            </w:r>
          </w:p>
          <w:p w14:paraId="2DD3A89A">
            <w:pPr>
              <w:widowControl w:val="0"/>
              <w:numPr>
                <w:ilvl w:val="0"/>
                <w:numId w:val="20"/>
              </w:numPr>
              <w:adjustRightInd w:val="0"/>
              <w:snapToGrid w:val="0"/>
              <w:spacing w:line="360" w:lineRule="auto"/>
              <w:ind w:left="0" w:leftChars="0" w:firstLine="482" w:firstLineChars="200"/>
              <w:jc w:val="both"/>
              <w:rPr>
                <w:rFonts w:hint="default" w:cs="Times New Roman"/>
                <w:b/>
                <w:bCs w:val="0"/>
                <w:color w:val="auto"/>
                <w:sz w:val="24"/>
                <w:highlight w:val="none"/>
                <w:lang w:val="en-US" w:eastAsia="zh-CN"/>
              </w:rPr>
            </w:pPr>
            <w:r>
              <w:rPr>
                <w:rFonts w:hint="default" w:cs="Times New Roman"/>
                <w:b/>
                <w:bCs w:val="0"/>
                <w:color w:val="auto"/>
                <w:sz w:val="24"/>
                <w:highlight w:val="none"/>
                <w:lang w:val="en-US" w:eastAsia="zh-CN"/>
              </w:rPr>
              <w:t>氟化物的测定</w:t>
            </w:r>
          </w:p>
          <w:p w14:paraId="51738738">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选择合适的采样滤膜和采样头，按标准要求抽取气体，样品存放于塑料盒（袋）中密封，贮存在密闭容器中</w:t>
            </w:r>
            <w:r>
              <w:rPr>
                <w:rFonts w:hint="eastAsia" w:cs="Times New Roman"/>
                <w:b w:val="0"/>
                <w:bCs/>
                <w:color w:val="auto"/>
                <w:sz w:val="24"/>
                <w:highlight w:val="none"/>
                <w:lang w:val="en-US" w:eastAsia="zh-CN"/>
              </w:rPr>
              <w:t>待检测</w:t>
            </w:r>
            <w:r>
              <w:rPr>
                <w:rFonts w:hint="default" w:cs="Times New Roman"/>
                <w:b w:val="0"/>
                <w:bCs/>
                <w:color w:val="auto"/>
                <w:sz w:val="24"/>
                <w:highlight w:val="none"/>
                <w:lang w:val="en-US" w:eastAsia="zh-CN"/>
              </w:rPr>
              <w:t>。</w:t>
            </w:r>
          </w:p>
          <w:p w14:paraId="62989F94">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样品制备</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将样品滤膜剪成小碎块，放入50mL带盖聚乙烯瓶中，加盐酸溶液20.0mL，摇动使滤膜充分分散并浸湿后，再加入氢氧化钠溶液5.0 mL，水15.0mL及缓冲溶液10.0mL，总体积50.0mL，混匀后转移至100mL聚乙烯烧杯中待测定。</w:t>
            </w:r>
          </w:p>
          <w:p w14:paraId="19D14CC4">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样品测定</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将清洗干净的氟离子选择电极及参比电极(或复合电极)插入待测液中测定</w:t>
            </w:r>
            <w:r>
              <w:rPr>
                <w:rFonts w:hint="eastAsia" w:cs="Times New Roman"/>
                <w:b w:val="0"/>
                <w:bCs/>
                <w:color w:val="auto"/>
                <w:sz w:val="24"/>
                <w:highlight w:val="none"/>
                <w:lang w:val="en-US" w:eastAsia="zh-CN"/>
              </w:rPr>
              <w:t>，</w:t>
            </w:r>
            <w:r>
              <w:rPr>
                <w:rFonts w:hint="default" w:cs="Times New Roman"/>
                <w:b w:val="0"/>
                <w:bCs/>
                <w:color w:val="auto"/>
                <w:sz w:val="24"/>
                <w:highlight w:val="none"/>
                <w:lang w:val="en-US" w:eastAsia="zh-CN"/>
              </w:rPr>
              <w:t>读取电位响应值，同时记录测定时的温度。</w:t>
            </w:r>
          </w:p>
          <w:p w14:paraId="55940E55">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w:t>
            </w:r>
            <w:r>
              <w:rPr>
                <w:rFonts w:hint="eastAsia" w:cs="Times New Roman"/>
                <w:b/>
                <w:bCs w:val="0"/>
                <w:color w:val="auto"/>
                <w:sz w:val="24"/>
                <w:highlight w:val="none"/>
                <w:lang w:val="en-US" w:eastAsia="zh-CN"/>
              </w:rPr>
              <w:t>无机</w:t>
            </w:r>
            <w:r>
              <w:rPr>
                <w:rFonts w:hint="default" w:ascii="Times New Roman" w:hAnsi="Times New Roman" w:eastAsia="宋体" w:cs="Times New Roman"/>
                <w:b/>
                <w:bCs w:val="0"/>
                <w:color w:val="auto"/>
                <w:sz w:val="24"/>
                <w:highlight w:val="none"/>
                <w:lang w:val="en-US" w:eastAsia="zh-CN"/>
              </w:rPr>
              <w:t>废气</w:t>
            </w:r>
            <w:r>
              <w:rPr>
                <w:rFonts w:hint="eastAsia" w:cs="Times New Roman"/>
                <w:b/>
                <w:bCs w:val="0"/>
                <w:color w:val="auto"/>
                <w:sz w:val="24"/>
                <w:highlight w:val="none"/>
                <w:lang w:val="en-US" w:eastAsia="zh-CN"/>
              </w:rPr>
              <w:t>G7</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清洗废液S1、清洗废水W1、废一次性实验耗材（废手套等）S3、检测废液S4。</w:t>
            </w:r>
          </w:p>
          <w:p w14:paraId="66891800">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结果记录</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按照标准曲线计算出样品氟化物含量。</w:t>
            </w:r>
          </w:p>
          <w:p w14:paraId="0EBE2696">
            <w:pPr>
              <w:widowControl w:val="0"/>
              <w:numPr>
                <w:ilvl w:val="0"/>
                <w:numId w:val="20"/>
              </w:numPr>
              <w:adjustRightInd w:val="0"/>
              <w:snapToGrid w:val="0"/>
              <w:spacing w:line="360" w:lineRule="auto"/>
              <w:ind w:left="0" w:leftChars="0"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分光光度法</w:t>
            </w:r>
          </w:p>
          <w:p w14:paraId="7AD6D928">
            <w:pPr>
              <w:widowControl w:val="0"/>
              <w:numPr>
                <w:ilvl w:val="0"/>
                <w:numId w:val="0"/>
              </w:numPr>
              <w:adjustRightInd w:val="0"/>
              <w:snapToGrid w:val="0"/>
              <w:spacing w:line="360" w:lineRule="auto"/>
              <w:ind w:firstLine="480" w:firstLineChars="200"/>
              <w:jc w:val="both"/>
              <w:rPr>
                <w:rFonts w:hint="default" w:cs="Times New Roman"/>
                <w:b w:val="0"/>
                <w:bCs/>
                <w:color w:val="auto"/>
                <w:sz w:val="24"/>
                <w:highlight w:val="none"/>
                <w:lang w:val="en-US" w:eastAsia="zh-CN"/>
              </w:rPr>
            </w:pPr>
            <w:r>
              <w:rPr>
                <w:rFonts w:hint="default" w:cs="Times New Roman"/>
                <w:b w:val="0"/>
                <w:bCs/>
                <w:color w:val="auto"/>
                <w:sz w:val="24"/>
                <w:highlight w:val="none"/>
                <w:lang w:val="en-US" w:eastAsia="zh-CN"/>
              </w:rPr>
              <w:t>以硫化氢</w:t>
            </w:r>
            <w:r>
              <w:rPr>
                <w:rFonts w:hint="eastAsia" w:cs="Times New Roman"/>
                <w:b w:val="0"/>
                <w:bCs/>
                <w:color w:val="auto"/>
                <w:sz w:val="24"/>
                <w:highlight w:val="none"/>
                <w:lang w:val="en-US" w:eastAsia="zh-CN"/>
              </w:rPr>
              <w:t>、氨、甲醛</w:t>
            </w:r>
            <w:r>
              <w:rPr>
                <w:rFonts w:hint="default" w:cs="Times New Roman"/>
                <w:b w:val="0"/>
                <w:bCs/>
                <w:color w:val="auto"/>
                <w:sz w:val="24"/>
                <w:highlight w:val="none"/>
                <w:lang w:val="en-US" w:eastAsia="zh-CN"/>
              </w:rPr>
              <w:t>的测定为典型的产污环节</w:t>
            </w:r>
            <w:r>
              <w:rPr>
                <w:rFonts w:hint="eastAsia" w:cs="Times New Roman"/>
                <w:b w:val="0"/>
                <w:bCs/>
                <w:color w:val="auto"/>
                <w:sz w:val="24"/>
                <w:highlight w:val="none"/>
                <w:lang w:val="en-US" w:eastAsia="zh-CN"/>
              </w:rPr>
              <w:t>。</w:t>
            </w:r>
          </w:p>
          <w:p w14:paraId="7C776133">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使用</w:t>
            </w:r>
            <w:r>
              <w:rPr>
                <w:rFonts w:hint="eastAsia" w:cs="Times New Roman"/>
                <w:b w:val="0"/>
                <w:bCs/>
                <w:color w:val="auto"/>
                <w:sz w:val="24"/>
                <w:highlight w:val="none"/>
                <w:lang w:val="en-US" w:eastAsia="zh-CN"/>
              </w:rPr>
              <w:t>标准要求的</w:t>
            </w:r>
            <w:r>
              <w:rPr>
                <w:rFonts w:hint="default" w:cs="Times New Roman"/>
                <w:b w:val="0"/>
                <w:bCs/>
                <w:color w:val="auto"/>
                <w:sz w:val="24"/>
                <w:highlight w:val="none"/>
                <w:lang w:val="en-US" w:eastAsia="zh-CN"/>
              </w:rPr>
              <w:t>吸收液，用大气采样器在</w:t>
            </w:r>
            <w:r>
              <w:rPr>
                <w:rFonts w:hint="eastAsia" w:cs="Times New Roman"/>
                <w:b w:val="0"/>
                <w:bCs/>
                <w:color w:val="auto"/>
                <w:sz w:val="24"/>
                <w:highlight w:val="none"/>
                <w:lang w:val="en-US" w:eastAsia="zh-CN"/>
              </w:rPr>
              <w:t>一定</w:t>
            </w:r>
            <w:r>
              <w:rPr>
                <w:rFonts w:hint="default" w:cs="Times New Roman"/>
                <w:b w:val="0"/>
                <w:bCs/>
                <w:color w:val="auto"/>
                <w:sz w:val="24"/>
                <w:highlight w:val="none"/>
                <w:lang w:val="en-US" w:eastAsia="zh-CN"/>
              </w:rPr>
              <w:t>流量</w:t>
            </w:r>
            <w:r>
              <w:rPr>
                <w:rFonts w:hint="eastAsia" w:cs="Times New Roman"/>
                <w:b w:val="0"/>
                <w:bCs/>
                <w:color w:val="auto"/>
                <w:sz w:val="24"/>
                <w:highlight w:val="none"/>
                <w:lang w:val="en-US" w:eastAsia="zh-CN"/>
              </w:rPr>
              <w:t>下</w:t>
            </w:r>
            <w:r>
              <w:rPr>
                <w:rFonts w:hint="default" w:cs="Times New Roman"/>
                <w:b w:val="0"/>
                <w:bCs/>
                <w:color w:val="auto"/>
                <w:sz w:val="24"/>
                <w:highlight w:val="none"/>
                <w:lang w:val="en-US" w:eastAsia="zh-CN"/>
              </w:rPr>
              <w:t>采样，采集样品后</w:t>
            </w:r>
            <w:r>
              <w:rPr>
                <w:rFonts w:hint="eastAsia" w:cs="Times New Roman"/>
                <w:b w:val="0"/>
                <w:bCs/>
                <w:color w:val="auto"/>
                <w:sz w:val="24"/>
                <w:highlight w:val="none"/>
                <w:lang w:val="en-US" w:eastAsia="zh-CN"/>
              </w:rPr>
              <w:t>的吸收液</w:t>
            </w:r>
            <w:r>
              <w:rPr>
                <w:rFonts w:hint="default" w:cs="Times New Roman"/>
                <w:b w:val="0"/>
                <w:bCs/>
                <w:color w:val="auto"/>
                <w:sz w:val="24"/>
                <w:highlight w:val="none"/>
                <w:lang w:val="en-US" w:eastAsia="zh-CN"/>
              </w:rPr>
              <w:t>避光保存</w:t>
            </w:r>
            <w:r>
              <w:rPr>
                <w:rFonts w:hint="eastAsia" w:cs="Times New Roman"/>
                <w:b w:val="0"/>
                <w:bCs/>
                <w:color w:val="auto"/>
                <w:sz w:val="24"/>
                <w:highlight w:val="none"/>
                <w:lang w:val="en-US" w:eastAsia="zh-CN"/>
              </w:rPr>
              <w:t>待检测</w:t>
            </w:r>
            <w:r>
              <w:rPr>
                <w:rFonts w:hint="default" w:cs="Times New Roman"/>
                <w:b w:val="0"/>
                <w:bCs/>
                <w:color w:val="auto"/>
                <w:sz w:val="24"/>
                <w:highlight w:val="none"/>
                <w:lang w:val="en-US" w:eastAsia="zh-CN"/>
              </w:rPr>
              <w:t>。</w:t>
            </w:r>
          </w:p>
          <w:p w14:paraId="250478AF">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样品制备</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取全部吸收液，</w:t>
            </w:r>
            <w:r>
              <w:rPr>
                <w:rFonts w:hint="eastAsia" w:cs="Times New Roman"/>
                <w:b w:val="0"/>
                <w:bCs/>
                <w:color w:val="auto"/>
                <w:sz w:val="24"/>
                <w:highlight w:val="none"/>
                <w:lang w:val="en-US" w:eastAsia="zh-CN"/>
              </w:rPr>
              <w:t>用蒸馏水补充到一定体积</w:t>
            </w:r>
            <w:r>
              <w:rPr>
                <w:rFonts w:hint="default" w:cs="Times New Roman"/>
                <w:b w:val="0"/>
                <w:bCs/>
                <w:color w:val="auto"/>
                <w:sz w:val="24"/>
                <w:highlight w:val="none"/>
                <w:lang w:val="en-US" w:eastAsia="zh-CN"/>
              </w:rPr>
              <w:t>。</w:t>
            </w:r>
          </w:p>
          <w:p w14:paraId="4634C266">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上机检测</w:t>
            </w:r>
            <w:r>
              <w:rPr>
                <w:rFonts w:hint="eastAsia" w:cs="Times New Roman"/>
                <w:b/>
                <w:bCs w:val="0"/>
                <w:color w:val="auto"/>
                <w:sz w:val="24"/>
                <w:highlight w:val="none"/>
                <w:lang w:val="en-US" w:eastAsia="zh-CN"/>
              </w:rPr>
              <w:t>：</w:t>
            </w:r>
            <w:r>
              <w:rPr>
                <w:rFonts w:hint="eastAsia" w:cs="Times New Roman"/>
                <w:b w:val="0"/>
                <w:bCs/>
                <w:color w:val="auto"/>
                <w:sz w:val="24"/>
                <w:highlight w:val="none"/>
                <w:lang w:val="en-US" w:eastAsia="zh-CN"/>
              </w:rPr>
              <w:t>按标准要求加入</w:t>
            </w:r>
            <w:r>
              <w:rPr>
                <w:rFonts w:hint="default" w:cs="Times New Roman"/>
                <w:b w:val="0"/>
                <w:bCs/>
                <w:color w:val="auto"/>
                <w:sz w:val="24"/>
                <w:highlight w:val="none"/>
                <w:lang w:val="en-US" w:eastAsia="zh-CN"/>
              </w:rPr>
              <w:t>显色剂，在</w:t>
            </w:r>
            <w:r>
              <w:rPr>
                <w:rFonts w:hint="eastAsia" w:cs="Times New Roman"/>
                <w:b w:val="0"/>
                <w:bCs/>
                <w:color w:val="auto"/>
                <w:sz w:val="24"/>
                <w:highlight w:val="none"/>
                <w:lang w:val="en-US" w:eastAsia="zh-CN"/>
              </w:rPr>
              <w:t>一定波长下</w:t>
            </w:r>
            <w:r>
              <w:rPr>
                <w:rFonts w:hint="default" w:cs="Times New Roman"/>
                <w:b w:val="0"/>
                <w:bCs/>
                <w:color w:val="auto"/>
                <w:sz w:val="24"/>
                <w:highlight w:val="none"/>
                <w:lang w:val="en-US" w:eastAsia="zh-CN"/>
              </w:rPr>
              <w:t>测量吸光度。</w:t>
            </w:r>
          </w:p>
          <w:p w14:paraId="02F517E4">
            <w:pPr>
              <w:numPr>
                <w:ilvl w:val="0"/>
                <w:numId w:val="0"/>
              </w:numPr>
              <w:adjustRightInd w:val="0"/>
              <w:snapToGrid w:val="0"/>
              <w:spacing w:line="360" w:lineRule="auto"/>
              <w:ind w:firstLine="482" w:firstLineChars="200"/>
              <w:rPr>
                <w:rFonts w:hint="default"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w:t>
            </w:r>
            <w:r>
              <w:rPr>
                <w:rFonts w:hint="eastAsia" w:cs="Times New Roman"/>
                <w:b/>
                <w:bCs w:val="0"/>
                <w:color w:val="auto"/>
                <w:sz w:val="24"/>
                <w:highlight w:val="none"/>
                <w:lang w:val="en-US" w:eastAsia="zh-CN"/>
              </w:rPr>
              <w:t>无机</w:t>
            </w:r>
            <w:r>
              <w:rPr>
                <w:rFonts w:hint="default" w:ascii="Times New Roman" w:hAnsi="Times New Roman" w:eastAsia="宋体" w:cs="Times New Roman"/>
                <w:b/>
                <w:bCs w:val="0"/>
                <w:color w:val="auto"/>
                <w:sz w:val="24"/>
                <w:highlight w:val="none"/>
                <w:lang w:val="en-US" w:eastAsia="zh-CN"/>
              </w:rPr>
              <w:t>废气</w:t>
            </w:r>
            <w:r>
              <w:rPr>
                <w:rFonts w:hint="eastAsia" w:cs="Times New Roman"/>
                <w:b/>
                <w:bCs w:val="0"/>
                <w:color w:val="auto"/>
                <w:sz w:val="24"/>
                <w:highlight w:val="none"/>
                <w:lang w:val="en-US" w:eastAsia="zh-CN"/>
              </w:rPr>
              <w:t>G8</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清洗废液S1、清洗废水W1、废一次性实验耗材（废手套等）S3、检测废液S4。</w:t>
            </w:r>
          </w:p>
          <w:p w14:paraId="29CB39E4">
            <w:pPr>
              <w:widowControl w:val="0"/>
              <w:numPr>
                <w:ilvl w:val="0"/>
                <w:numId w:val="20"/>
              </w:numPr>
              <w:adjustRightInd w:val="0"/>
              <w:snapToGrid w:val="0"/>
              <w:spacing w:line="360" w:lineRule="auto"/>
              <w:ind w:left="0" w:leftChars="0" w:firstLine="482" w:firstLineChars="200"/>
              <w:jc w:val="both"/>
              <w:rPr>
                <w:rFonts w:hint="default" w:cs="Times New Roman"/>
                <w:b/>
                <w:bCs w:val="0"/>
                <w:color w:val="auto"/>
                <w:sz w:val="24"/>
                <w:highlight w:val="none"/>
                <w:lang w:val="en-US" w:eastAsia="zh-CN"/>
              </w:rPr>
            </w:pPr>
            <w:r>
              <w:rPr>
                <w:rFonts w:hint="default" w:cs="Times New Roman"/>
                <w:b/>
                <w:bCs w:val="0"/>
                <w:color w:val="auto"/>
                <w:sz w:val="24"/>
                <w:highlight w:val="none"/>
                <w:lang w:val="en-US" w:eastAsia="zh-CN"/>
              </w:rPr>
              <w:t>三点式比臭法</w:t>
            </w:r>
          </w:p>
          <w:p w14:paraId="35CEC023">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样品采集与保存</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使用采样袋</w:t>
            </w:r>
            <w:r>
              <w:rPr>
                <w:rFonts w:hint="eastAsia" w:cs="Times New Roman"/>
                <w:b w:val="0"/>
                <w:bCs/>
                <w:color w:val="auto"/>
                <w:sz w:val="24"/>
                <w:highlight w:val="none"/>
                <w:lang w:val="en-US" w:eastAsia="zh-CN"/>
              </w:rPr>
              <w:t>采集</w:t>
            </w:r>
            <w:r>
              <w:rPr>
                <w:rFonts w:hint="default" w:cs="Times New Roman"/>
                <w:b w:val="0"/>
                <w:bCs/>
                <w:color w:val="auto"/>
                <w:sz w:val="24"/>
                <w:highlight w:val="none"/>
                <w:lang w:val="en-US" w:eastAsia="zh-CN"/>
              </w:rPr>
              <w:t>3L</w:t>
            </w:r>
            <w:r>
              <w:rPr>
                <w:rFonts w:hint="eastAsia" w:cs="Times New Roman"/>
                <w:b w:val="0"/>
                <w:bCs/>
                <w:color w:val="auto"/>
                <w:sz w:val="24"/>
                <w:highlight w:val="none"/>
                <w:lang w:val="en-US" w:eastAsia="zh-CN"/>
              </w:rPr>
              <w:t>样品</w:t>
            </w:r>
            <w:r>
              <w:rPr>
                <w:rFonts w:hint="default" w:cs="Times New Roman"/>
                <w:b w:val="0"/>
                <w:bCs/>
                <w:color w:val="auto"/>
                <w:sz w:val="24"/>
                <w:highlight w:val="none"/>
                <w:lang w:val="en-US" w:eastAsia="zh-CN"/>
              </w:rPr>
              <w:t>，3个为一组，采集样品后避光保存。</w:t>
            </w:r>
          </w:p>
          <w:p w14:paraId="61024B53">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初始稀释倍数确定</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配气人员将臭气样品按稀释梯度配制一组嗅辨气袋，进行嗅辨尝试，从中选择一个既能明显嗅出气味又不强烈刺激的嗅辨气袋，以此嗅辨气袋的稀释倍数作为实验初始稀释倍数。</w:t>
            </w:r>
          </w:p>
          <w:p w14:paraId="59BE593C">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制作嗅辩组</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将18只3L嗅辨气袋分成6组，每一组的3只气袋上分别标明A、B、C号，其中一只按初始稀释倍数，将样品气体定量注入充有无臭空气的嗅辨气袋，其余两只仅充满无臭空气，然后将6组嗅辨气袋发给6名嗅辨员嗅辨，每个稀释倍数实验重复进行三次。此过程产生样品臭气，经嗅辩台的集气罩收集接入活性炭吸附装置处理后排放。</w:t>
            </w:r>
          </w:p>
          <w:p w14:paraId="1AE2149F">
            <w:pPr>
              <w:widowControl w:val="0"/>
              <w:numPr>
                <w:ilvl w:val="0"/>
                <w:numId w:val="0"/>
              </w:numPr>
              <w:adjustRightInd w:val="0"/>
              <w:snapToGrid w:val="0"/>
              <w:spacing w:line="360" w:lineRule="auto"/>
              <w:ind w:firstLine="482" w:firstLineChars="200"/>
              <w:jc w:val="both"/>
              <w:rPr>
                <w:rFonts w:hint="default" w:cs="Times New Roman"/>
                <w:b w:val="0"/>
                <w:bCs/>
                <w:color w:val="auto"/>
                <w:sz w:val="24"/>
                <w:highlight w:val="none"/>
                <w:lang w:val="en-US" w:eastAsia="zh-CN"/>
              </w:rPr>
            </w:pPr>
            <w:r>
              <w:rPr>
                <w:rFonts w:hint="default" w:cs="Times New Roman"/>
                <w:b/>
                <w:bCs w:val="0"/>
                <w:color w:val="auto"/>
                <w:sz w:val="24"/>
                <w:highlight w:val="none"/>
                <w:lang w:val="en-US" w:eastAsia="zh-CN"/>
              </w:rPr>
              <w:t>数据计算</w:t>
            </w:r>
            <w:r>
              <w:rPr>
                <w:rFonts w:hint="eastAsia" w:cs="Times New Roman"/>
                <w:b/>
                <w:bCs w:val="0"/>
                <w:color w:val="auto"/>
                <w:sz w:val="24"/>
                <w:highlight w:val="none"/>
                <w:lang w:val="en-US" w:eastAsia="zh-CN"/>
              </w:rPr>
              <w:t>：</w:t>
            </w:r>
            <w:r>
              <w:rPr>
                <w:rFonts w:hint="default" w:cs="Times New Roman"/>
                <w:b w:val="0"/>
                <w:bCs/>
                <w:color w:val="auto"/>
                <w:sz w:val="24"/>
                <w:highlight w:val="none"/>
                <w:lang w:val="en-US" w:eastAsia="zh-CN"/>
              </w:rPr>
              <w:t>逐步增加稀释倍数重复</w:t>
            </w:r>
            <w:r>
              <w:rPr>
                <w:rFonts w:hint="eastAsia" w:cs="Times New Roman"/>
                <w:b w:val="0"/>
                <w:bCs/>
                <w:color w:val="auto"/>
                <w:sz w:val="24"/>
                <w:highlight w:val="none"/>
                <w:lang w:val="en-US" w:eastAsia="zh-CN"/>
              </w:rPr>
              <w:t>以上步骤，</w:t>
            </w:r>
            <w:r>
              <w:rPr>
                <w:rFonts w:hint="default" w:cs="Times New Roman"/>
                <w:b w:val="0"/>
                <w:bCs/>
                <w:color w:val="auto"/>
                <w:sz w:val="24"/>
                <w:highlight w:val="none"/>
                <w:lang w:val="en-US" w:eastAsia="zh-CN"/>
              </w:rPr>
              <w:t>直至嗅辩不出臭味实验结束，计算臭气浓度。</w:t>
            </w:r>
          </w:p>
          <w:p w14:paraId="1B5E6B22">
            <w:pPr>
              <w:numPr>
                <w:ilvl w:val="0"/>
                <w:numId w:val="0"/>
              </w:numPr>
              <w:adjustRightInd w:val="0"/>
              <w:snapToGrid w:val="0"/>
              <w:spacing w:line="360" w:lineRule="auto"/>
              <w:ind w:firstLine="482" w:firstLineChars="200"/>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废一次性实验耗材（废气袋）S3。</w:t>
            </w:r>
          </w:p>
          <w:p w14:paraId="1DF8024A">
            <w:pPr>
              <w:widowControl w:val="0"/>
              <w:numPr>
                <w:ilvl w:val="0"/>
                <w:numId w:val="18"/>
              </w:numPr>
              <w:adjustRightInd w:val="0"/>
              <w:snapToGrid w:val="0"/>
              <w:spacing w:line="360" w:lineRule="auto"/>
              <w:ind w:left="0" w:leftChars="0" w:firstLine="482" w:firstLineChars="200"/>
              <w:jc w:val="both"/>
              <w:rPr>
                <w:rFonts w:hint="default" w:cs="Times New Roman"/>
                <w:b/>
                <w:bCs w:val="0"/>
                <w:color w:val="auto"/>
                <w:sz w:val="24"/>
                <w:highlight w:val="none"/>
                <w:lang w:val="en-US" w:eastAsia="zh-CN"/>
              </w:rPr>
            </w:pPr>
            <w:r>
              <w:rPr>
                <w:rFonts w:hint="eastAsia" w:cs="Times New Roman"/>
                <w:b/>
                <w:bCs w:val="0"/>
                <w:color w:val="auto"/>
                <w:sz w:val="24"/>
                <w:highlight w:val="none"/>
                <w:lang w:val="en-US" w:eastAsia="zh-CN"/>
              </w:rPr>
              <w:t>固体类土壤检测</w:t>
            </w:r>
          </w:p>
          <w:p w14:paraId="1E356397">
            <w:pPr>
              <w:numPr>
                <w:ilvl w:val="0"/>
                <w:numId w:val="21"/>
              </w:numPr>
              <w:adjustRightInd w:val="0"/>
              <w:snapToGrid w:val="0"/>
              <w:spacing w:line="360" w:lineRule="auto"/>
              <w:ind w:left="0" w:leftChars="0" w:firstLine="482" w:firstLineChars="200"/>
              <w:rPr>
                <w:rFonts w:hint="eastAsia" w:cs="Times New Roman"/>
                <w:b/>
                <w:bCs w:val="0"/>
                <w:color w:val="auto"/>
                <w:sz w:val="24"/>
                <w:highlight w:val="none"/>
                <w:lang w:val="en-US" w:eastAsia="zh-CN"/>
              </w:rPr>
            </w:pPr>
            <w:r>
              <w:rPr>
                <w:rFonts w:hint="default" w:cs="Times New Roman"/>
                <w:b/>
                <w:bCs w:val="0"/>
                <w:color w:val="auto"/>
                <w:sz w:val="24"/>
                <w:highlight w:val="none"/>
                <w:lang w:val="en-US" w:eastAsia="zh-CN"/>
              </w:rPr>
              <w:t>现场采样与保存：</w:t>
            </w:r>
          </w:p>
          <w:p w14:paraId="178F8AA1">
            <w:pPr>
              <w:numPr>
                <w:ilvl w:val="0"/>
                <w:numId w:val="0"/>
              </w:numPr>
              <w:adjustRightInd w:val="0"/>
              <w:snapToGrid w:val="0"/>
              <w:spacing w:line="360" w:lineRule="auto"/>
              <w:ind w:firstLine="480" w:firstLineChars="200"/>
              <w:rPr>
                <w:rFonts w:hint="default" w:cs="Times New Roman"/>
                <w:b w:val="0"/>
                <w:bCs/>
                <w:color w:val="auto"/>
                <w:sz w:val="24"/>
                <w:highlight w:val="none"/>
                <w:lang w:val="en-US" w:eastAsia="zh-CN"/>
              </w:rPr>
            </w:pPr>
            <w:r>
              <w:rPr>
                <w:rFonts w:hint="eastAsia" w:cs="Times New Roman"/>
                <w:b w:val="0"/>
                <w:bCs/>
                <w:color w:val="auto"/>
                <w:sz w:val="24"/>
                <w:highlight w:val="none"/>
                <w:lang w:val="en-US" w:eastAsia="zh-CN"/>
              </w:rPr>
              <w:t>用木铲采集土壤样品，</w:t>
            </w:r>
            <w:r>
              <w:rPr>
                <w:rFonts w:hint="default" w:cs="Times New Roman"/>
                <w:b w:val="0"/>
                <w:bCs/>
                <w:color w:val="auto"/>
                <w:sz w:val="24"/>
                <w:highlight w:val="none"/>
                <w:lang w:val="en-US" w:eastAsia="zh-CN"/>
              </w:rPr>
              <w:t>详细填写样品标签和现场记录单。</w:t>
            </w:r>
          </w:p>
          <w:p w14:paraId="54F51A7A">
            <w:pPr>
              <w:numPr>
                <w:ilvl w:val="0"/>
                <w:numId w:val="0"/>
              </w:numPr>
              <w:adjustRightInd w:val="0"/>
              <w:snapToGrid w:val="0"/>
              <w:spacing w:line="360" w:lineRule="auto"/>
              <w:ind w:firstLine="480" w:firstLineChars="200"/>
              <w:rPr>
                <w:rFonts w:hint="default" w:cs="Times New Roman"/>
                <w:b w:val="0"/>
                <w:bCs/>
                <w:color w:val="auto"/>
                <w:sz w:val="24"/>
                <w:highlight w:val="none"/>
                <w:lang w:val="en-US" w:eastAsia="zh-CN"/>
              </w:rPr>
            </w:pPr>
            <w:r>
              <w:rPr>
                <w:rFonts w:hint="default" w:cs="Times New Roman"/>
                <w:b w:val="0"/>
                <w:bCs/>
                <w:color w:val="auto"/>
                <w:sz w:val="24"/>
                <w:highlight w:val="none"/>
                <w:lang w:val="en-US" w:eastAsia="zh-CN"/>
              </w:rPr>
              <w:t>VOCs样品必须装入预先添加甲醇保护剂的棕色玻璃瓶中，装满且无顶空，并立即放入内置蓝冰的4℃冷藏箱中避光保存</w:t>
            </w:r>
            <w:r>
              <w:rPr>
                <w:rFonts w:hint="eastAsia" w:cs="Times New Roman"/>
                <w:b w:val="0"/>
                <w:bCs/>
                <w:color w:val="auto"/>
                <w:sz w:val="24"/>
                <w:highlight w:val="none"/>
                <w:lang w:val="en-US" w:eastAsia="zh-CN"/>
              </w:rPr>
              <w:t>，</w:t>
            </w:r>
            <w:r>
              <w:rPr>
                <w:rFonts w:hint="default" w:cs="Times New Roman"/>
                <w:b w:val="0"/>
                <w:bCs/>
                <w:color w:val="auto"/>
                <w:sz w:val="24"/>
                <w:highlight w:val="none"/>
                <w:lang w:val="en-US" w:eastAsia="zh-CN"/>
              </w:rPr>
              <w:t>其他样品可装入自封袋或玻璃瓶中</w:t>
            </w:r>
            <w:r>
              <w:rPr>
                <w:rFonts w:hint="eastAsia" w:cs="Times New Roman"/>
                <w:b w:val="0"/>
                <w:bCs/>
                <w:color w:val="auto"/>
                <w:sz w:val="24"/>
                <w:highlight w:val="none"/>
                <w:lang w:val="en-US" w:eastAsia="zh-CN"/>
              </w:rPr>
              <w:t>，</w:t>
            </w:r>
            <w:r>
              <w:rPr>
                <w:rFonts w:hint="default" w:cs="Times New Roman"/>
                <w:b w:val="0"/>
                <w:bCs/>
                <w:color w:val="auto"/>
                <w:sz w:val="24"/>
                <w:highlight w:val="none"/>
                <w:lang w:val="en-US" w:eastAsia="zh-CN"/>
              </w:rPr>
              <w:t>所有样品在运输和等待分析期间均</w:t>
            </w:r>
            <w:r>
              <w:rPr>
                <w:rFonts w:hint="eastAsia" w:cs="Times New Roman"/>
                <w:b w:val="0"/>
                <w:bCs/>
                <w:color w:val="auto"/>
                <w:sz w:val="24"/>
                <w:highlight w:val="none"/>
                <w:lang w:val="en-US" w:eastAsia="zh-CN"/>
              </w:rPr>
              <w:t>须</w:t>
            </w:r>
            <w:r>
              <w:rPr>
                <w:rFonts w:hint="default" w:cs="Times New Roman"/>
                <w:b w:val="0"/>
                <w:bCs/>
                <w:color w:val="auto"/>
                <w:sz w:val="24"/>
                <w:highlight w:val="none"/>
                <w:lang w:val="en-US" w:eastAsia="zh-CN"/>
              </w:rPr>
              <w:t>在4℃低温下保存。</w:t>
            </w:r>
          </w:p>
          <w:p w14:paraId="11E9529E">
            <w:pPr>
              <w:numPr>
                <w:ilvl w:val="0"/>
                <w:numId w:val="0"/>
              </w:numPr>
              <w:adjustRightInd w:val="0"/>
              <w:snapToGrid w:val="0"/>
              <w:spacing w:line="360" w:lineRule="auto"/>
              <w:ind w:firstLine="482" w:firstLineChars="200"/>
              <w:rPr>
                <w:rFonts w:hint="eastAsia" w:cs="Times New Roman"/>
                <w:b w:val="0"/>
                <w:bCs/>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废一次性实验耗材（废手套）S3。</w:t>
            </w:r>
          </w:p>
          <w:p w14:paraId="6FA53C7C">
            <w:pPr>
              <w:numPr>
                <w:ilvl w:val="0"/>
                <w:numId w:val="21"/>
              </w:numPr>
              <w:adjustRightInd w:val="0"/>
              <w:snapToGrid w:val="0"/>
              <w:spacing w:line="360" w:lineRule="auto"/>
              <w:ind w:left="0" w:leftChars="0" w:firstLine="482" w:firstLineChars="200"/>
              <w:rPr>
                <w:rFonts w:hint="eastAsia" w:cs="Times New Roman"/>
                <w:b w:val="0"/>
                <w:bCs/>
                <w:color w:val="auto"/>
                <w:sz w:val="24"/>
                <w:highlight w:val="none"/>
                <w:lang w:val="en-US" w:eastAsia="zh-CN"/>
              </w:rPr>
            </w:pPr>
            <w:r>
              <w:rPr>
                <w:rFonts w:hint="eastAsia" w:cs="Times New Roman"/>
                <w:b/>
                <w:bCs w:val="0"/>
                <w:color w:val="auto"/>
                <w:sz w:val="24"/>
                <w:highlight w:val="none"/>
                <w:lang w:val="en-US" w:eastAsia="zh-CN"/>
              </w:rPr>
              <w:t>样品处理</w:t>
            </w:r>
            <w:r>
              <w:rPr>
                <w:rFonts w:hint="default" w:cs="Times New Roman"/>
                <w:b w:val="0"/>
                <w:bCs/>
                <w:color w:val="auto"/>
                <w:sz w:val="24"/>
                <w:highlight w:val="none"/>
                <w:lang w:val="en-US" w:eastAsia="zh-CN"/>
              </w:rPr>
              <w:t xml:space="preserve"> </w:t>
            </w:r>
          </w:p>
          <w:p w14:paraId="6A72A717">
            <w:pPr>
              <w:numPr>
                <w:ilvl w:val="0"/>
                <w:numId w:val="0"/>
              </w:numPr>
              <w:adjustRightInd w:val="0"/>
              <w:snapToGrid w:val="0"/>
              <w:spacing w:line="360" w:lineRule="auto"/>
              <w:ind w:firstLine="480" w:firstLineChars="200"/>
              <w:rPr>
                <w:rFonts w:hint="eastAsia" w:cs="Times New Roman"/>
                <w:b w:val="0"/>
                <w:bCs/>
                <w:color w:val="auto"/>
                <w:sz w:val="24"/>
                <w:highlight w:val="none"/>
                <w:lang w:val="en-US" w:eastAsia="zh-CN"/>
              </w:rPr>
            </w:pPr>
            <w:r>
              <w:rPr>
                <w:rFonts w:hint="default" w:cs="Times New Roman"/>
                <w:b w:val="0"/>
                <w:bCs/>
                <w:color w:val="auto"/>
                <w:sz w:val="24"/>
                <w:highlight w:val="none"/>
                <w:lang w:val="en-US" w:eastAsia="zh-CN"/>
              </w:rPr>
              <w:t>除VOCs和恶臭污染物等需新鲜样品的测试外，</w:t>
            </w:r>
            <w:r>
              <w:rPr>
                <w:rFonts w:hint="eastAsia" w:cs="Times New Roman"/>
                <w:b w:val="0"/>
                <w:bCs/>
                <w:color w:val="auto"/>
                <w:sz w:val="24"/>
                <w:highlight w:val="none"/>
                <w:lang w:val="en-US" w:eastAsia="zh-CN"/>
              </w:rPr>
              <w:t>其他</w:t>
            </w:r>
            <w:r>
              <w:rPr>
                <w:rFonts w:hint="default" w:cs="Times New Roman"/>
                <w:b w:val="0"/>
                <w:bCs/>
                <w:color w:val="auto"/>
                <w:sz w:val="24"/>
                <w:highlight w:val="none"/>
                <w:lang w:val="en-US" w:eastAsia="zh-CN"/>
              </w:rPr>
              <w:t>样品需在通风无尘的室内风干，剔除石块和植物根系。用玛瑙研钵或木槌研磨后，过不同目数的尼龙筛，装袋待</w:t>
            </w:r>
            <w:r>
              <w:rPr>
                <w:rFonts w:hint="eastAsia" w:cs="Times New Roman"/>
                <w:b w:val="0"/>
                <w:bCs/>
                <w:color w:val="auto"/>
                <w:sz w:val="24"/>
                <w:highlight w:val="none"/>
                <w:lang w:val="en-US" w:eastAsia="zh-CN"/>
              </w:rPr>
              <w:t>检测</w:t>
            </w:r>
            <w:r>
              <w:rPr>
                <w:rFonts w:hint="default" w:cs="Times New Roman"/>
                <w:b w:val="0"/>
                <w:bCs/>
                <w:color w:val="auto"/>
                <w:sz w:val="24"/>
                <w:highlight w:val="none"/>
                <w:lang w:val="en-US" w:eastAsia="zh-CN"/>
              </w:rPr>
              <w:t>。</w:t>
            </w:r>
          </w:p>
          <w:p w14:paraId="21A4EA33">
            <w:pPr>
              <w:numPr>
                <w:ilvl w:val="0"/>
                <w:numId w:val="21"/>
              </w:numPr>
              <w:adjustRightInd w:val="0"/>
              <w:snapToGrid w:val="0"/>
              <w:spacing w:line="360" w:lineRule="auto"/>
              <w:ind w:left="0" w:leftChars="0" w:firstLine="480" w:firstLineChars="200"/>
              <w:rPr>
                <w:rFonts w:hint="eastAsia" w:cs="Times New Roman"/>
                <w:b/>
                <w:bCs w:val="0"/>
                <w:color w:val="auto"/>
                <w:sz w:val="24"/>
                <w:highlight w:val="none"/>
                <w:lang w:val="en-US" w:eastAsia="zh-CN"/>
              </w:rPr>
            </w:pPr>
            <w:r>
              <w:rPr>
                <w:rFonts w:hint="default" w:cs="Times New Roman"/>
                <w:b w:val="0"/>
                <w:bCs/>
                <w:color w:val="auto"/>
                <w:sz w:val="24"/>
                <w:highlight w:val="none"/>
                <w:lang w:val="en-US" w:eastAsia="zh-CN"/>
              </w:rPr>
              <w:t>根据检测项目的不同，采用不同的前处理方法将待测物从土壤基质中提取出来。酸消解/碱熔用于重金属分析</w:t>
            </w:r>
            <w:r>
              <w:rPr>
                <w:rFonts w:hint="eastAsia" w:cs="Times New Roman"/>
                <w:b w:val="0"/>
                <w:bCs/>
                <w:color w:val="auto"/>
                <w:sz w:val="24"/>
                <w:highlight w:val="none"/>
                <w:lang w:val="en-US" w:eastAsia="zh-CN"/>
              </w:rPr>
              <w:t>；</w:t>
            </w:r>
            <w:r>
              <w:rPr>
                <w:rFonts w:hint="default" w:cs="Times New Roman"/>
                <w:b w:val="0"/>
                <w:bCs/>
                <w:color w:val="auto"/>
                <w:sz w:val="24"/>
                <w:highlight w:val="none"/>
                <w:lang w:val="en-US" w:eastAsia="zh-CN"/>
              </w:rPr>
              <w:t>索氏提取、加压流体萃取（ASE） 用于有机污染物分析</w:t>
            </w:r>
            <w:r>
              <w:rPr>
                <w:rFonts w:hint="eastAsia" w:cs="Times New Roman"/>
                <w:b w:val="0"/>
                <w:bCs/>
                <w:color w:val="auto"/>
                <w:sz w:val="24"/>
                <w:highlight w:val="none"/>
                <w:lang w:val="en-US" w:eastAsia="zh-CN"/>
              </w:rPr>
              <w:t>；</w:t>
            </w:r>
            <w:r>
              <w:rPr>
                <w:rFonts w:hint="default" w:cs="Times New Roman"/>
                <w:b w:val="0"/>
                <w:bCs/>
                <w:color w:val="auto"/>
                <w:sz w:val="24"/>
                <w:highlight w:val="none"/>
                <w:lang w:val="en-US" w:eastAsia="zh-CN"/>
              </w:rPr>
              <w:t>吹扫捕集、顶空用于VOCs分析。</w:t>
            </w:r>
          </w:p>
          <w:p w14:paraId="0C042143">
            <w:pPr>
              <w:numPr>
                <w:ilvl w:val="0"/>
                <w:numId w:val="0"/>
              </w:numPr>
              <w:adjustRightInd w:val="0"/>
              <w:snapToGrid w:val="0"/>
              <w:spacing w:line="360" w:lineRule="auto"/>
              <w:ind w:firstLine="482" w:firstLineChars="200"/>
              <w:rPr>
                <w:rFonts w:hint="eastAsia"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w:t>
            </w:r>
            <w:r>
              <w:rPr>
                <w:rFonts w:hint="eastAsia" w:cs="Times New Roman"/>
                <w:b/>
                <w:bCs w:val="0"/>
                <w:color w:val="auto"/>
                <w:sz w:val="24"/>
                <w:highlight w:val="none"/>
                <w:lang w:val="en-US" w:eastAsia="zh-CN"/>
              </w:rPr>
              <w:t>废一次性实验耗材（废气袋）S3。</w:t>
            </w:r>
          </w:p>
          <w:p w14:paraId="7CEDB6AA">
            <w:pPr>
              <w:numPr>
                <w:ilvl w:val="0"/>
                <w:numId w:val="21"/>
              </w:numPr>
              <w:adjustRightInd w:val="0"/>
              <w:snapToGrid w:val="0"/>
              <w:spacing w:line="360" w:lineRule="auto"/>
              <w:ind w:left="0" w:leftChars="0" w:firstLine="482" w:firstLineChars="200"/>
              <w:rPr>
                <w:rFonts w:hint="eastAsia" w:cs="Times New Roman"/>
                <w:b/>
                <w:bCs w:val="0"/>
                <w:color w:val="auto"/>
                <w:sz w:val="24"/>
                <w:highlight w:val="none"/>
                <w:lang w:val="en-US" w:eastAsia="zh-CN"/>
              </w:rPr>
            </w:pPr>
            <w:r>
              <w:rPr>
                <w:rFonts w:hint="default" w:cs="Times New Roman"/>
                <w:b/>
                <w:bCs w:val="0"/>
                <w:color w:val="auto"/>
                <w:sz w:val="24"/>
                <w:highlight w:val="none"/>
                <w:lang w:val="en-US" w:eastAsia="zh-CN"/>
              </w:rPr>
              <w:t>上机检测</w:t>
            </w:r>
          </w:p>
          <w:p w14:paraId="2FEADD48">
            <w:pPr>
              <w:numPr>
                <w:ilvl w:val="0"/>
                <w:numId w:val="0"/>
              </w:numPr>
              <w:adjustRightInd w:val="0"/>
              <w:snapToGrid w:val="0"/>
              <w:spacing w:line="360" w:lineRule="auto"/>
              <w:ind w:firstLine="480" w:firstLineChars="200"/>
              <w:rPr>
                <w:rFonts w:hint="eastAsia" w:cs="Times New Roman"/>
                <w:b w:val="0"/>
                <w:bCs/>
                <w:color w:val="auto"/>
                <w:sz w:val="24"/>
                <w:highlight w:val="none"/>
                <w:lang w:val="en-US" w:eastAsia="zh-CN"/>
              </w:rPr>
            </w:pPr>
            <w:r>
              <w:rPr>
                <w:rFonts w:hint="default" w:cs="Times New Roman"/>
                <w:b w:val="0"/>
                <w:bCs/>
                <w:color w:val="auto"/>
                <w:sz w:val="24"/>
                <w:highlight w:val="none"/>
                <w:lang w:val="en-US" w:eastAsia="zh-CN"/>
              </w:rPr>
              <w:t>重金属（铅、镉、汞、砷等）：采用电感耦合等离子体质谱法（ICP-MS）、原子吸收光谱法（AAS）等。</w:t>
            </w:r>
          </w:p>
          <w:p w14:paraId="4BDC27B8">
            <w:pPr>
              <w:numPr>
                <w:ilvl w:val="0"/>
                <w:numId w:val="0"/>
              </w:numPr>
              <w:adjustRightInd w:val="0"/>
              <w:snapToGrid w:val="0"/>
              <w:spacing w:line="360" w:lineRule="auto"/>
              <w:ind w:firstLine="480" w:firstLineChars="200"/>
              <w:rPr>
                <w:rFonts w:hint="eastAsia" w:cs="Times New Roman"/>
                <w:b w:val="0"/>
                <w:bCs/>
                <w:color w:val="auto"/>
                <w:sz w:val="24"/>
                <w:highlight w:val="none"/>
                <w:lang w:val="en-US" w:eastAsia="zh-CN"/>
              </w:rPr>
            </w:pPr>
            <w:r>
              <w:rPr>
                <w:rFonts w:hint="default" w:cs="Times New Roman"/>
                <w:b w:val="0"/>
                <w:bCs/>
                <w:color w:val="auto"/>
                <w:sz w:val="24"/>
                <w:highlight w:val="none"/>
                <w:lang w:val="en-US" w:eastAsia="zh-CN"/>
              </w:rPr>
              <w:t>VOCs：采用气相色谱-质谱联用（GC-MS）。</w:t>
            </w:r>
          </w:p>
          <w:p w14:paraId="47634F96">
            <w:pPr>
              <w:numPr>
                <w:ilvl w:val="0"/>
                <w:numId w:val="0"/>
              </w:numPr>
              <w:adjustRightInd w:val="0"/>
              <w:snapToGrid w:val="0"/>
              <w:spacing w:line="360" w:lineRule="auto"/>
              <w:ind w:firstLine="480" w:firstLineChars="200"/>
              <w:rPr>
                <w:rFonts w:hint="eastAsia" w:cs="Times New Roman"/>
                <w:b w:val="0"/>
                <w:bCs/>
                <w:color w:val="auto"/>
                <w:sz w:val="24"/>
                <w:highlight w:val="none"/>
                <w:lang w:val="en-US" w:eastAsia="zh-CN"/>
              </w:rPr>
            </w:pPr>
            <w:r>
              <w:rPr>
                <w:rFonts w:hint="default" w:cs="Times New Roman"/>
                <w:b w:val="0"/>
                <w:bCs/>
                <w:color w:val="auto"/>
                <w:sz w:val="24"/>
                <w:highlight w:val="none"/>
                <w:lang w:val="en-US" w:eastAsia="zh-CN"/>
              </w:rPr>
              <w:t>石油烃（TPH）：采用气相色谱-氢火焰离子化检测器（GC-FID）。</w:t>
            </w:r>
          </w:p>
          <w:p w14:paraId="53FACC01">
            <w:pPr>
              <w:numPr>
                <w:ilvl w:val="0"/>
                <w:numId w:val="0"/>
              </w:numPr>
              <w:adjustRightInd w:val="0"/>
              <w:snapToGrid w:val="0"/>
              <w:spacing w:line="360" w:lineRule="auto"/>
              <w:ind w:firstLine="482" w:firstLineChars="200"/>
              <w:rPr>
                <w:rFonts w:hint="default" w:cs="Times New Roman"/>
                <w:b/>
                <w:bCs w:val="0"/>
                <w:color w:val="auto"/>
                <w:sz w:val="24"/>
                <w:highlight w:val="none"/>
                <w:lang w:val="en-US" w:eastAsia="zh-CN"/>
              </w:rPr>
            </w:pPr>
            <w:r>
              <w:rPr>
                <w:rFonts w:hint="eastAsia" w:cs="Times New Roman"/>
                <w:b/>
                <w:bCs w:val="0"/>
                <w:color w:val="auto"/>
                <w:sz w:val="24"/>
                <w:highlight w:val="none"/>
                <w:lang w:val="en-US" w:eastAsia="zh-CN"/>
              </w:rPr>
              <w:t>该</w:t>
            </w:r>
            <w:r>
              <w:rPr>
                <w:rFonts w:hint="default" w:ascii="Times New Roman" w:hAnsi="Times New Roman" w:eastAsia="宋体" w:cs="Times New Roman"/>
                <w:b/>
                <w:bCs w:val="0"/>
                <w:color w:val="auto"/>
                <w:sz w:val="24"/>
                <w:highlight w:val="none"/>
                <w:lang w:val="en-US" w:eastAsia="zh-CN"/>
              </w:rPr>
              <w:t>过程产生挥发性</w:t>
            </w:r>
            <w:r>
              <w:rPr>
                <w:rFonts w:hint="eastAsia" w:cs="Times New Roman"/>
                <w:b/>
                <w:bCs w:val="0"/>
                <w:color w:val="auto"/>
                <w:sz w:val="24"/>
                <w:highlight w:val="none"/>
                <w:lang w:val="en-US" w:eastAsia="zh-CN"/>
              </w:rPr>
              <w:t>无机</w:t>
            </w:r>
            <w:r>
              <w:rPr>
                <w:rFonts w:hint="default" w:ascii="Times New Roman" w:hAnsi="Times New Roman" w:eastAsia="宋体" w:cs="Times New Roman"/>
                <w:b/>
                <w:bCs w:val="0"/>
                <w:color w:val="auto"/>
                <w:sz w:val="24"/>
                <w:highlight w:val="none"/>
                <w:lang w:val="en-US" w:eastAsia="zh-CN"/>
              </w:rPr>
              <w:t>废气</w:t>
            </w:r>
            <w:r>
              <w:rPr>
                <w:rFonts w:hint="eastAsia" w:cs="Times New Roman"/>
                <w:b/>
                <w:bCs w:val="0"/>
                <w:color w:val="auto"/>
                <w:sz w:val="24"/>
                <w:highlight w:val="none"/>
                <w:lang w:val="en-US" w:eastAsia="zh-CN"/>
              </w:rPr>
              <w:t>G7</w:t>
            </w:r>
            <w:r>
              <w:rPr>
                <w:rFonts w:hint="default" w:ascii="Times New Roman" w:hAnsi="Times New Roman" w:eastAsia="宋体" w:cs="Times New Roman"/>
                <w:b/>
                <w:bCs w:val="0"/>
                <w:color w:val="auto"/>
                <w:sz w:val="24"/>
                <w:highlight w:val="none"/>
                <w:lang w:val="en-US" w:eastAsia="zh-CN"/>
              </w:rPr>
              <w:t>、</w:t>
            </w:r>
            <w:r>
              <w:rPr>
                <w:rFonts w:hint="eastAsia" w:cs="Times New Roman"/>
                <w:b/>
                <w:bCs w:val="0"/>
                <w:color w:val="auto"/>
                <w:sz w:val="24"/>
                <w:highlight w:val="none"/>
                <w:lang w:val="en-US" w:eastAsia="zh-CN"/>
              </w:rPr>
              <w:t>清洗废液S1、清洗废水W1、废一次性实验耗材（废手套等）S3、检测废液S4。还会产生滤纸</w:t>
            </w:r>
            <w:r>
              <w:rPr>
                <w:rFonts w:hint="default" w:cs="Times New Roman"/>
                <w:b/>
                <w:bCs w:val="0"/>
                <w:color w:val="auto"/>
                <w:sz w:val="24"/>
                <w:highlight w:val="none"/>
                <w:lang w:val="en-US" w:eastAsia="zh-CN"/>
              </w:rPr>
              <w:t>、一次性手套、样品瓶盖、移液枪吸头、离心管、破碎的玻璃器皿等。</w:t>
            </w:r>
          </w:p>
          <w:p w14:paraId="3FE635E9">
            <w:pPr>
              <w:adjustRightInd w:val="0"/>
              <w:snapToGrid w:val="0"/>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其他产污环节</w:t>
            </w:r>
            <w:r>
              <w:rPr>
                <w:rFonts w:hint="default" w:ascii="Times New Roman" w:hAnsi="Times New Roman" w:eastAsia="宋体" w:cs="Times New Roman"/>
                <w:b/>
                <w:color w:val="auto"/>
                <w:sz w:val="24"/>
                <w:highlight w:val="none"/>
              </w:rPr>
              <w:t>：</w:t>
            </w:r>
          </w:p>
          <w:p w14:paraId="0BE46DF8">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废气治理设施运行过程中会产生</w:t>
            </w:r>
            <w:r>
              <w:rPr>
                <w:rFonts w:hint="eastAsia" w:cs="Times New Roman"/>
                <w:b w:val="0"/>
                <w:bCs w:val="0"/>
                <w:color w:val="auto"/>
                <w:sz w:val="24"/>
                <w:highlight w:val="none"/>
                <w:lang w:val="en-US" w:eastAsia="zh-CN"/>
              </w:rPr>
              <w:t>废吸附剂、</w:t>
            </w:r>
            <w:r>
              <w:rPr>
                <w:rFonts w:hint="default" w:ascii="Times New Roman" w:hAnsi="Times New Roman" w:eastAsia="宋体" w:cs="Times New Roman"/>
                <w:b w:val="0"/>
                <w:bCs w:val="0"/>
                <w:color w:val="auto"/>
                <w:sz w:val="24"/>
                <w:highlight w:val="none"/>
              </w:rPr>
              <w:t>废活性</w:t>
            </w:r>
            <w:r>
              <w:rPr>
                <w:rFonts w:hint="default" w:ascii="Times New Roman" w:hAnsi="Times New Roman" w:eastAsia="宋体" w:cs="Times New Roman"/>
                <w:b w:val="0"/>
                <w:bCs w:val="0"/>
                <w:color w:val="auto"/>
                <w:sz w:val="24"/>
                <w:szCs w:val="24"/>
                <w:highlight w:val="none"/>
              </w:rPr>
              <w:t>炭</w:t>
            </w:r>
            <w:r>
              <w:rPr>
                <w:rFonts w:hint="default" w:ascii="Times New Roman" w:hAnsi="Times New Roman" w:eastAsia="宋体" w:cs="Times New Roman"/>
                <w:b w:val="0"/>
                <w:bCs w:val="0"/>
                <w:color w:val="auto"/>
                <w:sz w:val="24"/>
                <w:szCs w:val="24"/>
                <w:highlight w:val="none"/>
                <w:lang w:val="en-US" w:eastAsia="zh-CN"/>
              </w:rPr>
              <w:t>S</w:t>
            </w:r>
            <w:r>
              <w:rPr>
                <w:rFonts w:hint="eastAsia" w:cs="Times New Roman"/>
                <w:b w:val="0"/>
                <w:bCs w:val="0"/>
                <w:color w:val="auto"/>
                <w:sz w:val="24"/>
                <w:szCs w:val="24"/>
                <w:highlight w:val="none"/>
                <w:lang w:val="en-US" w:eastAsia="zh-CN"/>
              </w:rPr>
              <w:t>7</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试剂</w:t>
            </w:r>
            <w:r>
              <w:rPr>
                <w:rFonts w:hint="default" w:ascii="Times New Roman" w:hAnsi="Times New Roman" w:eastAsia="宋体" w:cs="Times New Roman"/>
                <w:b w:val="0"/>
                <w:bCs w:val="0"/>
                <w:color w:val="auto"/>
                <w:sz w:val="24"/>
                <w:szCs w:val="24"/>
                <w:highlight w:val="none"/>
                <w:lang w:val="en-US" w:eastAsia="zh-CN"/>
              </w:rPr>
              <w:t>使用后会产生</w:t>
            </w:r>
            <w:r>
              <w:rPr>
                <w:rFonts w:hint="eastAsia" w:cs="Times New Roman"/>
                <w:b w:val="0"/>
                <w:bCs w:val="0"/>
                <w:color w:val="auto"/>
                <w:sz w:val="24"/>
                <w:szCs w:val="24"/>
                <w:highlight w:val="none"/>
                <w:lang w:val="en-US" w:eastAsia="zh-CN"/>
              </w:rPr>
              <w:t>废试剂瓶</w:t>
            </w:r>
            <w:r>
              <w:rPr>
                <w:rFonts w:hint="default" w:ascii="Times New Roman" w:hAnsi="Times New Roman" w:eastAsia="宋体" w:cs="Times New Roman"/>
                <w:b w:val="0"/>
                <w:bCs w:val="0"/>
                <w:color w:val="auto"/>
                <w:sz w:val="24"/>
                <w:szCs w:val="24"/>
                <w:highlight w:val="none"/>
                <w:lang w:val="en-US" w:eastAsia="zh-CN"/>
              </w:rPr>
              <w:t>S</w:t>
            </w:r>
            <w:r>
              <w:rPr>
                <w:rFonts w:hint="eastAsia"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lang w:val="en-US" w:eastAsia="zh-CN"/>
              </w:rPr>
              <w:t>原辅料包装会产生不沾染化学试剂的废包装物S</w:t>
            </w:r>
            <w:r>
              <w:rPr>
                <w:rFonts w:hint="eastAsia"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员工生活会产生生活垃圾</w:t>
            </w:r>
            <w:r>
              <w:rPr>
                <w:rFonts w:hint="default" w:ascii="Times New Roman" w:hAnsi="Times New Roman" w:eastAsia="宋体" w:cs="Times New Roman"/>
                <w:b w:val="0"/>
                <w:bCs w:val="0"/>
                <w:color w:val="auto"/>
                <w:sz w:val="24"/>
                <w:szCs w:val="24"/>
                <w:highlight w:val="none"/>
                <w:lang w:val="en-US" w:eastAsia="zh-CN"/>
              </w:rPr>
              <w:t>S</w:t>
            </w:r>
            <w:r>
              <w:rPr>
                <w:rFonts w:hint="eastAsia" w:cs="Times New Roman"/>
                <w:b w:val="0"/>
                <w:bCs w:val="0"/>
                <w:color w:val="auto"/>
                <w:sz w:val="24"/>
                <w:szCs w:val="24"/>
                <w:highlight w:val="none"/>
                <w:lang w:val="en-US" w:eastAsia="zh-CN"/>
              </w:rPr>
              <w:t>10、</w:t>
            </w:r>
            <w:r>
              <w:rPr>
                <w:rFonts w:hint="eastAsia" w:cs="Times New Roman"/>
                <w:color w:val="auto"/>
                <w:kern w:val="0"/>
                <w:sz w:val="24"/>
                <w:szCs w:val="24"/>
                <w:lang w:val="en-US" w:eastAsia="zh-CN" w:bidi="ar"/>
              </w:rPr>
              <w:t>地面清洗会产生地面清洗废水</w:t>
            </w:r>
            <w:r>
              <w:rPr>
                <w:rFonts w:hint="eastAsia" w:cs="Times New Roman"/>
                <w:b/>
                <w:bCs w:val="0"/>
                <w:color w:val="auto"/>
                <w:sz w:val="24"/>
                <w:szCs w:val="24"/>
                <w:highlight w:val="none"/>
                <w:lang w:val="en-US" w:eastAsia="zh-CN"/>
              </w:rPr>
              <w:t>W2</w:t>
            </w:r>
            <w:r>
              <w:rPr>
                <w:rFonts w:hint="default" w:ascii="Times New Roman" w:hAnsi="Times New Roman" w:eastAsia="宋体" w:cs="Times New Roman"/>
                <w:b w:val="0"/>
                <w:bCs w:val="0"/>
                <w:color w:val="auto"/>
                <w:sz w:val="24"/>
                <w:szCs w:val="24"/>
                <w:highlight w:val="none"/>
              </w:rPr>
              <w:t>。</w:t>
            </w:r>
          </w:p>
          <w:p w14:paraId="51C4803F">
            <w:pPr>
              <w:adjustRightInd w:val="0"/>
              <w:snapToGrid w:val="0"/>
              <w:spacing w:line="360" w:lineRule="auto"/>
              <w:ind w:firstLine="482"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噪声：</w:t>
            </w:r>
            <w:r>
              <w:rPr>
                <w:rFonts w:hint="default" w:ascii="Times New Roman" w:hAnsi="Times New Roman" w:eastAsia="宋体" w:cs="Times New Roman"/>
                <w:b w:val="0"/>
                <w:bCs w:val="0"/>
                <w:color w:val="auto"/>
                <w:sz w:val="24"/>
                <w:highlight w:val="none"/>
                <w:lang w:val="en-US" w:eastAsia="zh-CN"/>
              </w:rPr>
              <w:t>本项目公用工程、实验设备、环保设施运行过会产生噪声。</w:t>
            </w:r>
          </w:p>
          <w:p w14:paraId="35B6C0AA">
            <w:pPr>
              <w:adjustRightInd w:val="0"/>
              <w:snapToGri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使用过程涉及铬酸钾的所有检测废液、清洗废水全部作危险废物收集，暂存危险废物暂存间，委托北京鑫兴众成环境科技有限责任公司处置。</w:t>
            </w:r>
          </w:p>
          <w:p w14:paraId="64C782A8">
            <w:pPr>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36"/>
                <w:szCs w:val="36"/>
                <w:highlight w:val="none"/>
              </w:rPr>
              <w:br w:type="page"/>
            </w:r>
            <w:r>
              <w:rPr>
                <w:rFonts w:hint="default" w:ascii="Times New Roman" w:hAnsi="Times New Roman" w:eastAsia="宋体" w:cs="Times New Roman"/>
                <w:b/>
                <w:color w:val="auto"/>
                <w:sz w:val="24"/>
                <w:highlight w:val="none"/>
              </w:rPr>
              <w:t>主要污染工序：</w:t>
            </w:r>
          </w:p>
          <w:p w14:paraId="1B554284">
            <w:pPr>
              <w:adjustRightIn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lang w:val="zh-CN"/>
              </w:rPr>
              <w:t>根据本项目的性质，运营期的主要污染源及污染因子识别见下表。</w:t>
            </w:r>
          </w:p>
          <w:p w14:paraId="615A0136">
            <w:pPr>
              <w:numPr>
                <w:ilvl w:val="0"/>
                <w:numId w:val="12"/>
              </w:numPr>
              <w:adjustRightInd w:val="0"/>
              <w:snapToGrid w:val="0"/>
              <w:spacing w:line="360" w:lineRule="auto"/>
              <w:jc w:val="center"/>
              <w:rPr>
                <w:rFonts w:hint="default" w:ascii="Times New Roman" w:hAnsi="Times New Roman" w:eastAsia="宋体" w:cs="Times New Roman"/>
                <w:b/>
                <w:color w:val="auto"/>
                <w:sz w:val="24"/>
                <w:highlight w:val="none"/>
                <w:lang w:val="zh-CN"/>
              </w:rPr>
            </w:pPr>
            <w:r>
              <w:rPr>
                <w:rFonts w:hint="default" w:ascii="Times New Roman" w:hAnsi="Times New Roman" w:eastAsia="宋体" w:cs="Times New Roman"/>
                <w:b/>
                <w:color w:val="auto"/>
                <w:sz w:val="24"/>
                <w:highlight w:val="none"/>
                <w:lang w:val="zh-CN"/>
              </w:rPr>
              <w:t>主要污染源及污染因子识别表</w:t>
            </w:r>
          </w:p>
          <w:tbl>
            <w:tblPr>
              <w:tblStyle w:val="23"/>
              <w:tblW w:w="781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134" w:type="dxa"/>
                <w:bottom w:w="0" w:type="dxa"/>
                <w:right w:w="1701" w:type="dxa"/>
              </w:tblCellMar>
            </w:tblPr>
            <w:tblGrid>
              <w:gridCol w:w="907"/>
              <w:gridCol w:w="1958"/>
              <w:gridCol w:w="2568"/>
              <w:gridCol w:w="2383"/>
            </w:tblGrid>
            <w:tr w14:paraId="614A2B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406" w:hRule="atLeast"/>
                <w:jc w:val="center"/>
              </w:trPr>
              <w:tc>
                <w:tcPr>
                  <w:tcW w:w="907" w:type="dxa"/>
                  <w:tcBorders>
                    <w:tl2br w:val="nil"/>
                    <w:tr2bl w:val="nil"/>
                  </w:tcBorders>
                  <w:tcMar>
                    <w:top w:w="0" w:type="dxa"/>
                    <w:left w:w="113" w:type="dxa"/>
                    <w:bottom w:w="0" w:type="dxa"/>
                    <w:right w:w="113" w:type="dxa"/>
                  </w:tcMar>
                  <w:vAlign w:val="center"/>
                </w:tcPr>
                <w:p w14:paraId="61B0F0B0">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zh-CN"/>
                    </w:rPr>
                    <w:t>污染物类别</w:t>
                  </w:r>
                </w:p>
              </w:tc>
              <w:tc>
                <w:tcPr>
                  <w:tcW w:w="1958" w:type="dxa"/>
                  <w:tcBorders>
                    <w:tl2br w:val="nil"/>
                    <w:tr2bl w:val="nil"/>
                  </w:tcBorders>
                  <w:tcMar>
                    <w:top w:w="0" w:type="dxa"/>
                    <w:left w:w="113" w:type="dxa"/>
                    <w:bottom w:w="0" w:type="dxa"/>
                    <w:right w:w="113" w:type="dxa"/>
                  </w:tcMar>
                  <w:vAlign w:val="center"/>
                </w:tcPr>
                <w:p w14:paraId="5EC9A50F">
                  <w:pPr>
                    <w:adjustRightInd w:val="0"/>
                    <w:snapToGri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排污节点</w:t>
                  </w:r>
                </w:p>
              </w:tc>
              <w:tc>
                <w:tcPr>
                  <w:tcW w:w="2568" w:type="dxa"/>
                  <w:tcBorders>
                    <w:tl2br w:val="nil"/>
                    <w:tr2bl w:val="nil"/>
                  </w:tcBorders>
                  <w:tcMar>
                    <w:top w:w="0" w:type="dxa"/>
                    <w:left w:w="113" w:type="dxa"/>
                    <w:bottom w:w="0" w:type="dxa"/>
                    <w:right w:w="113" w:type="dxa"/>
                  </w:tcMar>
                  <w:vAlign w:val="center"/>
                </w:tcPr>
                <w:p w14:paraId="4D6C8F8B">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2383" w:type="dxa"/>
                  <w:tcBorders>
                    <w:tl2br w:val="nil"/>
                    <w:tr2bl w:val="nil"/>
                  </w:tcBorders>
                  <w:tcMar>
                    <w:top w:w="0" w:type="dxa"/>
                    <w:left w:w="113" w:type="dxa"/>
                    <w:bottom w:w="0" w:type="dxa"/>
                    <w:right w:w="113" w:type="dxa"/>
                  </w:tcMar>
                  <w:vAlign w:val="center"/>
                </w:tcPr>
                <w:p w14:paraId="08284C65">
                  <w:pPr>
                    <w:adjustRightInd w:val="0"/>
                    <w:snapToGrid w:val="0"/>
                    <w:jc w:val="center"/>
                    <w:rPr>
                      <w:rFonts w:hint="default" w:ascii="Times New Roman" w:hAnsi="Times New Roman" w:eastAsia="宋体" w:cs="Times New Roman"/>
                      <w:b/>
                      <w:bCs/>
                      <w:color w:val="auto"/>
                      <w:szCs w:val="21"/>
                      <w:highlight w:val="none"/>
                      <w:lang w:val="zh-CN" w:eastAsia="zh-CN"/>
                    </w:rPr>
                  </w:pPr>
                  <w:r>
                    <w:rPr>
                      <w:rFonts w:hint="default" w:ascii="Times New Roman" w:hAnsi="Times New Roman" w:eastAsia="宋体" w:cs="Times New Roman"/>
                      <w:b/>
                      <w:bCs/>
                      <w:color w:val="auto"/>
                      <w:szCs w:val="21"/>
                      <w:highlight w:val="none"/>
                      <w:lang w:val="en-US" w:eastAsia="zh-CN"/>
                    </w:rPr>
                    <w:t>治理措施</w:t>
                  </w:r>
                </w:p>
              </w:tc>
            </w:tr>
            <w:tr w14:paraId="636716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785" w:hRule="atLeast"/>
                <w:jc w:val="center"/>
              </w:trPr>
              <w:tc>
                <w:tcPr>
                  <w:tcW w:w="907" w:type="dxa"/>
                  <w:tcBorders>
                    <w:tl2br w:val="nil"/>
                    <w:tr2bl w:val="nil"/>
                  </w:tcBorders>
                  <w:tcMar>
                    <w:top w:w="0" w:type="dxa"/>
                    <w:left w:w="113" w:type="dxa"/>
                    <w:bottom w:w="0" w:type="dxa"/>
                    <w:right w:w="113" w:type="dxa"/>
                  </w:tcMar>
                  <w:vAlign w:val="center"/>
                </w:tcPr>
                <w:p w14:paraId="6AE9D6F7">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废气</w:t>
                  </w:r>
                </w:p>
              </w:tc>
              <w:tc>
                <w:tcPr>
                  <w:tcW w:w="1958" w:type="dxa"/>
                  <w:tcBorders>
                    <w:tl2br w:val="nil"/>
                    <w:tr2bl w:val="nil"/>
                  </w:tcBorders>
                  <w:tcMar>
                    <w:top w:w="0" w:type="dxa"/>
                    <w:left w:w="113" w:type="dxa"/>
                    <w:bottom w:w="0" w:type="dxa"/>
                    <w:right w:w="113" w:type="dxa"/>
                  </w:tcMar>
                  <w:vAlign w:val="center"/>
                </w:tcPr>
                <w:p w14:paraId="13F97BF7">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试剂配制、样品前处理、样品检测</w:t>
                  </w:r>
                </w:p>
              </w:tc>
              <w:tc>
                <w:tcPr>
                  <w:tcW w:w="2568" w:type="dxa"/>
                  <w:tcBorders>
                    <w:tl2br w:val="nil"/>
                    <w:tr2bl w:val="nil"/>
                  </w:tcBorders>
                  <w:shd w:val="clear" w:color="auto" w:fill="auto"/>
                  <w:tcMar>
                    <w:top w:w="0" w:type="dxa"/>
                    <w:left w:w="113" w:type="dxa"/>
                    <w:bottom w:w="0" w:type="dxa"/>
                    <w:right w:w="113" w:type="dxa"/>
                  </w:tcMar>
                  <w:vAlign w:val="center"/>
                </w:tcPr>
                <w:p w14:paraId="223D9BD7">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highlight w:val="none"/>
                      <w:vertAlign w:val="baseline"/>
                      <w:lang w:val="en-US" w:eastAsia="zh-CN"/>
                    </w:rPr>
                    <w:t>非甲烷总烃、甲醇、其他A类物质（乙酸）、其他C类物质（乙酸乙酯、乙醚、丙酮、正己烷）、</w:t>
                  </w:r>
                  <w:r>
                    <w:rPr>
                      <w:rFonts w:hint="eastAsia" w:cs="Times New Roman"/>
                      <w:b w:val="0"/>
                      <w:bCs w:val="0"/>
                      <w:color w:val="auto"/>
                      <w:kern w:val="0"/>
                      <w:sz w:val="21"/>
                      <w:szCs w:val="21"/>
                      <w:highlight w:val="none"/>
                      <w:vertAlign w:val="baseline"/>
                      <w:lang w:val="en-US" w:eastAsia="zh-CN"/>
                    </w:rPr>
                    <w:t>氯化氢、</w:t>
                  </w:r>
                  <w:r>
                    <w:rPr>
                      <w:rFonts w:hint="eastAsia" w:cs="Times New Roman"/>
                      <w:b w:val="0"/>
                      <w:bCs w:val="0"/>
                      <w:color w:val="auto"/>
                      <w:kern w:val="0"/>
                      <w:sz w:val="21"/>
                      <w:szCs w:val="21"/>
                      <w:highlight w:val="none"/>
                      <w:vertAlign w:val="baseline"/>
                      <w:lang w:val="en-US" w:eastAsia="zh-CN" w:bidi="ar-SA"/>
                    </w:rPr>
                    <w:t>氮氧化物、硫酸雾</w:t>
                  </w:r>
                  <w:r>
                    <w:rPr>
                      <w:rFonts w:hint="eastAsia" w:cs="Times New Roman"/>
                      <w:b w:val="0"/>
                      <w:bCs w:val="0"/>
                      <w:color w:val="auto"/>
                      <w:kern w:val="0"/>
                      <w:sz w:val="21"/>
                      <w:szCs w:val="21"/>
                      <w:highlight w:val="none"/>
                      <w:vertAlign w:val="baseline"/>
                      <w:lang w:val="en-US" w:eastAsia="zh-CN"/>
                    </w:rPr>
                    <w:t>、氨</w:t>
                  </w:r>
                </w:p>
              </w:tc>
              <w:tc>
                <w:tcPr>
                  <w:tcW w:w="2383" w:type="dxa"/>
                  <w:tcBorders>
                    <w:tl2br w:val="nil"/>
                    <w:tr2bl w:val="nil"/>
                  </w:tcBorders>
                  <w:shd w:val="clear" w:color="auto" w:fill="auto"/>
                  <w:tcMar>
                    <w:top w:w="0" w:type="dxa"/>
                    <w:left w:w="113" w:type="dxa"/>
                    <w:bottom w:w="0" w:type="dxa"/>
                    <w:right w:w="113" w:type="dxa"/>
                  </w:tcMar>
                  <w:vAlign w:val="center"/>
                </w:tcPr>
                <w:p w14:paraId="73E098A3">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废气经通风橱、万向罩收集后进干式过滤器（酸式、碱式吸附剂+活性炭）处理设施处理后经1根28m高排气筒DA001排放</w:t>
                  </w:r>
                </w:p>
              </w:tc>
            </w:tr>
            <w:tr w14:paraId="5CFAFF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restart"/>
                  <w:tcBorders>
                    <w:tl2br w:val="nil"/>
                    <w:tr2bl w:val="nil"/>
                  </w:tcBorders>
                  <w:tcMar>
                    <w:top w:w="0" w:type="dxa"/>
                    <w:left w:w="113" w:type="dxa"/>
                    <w:bottom w:w="0" w:type="dxa"/>
                    <w:right w:w="113" w:type="dxa"/>
                  </w:tcMar>
                  <w:vAlign w:val="center"/>
                </w:tcPr>
                <w:p w14:paraId="0843FE7F">
                  <w:pPr>
                    <w:adjustRightInd w:val="0"/>
                    <w:snapToGrid w:val="0"/>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en-US" w:eastAsia="zh-CN"/>
                    </w:rPr>
                    <w:t>废水</w:t>
                  </w:r>
                </w:p>
              </w:tc>
              <w:tc>
                <w:tcPr>
                  <w:tcW w:w="1958" w:type="dxa"/>
                  <w:tcBorders>
                    <w:tl2br w:val="nil"/>
                    <w:tr2bl w:val="nil"/>
                  </w:tcBorders>
                  <w:tcMar>
                    <w:top w:w="0" w:type="dxa"/>
                    <w:left w:w="113" w:type="dxa"/>
                    <w:bottom w:w="0" w:type="dxa"/>
                    <w:right w:w="113" w:type="dxa"/>
                  </w:tcMar>
                  <w:vAlign w:val="center"/>
                </w:tcPr>
                <w:p w14:paraId="5E5EEAC6">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生活污水</w:t>
                  </w:r>
                  <w:r>
                    <w:rPr>
                      <w:rFonts w:hint="eastAsia" w:cs="Times New Roman"/>
                      <w:color w:val="auto"/>
                      <w:szCs w:val="21"/>
                      <w:highlight w:val="none"/>
                      <w:lang w:val="zh-CN"/>
                    </w:rPr>
                    <w:t>、</w:t>
                  </w:r>
                  <w:r>
                    <w:rPr>
                      <w:rFonts w:hint="eastAsia" w:cs="Times New Roman"/>
                      <w:color w:val="auto"/>
                      <w:kern w:val="0"/>
                      <w:sz w:val="21"/>
                      <w:szCs w:val="21"/>
                      <w:lang w:val="en-US" w:eastAsia="zh-CN" w:bidi="ar"/>
                    </w:rPr>
                    <w:t>地面清洗废水</w:t>
                  </w:r>
                </w:p>
              </w:tc>
              <w:tc>
                <w:tcPr>
                  <w:tcW w:w="2568" w:type="dxa"/>
                  <w:tcBorders>
                    <w:tl2br w:val="nil"/>
                    <w:tr2bl w:val="nil"/>
                  </w:tcBorders>
                  <w:tcMar>
                    <w:top w:w="0" w:type="dxa"/>
                    <w:left w:w="113" w:type="dxa"/>
                    <w:bottom w:w="0" w:type="dxa"/>
                    <w:right w:w="113" w:type="dxa"/>
                  </w:tcMar>
                  <w:vAlign w:val="center"/>
                </w:tcPr>
                <w:p w14:paraId="0A552B5A">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pH、COD</w:t>
                  </w:r>
                  <w:r>
                    <w:rPr>
                      <w:rFonts w:hint="default" w:ascii="Times New Roman" w:hAnsi="Times New Roman" w:eastAsia="宋体" w:cs="Times New Roman"/>
                      <w:color w:val="auto"/>
                      <w:kern w:val="0"/>
                      <w:sz w:val="21"/>
                      <w:szCs w:val="21"/>
                      <w:vertAlign w:val="subscript"/>
                      <w:lang w:val="en-US" w:eastAsia="zh-CN" w:bidi="ar"/>
                    </w:rPr>
                    <w:t>Cr</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SS、氨氮</w:t>
                  </w:r>
                </w:p>
              </w:tc>
              <w:tc>
                <w:tcPr>
                  <w:tcW w:w="2383" w:type="dxa"/>
                  <w:vMerge w:val="restart"/>
                  <w:tcBorders>
                    <w:tl2br w:val="nil"/>
                    <w:tr2bl w:val="nil"/>
                  </w:tcBorders>
                  <w:tcMar>
                    <w:top w:w="0" w:type="dxa"/>
                    <w:left w:w="113" w:type="dxa"/>
                    <w:bottom w:w="0" w:type="dxa"/>
                    <w:right w:w="113" w:type="dxa"/>
                  </w:tcMar>
                  <w:vAlign w:val="center"/>
                </w:tcPr>
                <w:p w14:paraId="65961B36">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容器第三遍及以后清洗废水、</w:t>
                  </w:r>
                  <w:r>
                    <w:rPr>
                      <w:rFonts w:hint="eastAsia" w:ascii="Times New Roman" w:hAnsi="Times New Roman" w:eastAsia="宋体" w:cs="Times New Roman"/>
                      <w:color w:val="auto"/>
                      <w:kern w:val="0"/>
                      <w:sz w:val="21"/>
                      <w:szCs w:val="21"/>
                      <w:lang w:val="en-US" w:eastAsia="zh-CN" w:bidi="ar"/>
                    </w:rPr>
                    <w:t>生活污水</w:t>
                  </w:r>
                  <w:r>
                    <w:rPr>
                      <w:rFonts w:hint="eastAsia" w:cs="Times New Roman"/>
                      <w:color w:val="auto"/>
                      <w:kern w:val="0"/>
                      <w:sz w:val="21"/>
                      <w:szCs w:val="21"/>
                      <w:lang w:val="en-US" w:eastAsia="zh-CN" w:bidi="ar"/>
                    </w:rPr>
                    <w:t>、高压蒸汽灭菌废水、地面清洗废水</w:t>
                  </w:r>
                  <w:r>
                    <w:rPr>
                      <w:rFonts w:hint="eastAsia" w:ascii="Times New Roman" w:hAnsi="Times New Roman" w:eastAsia="宋体" w:cs="Times New Roman"/>
                      <w:color w:val="auto"/>
                      <w:kern w:val="0"/>
                      <w:sz w:val="21"/>
                      <w:szCs w:val="21"/>
                      <w:lang w:val="en-US" w:eastAsia="zh-CN" w:bidi="ar"/>
                    </w:rPr>
                    <w:t>一起进园区化粪池处理，最后经市政管网排入</w:t>
                  </w:r>
                  <w:r>
                    <w:rPr>
                      <w:rFonts w:hint="eastAsia" w:cs="Times New Roman"/>
                      <w:color w:val="auto"/>
                      <w:kern w:val="0"/>
                      <w:sz w:val="21"/>
                      <w:szCs w:val="21"/>
                      <w:lang w:val="en-US" w:eastAsia="zh-CN" w:bidi="ar"/>
                    </w:rPr>
                    <w:t>金桥基地第一污水处理厂</w:t>
                  </w:r>
                </w:p>
              </w:tc>
            </w:tr>
            <w:tr w14:paraId="0A94A2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continue"/>
                  <w:tcBorders>
                    <w:tl2br w:val="nil"/>
                    <w:tr2bl w:val="nil"/>
                  </w:tcBorders>
                  <w:tcMar>
                    <w:top w:w="0" w:type="dxa"/>
                    <w:left w:w="113" w:type="dxa"/>
                    <w:bottom w:w="0" w:type="dxa"/>
                    <w:right w:w="113" w:type="dxa"/>
                  </w:tcMar>
                  <w:vAlign w:val="center"/>
                </w:tcPr>
                <w:p w14:paraId="49A92012">
                  <w:pPr>
                    <w:adjustRightInd w:val="0"/>
                    <w:snapToGrid w:val="0"/>
                    <w:jc w:val="center"/>
                    <w:rPr>
                      <w:rFonts w:hint="default" w:ascii="Times New Roman" w:hAnsi="Times New Roman" w:eastAsia="宋体" w:cs="Times New Roman"/>
                      <w:color w:val="auto"/>
                      <w:szCs w:val="21"/>
                      <w:highlight w:val="none"/>
                      <w:lang w:val="zh-CN"/>
                    </w:rPr>
                  </w:pPr>
                </w:p>
              </w:tc>
              <w:tc>
                <w:tcPr>
                  <w:tcW w:w="1958" w:type="dxa"/>
                  <w:tcBorders>
                    <w:tl2br w:val="nil"/>
                    <w:tr2bl w:val="nil"/>
                  </w:tcBorders>
                  <w:shd w:val="clear" w:color="auto" w:fill="auto"/>
                  <w:tcMar>
                    <w:top w:w="0" w:type="dxa"/>
                    <w:left w:w="113" w:type="dxa"/>
                    <w:bottom w:w="0" w:type="dxa"/>
                    <w:right w:w="113" w:type="dxa"/>
                  </w:tcMar>
                  <w:vAlign w:val="center"/>
                </w:tcPr>
                <w:p w14:paraId="4B37BF16">
                  <w:pPr>
                    <w:keepNext w:val="0"/>
                    <w:keepLines w:val="0"/>
                    <w:widowControl/>
                    <w:suppressLineNumbers w:val="0"/>
                    <w:ind w:firstLine="210" w:firstLineChars="100"/>
                    <w:jc w:val="center"/>
                    <w:rPr>
                      <w:rFonts w:hint="default" w:ascii="Times New Roman" w:hAnsi="Times New Roman" w:eastAsia="宋体" w:cs="Times New Roman"/>
                      <w:color w:val="auto"/>
                      <w:kern w:val="2"/>
                      <w:sz w:val="21"/>
                      <w:szCs w:val="21"/>
                      <w:highlight w:val="none"/>
                      <w:lang w:val="zh-CN" w:eastAsia="zh-CN" w:bidi="ar-SA"/>
                    </w:rPr>
                  </w:pPr>
                  <w:r>
                    <w:rPr>
                      <w:rFonts w:hint="eastAsia" w:cs="Times New Roman"/>
                      <w:color w:val="auto"/>
                      <w:kern w:val="0"/>
                      <w:sz w:val="21"/>
                      <w:szCs w:val="21"/>
                      <w:lang w:val="en-US" w:eastAsia="zh-CN" w:bidi="ar"/>
                    </w:rPr>
                    <w:t>容器第三次及以后</w:t>
                  </w:r>
                  <w:r>
                    <w:rPr>
                      <w:rFonts w:hint="default" w:ascii="Times New Roman" w:hAnsi="Times New Roman" w:eastAsia="宋体" w:cs="Times New Roman"/>
                      <w:color w:val="auto"/>
                      <w:kern w:val="0"/>
                      <w:sz w:val="21"/>
                      <w:szCs w:val="21"/>
                      <w:lang w:val="en-US" w:eastAsia="zh-CN" w:bidi="ar"/>
                    </w:rPr>
                    <w:t>清洗废水</w:t>
                  </w:r>
                </w:p>
              </w:tc>
              <w:tc>
                <w:tcPr>
                  <w:tcW w:w="2568" w:type="dxa"/>
                  <w:tcBorders>
                    <w:tl2br w:val="nil"/>
                    <w:tr2bl w:val="nil"/>
                  </w:tcBorders>
                  <w:shd w:val="clear" w:color="auto" w:fill="auto"/>
                  <w:tcMar>
                    <w:top w:w="0" w:type="dxa"/>
                    <w:left w:w="113" w:type="dxa"/>
                    <w:bottom w:w="0" w:type="dxa"/>
                    <w:right w:w="113" w:type="dxa"/>
                  </w:tcMar>
                  <w:vAlign w:val="center"/>
                </w:tcPr>
                <w:p w14:paraId="60E973AF">
                  <w:pPr>
                    <w:keepNext w:val="0"/>
                    <w:keepLines w:val="0"/>
                    <w:widowControl/>
                    <w:suppressLineNumbers w:val="0"/>
                    <w:jc w:val="center"/>
                    <w:rPr>
                      <w:rFonts w:hint="default" w:ascii="Times New Roman" w:hAnsi="Times New Roman" w:eastAsia="宋体" w:cs="Times New Roman"/>
                      <w:color w:val="auto"/>
                      <w:kern w:val="0"/>
                      <w:sz w:val="21"/>
                      <w:szCs w:val="21"/>
                      <w:lang w:val="zh-CN" w:eastAsia="zh-CN" w:bidi="ar"/>
                    </w:rPr>
                  </w:pPr>
                  <w:r>
                    <w:rPr>
                      <w:rFonts w:hint="default" w:ascii="Times New Roman" w:hAnsi="Times New Roman" w:eastAsia="宋体" w:cs="Times New Roman"/>
                      <w:color w:val="auto"/>
                      <w:kern w:val="0"/>
                      <w:sz w:val="21"/>
                      <w:szCs w:val="21"/>
                      <w:lang w:val="en-US" w:eastAsia="zh-CN" w:bidi="ar"/>
                    </w:rPr>
                    <w:t>pH、COD</w:t>
                  </w:r>
                  <w:r>
                    <w:rPr>
                      <w:rFonts w:hint="default" w:ascii="Times New Roman" w:hAnsi="Times New Roman" w:eastAsia="宋体" w:cs="Times New Roman"/>
                      <w:color w:val="auto"/>
                      <w:kern w:val="0"/>
                      <w:sz w:val="21"/>
                      <w:szCs w:val="21"/>
                      <w:vertAlign w:val="subscript"/>
                      <w:lang w:val="en-US" w:eastAsia="zh-CN" w:bidi="ar"/>
                    </w:rPr>
                    <w:t>Cr</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SS、氨氮</w:t>
                  </w:r>
                </w:p>
              </w:tc>
              <w:tc>
                <w:tcPr>
                  <w:tcW w:w="2383" w:type="dxa"/>
                  <w:vMerge w:val="continue"/>
                  <w:tcBorders>
                    <w:tl2br w:val="nil"/>
                    <w:tr2bl w:val="nil"/>
                  </w:tcBorders>
                  <w:shd w:val="clear" w:color="auto" w:fill="auto"/>
                  <w:tcMar>
                    <w:top w:w="0" w:type="dxa"/>
                    <w:left w:w="113" w:type="dxa"/>
                    <w:bottom w:w="0" w:type="dxa"/>
                    <w:right w:w="113" w:type="dxa"/>
                  </w:tcMar>
                  <w:vAlign w:val="center"/>
                </w:tcPr>
                <w:p w14:paraId="63C767B4">
                  <w:pPr>
                    <w:keepNext w:val="0"/>
                    <w:keepLines w:val="0"/>
                    <w:widowControl/>
                    <w:suppressLineNumbers w:val="0"/>
                    <w:jc w:val="center"/>
                    <w:rPr>
                      <w:rFonts w:hint="default" w:ascii="Times New Roman" w:hAnsi="Times New Roman" w:eastAsia="宋体" w:cs="Times New Roman"/>
                      <w:color w:val="auto"/>
                      <w:kern w:val="0"/>
                      <w:sz w:val="21"/>
                      <w:szCs w:val="21"/>
                      <w:lang w:val="zh-CN" w:eastAsia="zh-CN" w:bidi="ar"/>
                    </w:rPr>
                  </w:pPr>
                </w:p>
              </w:tc>
            </w:tr>
            <w:tr w14:paraId="240E35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continue"/>
                  <w:tcBorders>
                    <w:tl2br w:val="nil"/>
                    <w:tr2bl w:val="nil"/>
                  </w:tcBorders>
                  <w:tcMar>
                    <w:top w:w="0" w:type="dxa"/>
                    <w:left w:w="113" w:type="dxa"/>
                    <w:bottom w:w="0" w:type="dxa"/>
                    <w:right w:w="113" w:type="dxa"/>
                  </w:tcMar>
                  <w:vAlign w:val="center"/>
                </w:tcPr>
                <w:p w14:paraId="16B56E77">
                  <w:pPr>
                    <w:adjustRightInd w:val="0"/>
                    <w:snapToGrid w:val="0"/>
                    <w:jc w:val="center"/>
                    <w:rPr>
                      <w:rFonts w:hint="default" w:ascii="Times New Roman" w:hAnsi="Times New Roman" w:eastAsia="宋体" w:cs="Times New Roman"/>
                      <w:color w:val="auto"/>
                      <w:szCs w:val="21"/>
                      <w:highlight w:val="none"/>
                      <w:lang w:val="zh-CN"/>
                    </w:rPr>
                  </w:pPr>
                </w:p>
              </w:tc>
              <w:tc>
                <w:tcPr>
                  <w:tcW w:w="1958" w:type="dxa"/>
                  <w:tcBorders>
                    <w:tl2br w:val="nil"/>
                    <w:tr2bl w:val="nil"/>
                  </w:tcBorders>
                  <w:shd w:val="clear" w:color="auto" w:fill="auto"/>
                  <w:tcMar>
                    <w:top w:w="0" w:type="dxa"/>
                    <w:left w:w="113" w:type="dxa"/>
                    <w:bottom w:w="0" w:type="dxa"/>
                    <w:right w:w="113" w:type="dxa"/>
                  </w:tcMar>
                  <w:vAlign w:val="center"/>
                </w:tcPr>
                <w:p w14:paraId="5EB22197">
                  <w:pPr>
                    <w:keepNext w:val="0"/>
                    <w:keepLines w:val="0"/>
                    <w:widowControl/>
                    <w:suppressLineNumbers w:val="0"/>
                    <w:jc w:val="both"/>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高压蒸汽灭菌废水</w:t>
                  </w:r>
                </w:p>
              </w:tc>
              <w:tc>
                <w:tcPr>
                  <w:tcW w:w="2568" w:type="dxa"/>
                  <w:tcBorders>
                    <w:tl2br w:val="nil"/>
                    <w:tr2bl w:val="nil"/>
                  </w:tcBorders>
                  <w:shd w:val="clear" w:color="auto" w:fill="auto"/>
                  <w:tcMar>
                    <w:top w:w="0" w:type="dxa"/>
                    <w:left w:w="113" w:type="dxa"/>
                    <w:bottom w:w="0" w:type="dxa"/>
                    <w:right w:w="113" w:type="dxa"/>
                  </w:tcMar>
                  <w:vAlign w:val="center"/>
                </w:tcPr>
                <w:p w14:paraId="67EF0A1E">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pH、COD</w:t>
                  </w:r>
                  <w:r>
                    <w:rPr>
                      <w:rFonts w:hint="default" w:ascii="Times New Roman" w:hAnsi="Times New Roman" w:eastAsia="宋体" w:cs="Times New Roman"/>
                      <w:color w:val="auto"/>
                      <w:kern w:val="0"/>
                      <w:sz w:val="21"/>
                      <w:szCs w:val="21"/>
                      <w:vertAlign w:val="subscript"/>
                      <w:lang w:val="en-US" w:eastAsia="zh-CN" w:bidi="ar"/>
                    </w:rPr>
                    <w:t>Cr</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SS、氨氮</w:t>
                  </w:r>
                </w:p>
              </w:tc>
              <w:tc>
                <w:tcPr>
                  <w:tcW w:w="2383" w:type="dxa"/>
                  <w:vMerge w:val="continue"/>
                  <w:tcBorders>
                    <w:tl2br w:val="nil"/>
                    <w:tr2bl w:val="nil"/>
                  </w:tcBorders>
                  <w:shd w:val="clear" w:color="auto" w:fill="auto"/>
                  <w:tcMar>
                    <w:top w:w="0" w:type="dxa"/>
                    <w:left w:w="113" w:type="dxa"/>
                    <w:bottom w:w="0" w:type="dxa"/>
                    <w:right w:w="113" w:type="dxa"/>
                  </w:tcMar>
                  <w:vAlign w:val="center"/>
                </w:tcPr>
                <w:p w14:paraId="3AC78F16">
                  <w:pPr>
                    <w:keepNext w:val="0"/>
                    <w:keepLines w:val="0"/>
                    <w:widowControl/>
                    <w:suppressLineNumbers w:val="0"/>
                    <w:jc w:val="center"/>
                    <w:rPr>
                      <w:rFonts w:hint="default" w:ascii="Times New Roman" w:hAnsi="Times New Roman" w:eastAsia="宋体" w:cs="Times New Roman"/>
                      <w:color w:val="auto"/>
                      <w:kern w:val="0"/>
                      <w:sz w:val="21"/>
                      <w:szCs w:val="21"/>
                      <w:lang w:val="zh-CN" w:eastAsia="zh-CN" w:bidi="ar"/>
                    </w:rPr>
                  </w:pPr>
                </w:p>
              </w:tc>
            </w:tr>
            <w:tr w14:paraId="6D70F6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tcBorders>
                    <w:tl2br w:val="nil"/>
                    <w:tr2bl w:val="nil"/>
                  </w:tcBorders>
                  <w:tcMar>
                    <w:top w:w="0" w:type="dxa"/>
                    <w:left w:w="113" w:type="dxa"/>
                    <w:bottom w:w="0" w:type="dxa"/>
                    <w:right w:w="113" w:type="dxa"/>
                  </w:tcMar>
                  <w:vAlign w:val="center"/>
                </w:tcPr>
                <w:p w14:paraId="31331001">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噪声</w:t>
                  </w:r>
                </w:p>
              </w:tc>
              <w:tc>
                <w:tcPr>
                  <w:tcW w:w="1958" w:type="dxa"/>
                  <w:tcBorders>
                    <w:tl2br w:val="nil"/>
                    <w:tr2bl w:val="nil"/>
                  </w:tcBorders>
                  <w:tcMar>
                    <w:top w:w="0" w:type="dxa"/>
                    <w:left w:w="113" w:type="dxa"/>
                    <w:bottom w:w="0" w:type="dxa"/>
                    <w:right w:w="113" w:type="dxa"/>
                  </w:tcMar>
                  <w:vAlign w:val="center"/>
                </w:tcPr>
                <w:p w14:paraId="7F66156C">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实验</w:t>
                  </w:r>
                  <w:r>
                    <w:rPr>
                      <w:rFonts w:hint="eastAsia" w:cs="Times New Roman"/>
                      <w:color w:val="auto"/>
                      <w:szCs w:val="21"/>
                      <w:highlight w:val="none"/>
                      <w:lang w:val="en-US" w:eastAsia="zh-CN"/>
                    </w:rPr>
                    <w:t>设备</w:t>
                  </w:r>
                  <w:r>
                    <w:rPr>
                      <w:rFonts w:hint="default" w:ascii="Times New Roman" w:hAnsi="Times New Roman" w:eastAsia="宋体" w:cs="Times New Roman"/>
                      <w:color w:val="auto"/>
                      <w:szCs w:val="21"/>
                      <w:highlight w:val="none"/>
                      <w:lang w:val="en-US" w:eastAsia="zh-CN"/>
                    </w:rPr>
                    <w:t>、公用工程、环保设施运行</w:t>
                  </w:r>
                </w:p>
              </w:tc>
              <w:tc>
                <w:tcPr>
                  <w:tcW w:w="2568" w:type="dxa"/>
                  <w:tcBorders>
                    <w:tl2br w:val="nil"/>
                    <w:tr2bl w:val="nil"/>
                  </w:tcBorders>
                  <w:tcMar>
                    <w:top w:w="0" w:type="dxa"/>
                    <w:left w:w="113" w:type="dxa"/>
                    <w:bottom w:w="0" w:type="dxa"/>
                    <w:right w:w="113" w:type="dxa"/>
                  </w:tcMar>
                  <w:vAlign w:val="center"/>
                </w:tcPr>
                <w:p w14:paraId="759F3306">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等效连续A声级</w:t>
                  </w:r>
                </w:p>
              </w:tc>
              <w:tc>
                <w:tcPr>
                  <w:tcW w:w="2383" w:type="dxa"/>
                  <w:tcBorders>
                    <w:tl2br w:val="nil"/>
                    <w:tr2bl w:val="nil"/>
                  </w:tcBorders>
                  <w:tcMar>
                    <w:top w:w="0" w:type="dxa"/>
                    <w:left w:w="113" w:type="dxa"/>
                    <w:bottom w:w="0" w:type="dxa"/>
                    <w:right w:w="113" w:type="dxa"/>
                  </w:tcMar>
                  <w:vAlign w:val="center"/>
                </w:tcPr>
                <w:p w14:paraId="259FF395">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选用低噪声设备、厂房隔声、设置隔声罩、减振垫等措施。</w:t>
                  </w:r>
                </w:p>
              </w:tc>
            </w:tr>
            <w:tr w14:paraId="510756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519" w:hRule="atLeast"/>
                <w:jc w:val="center"/>
              </w:trPr>
              <w:tc>
                <w:tcPr>
                  <w:tcW w:w="907" w:type="dxa"/>
                  <w:vMerge w:val="restart"/>
                  <w:tcBorders>
                    <w:tl2br w:val="nil"/>
                    <w:tr2bl w:val="nil"/>
                  </w:tcBorders>
                  <w:tcMar>
                    <w:top w:w="0" w:type="dxa"/>
                    <w:left w:w="113" w:type="dxa"/>
                    <w:bottom w:w="0" w:type="dxa"/>
                    <w:right w:w="113" w:type="dxa"/>
                  </w:tcMar>
                  <w:vAlign w:val="center"/>
                </w:tcPr>
                <w:p w14:paraId="527979BD">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固体废物</w:t>
                  </w:r>
                </w:p>
              </w:tc>
              <w:tc>
                <w:tcPr>
                  <w:tcW w:w="1958" w:type="dxa"/>
                  <w:tcBorders>
                    <w:tl2br w:val="nil"/>
                    <w:tr2bl w:val="nil"/>
                  </w:tcBorders>
                  <w:tcMar>
                    <w:top w:w="0" w:type="dxa"/>
                    <w:left w:w="113" w:type="dxa"/>
                    <w:bottom w:w="0" w:type="dxa"/>
                    <w:right w:w="113" w:type="dxa"/>
                  </w:tcMar>
                  <w:vAlign w:val="center"/>
                </w:tcPr>
                <w:p w14:paraId="263DAD44">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员工生活</w:t>
                  </w:r>
                </w:p>
              </w:tc>
              <w:tc>
                <w:tcPr>
                  <w:tcW w:w="2568" w:type="dxa"/>
                  <w:tcBorders>
                    <w:tl2br w:val="nil"/>
                    <w:tr2bl w:val="nil"/>
                  </w:tcBorders>
                  <w:shd w:val="clear" w:color="auto" w:fill="auto"/>
                  <w:tcMar>
                    <w:top w:w="0" w:type="dxa"/>
                    <w:left w:w="113" w:type="dxa"/>
                    <w:bottom w:w="0" w:type="dxa"/>
                    <w:right w:w="113" w:type="dxa"/>
                  </w:tcMar>
                  <w:vAlign w:val="center"/>
                </w:tcPr>
                <w:p w14:paraId="2F2BF4B3">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生活垃圾</w:t>
                  </w:r>
                </w:p>
              </w:tc>
              <w:tc>
                <w:tcPr>
                  <w:tcW w:w="2383" w:type="dxa"/>
                  <w:tcBorders>
                    <w:tl2br w:val="nil"/>
                    <w:tr2bl w:val="nil"/>
                  </w:tcBorders>
                  <w:shd w:val="clear" w:color="auto" w:fill="auto"/>
                  <w:tcMar>
                    <w:top w:w="0" w:type="dxa"/>
                    <w:left w:w="113" w:type="dxa"/>
                    <w:bottom w:w="0" w:type="dxa"/>
                    <w:right w:w="113" w:type="dxa"/>
                  </w:tcMar>
                  <w:vAlign w:val="center"/>
                </w:tcPr>
                <w:p w14:paraId="5450C917">
                  <w:pPr>
                    <w:keepNext w:val="0"/>
                    <w:keepLines w:val="0"/>
                    <w:widowControl/>
                    <w:suppressLineNumbers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 w:val="21"/>
                      <w:szCs w:val="21"/>
                      <w:lang w:val="en-US" w:eastAsia="zh-CN" w:bidi="ar"/>
                    </w:rPr>
                    <w:t>分类收集后由当地环卫部门清运</w:t>
                  </w:r>
                </w:p>
              </w:tc>
            </w:tr>
            <w:tr w14:paraId="388C9A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264" w:hRule="atLeast"/>
                <w:jc w:val="center"/>
              </w:trPr>
              <w:tc>
                <w:tcPr>
                  <w:tcW w:w="907" w:type="dxa"/>
                  <w:vMerge w:val="continue"/>
                  <w:tcBorders>
                    <w:tl2br w:val="nil"/>
                    <w:tr2bl w:val="nil"/>
                  </w:tcBorders>
                  <w:tcMar>
                    <w:top w:w="0" w:type="dxa"/>
                    <w:left w:w="113" w:type="dxa"/>
                    <w:bottom w:w="0" w:type="dxa"/>
                    <w:right w:w="113" w:type="dxa"/>
                  </w:tcMar>
                  <w:vAlign w:val="center"/>
                </w:tcPr>
                <w:p w14:paraId="082CDA05">
                  <w:pPr>
                    <w:adjustRightInd w:val="0"/>
                    <w:snapToGrid w:val="0"/>
                    <w:jc w:val="center"/>
                    <w:rPr>
                      <w:rFonts w:hint="default" w:ascii="Times New Roman" w:hAnsi="Times New Roman" w:eastAsia="宋体" w:cs="Times New Roman"/>
                      <w:color w:val="auto"/>
                      <w:szCs w:val="21"/>
                      <w:highlight w:val="none"/>
                      <w:lang w:val="zh-CN"/>
                    </w:rPr>
                  </w:pPr>
                </w:p>
              </w:tc>
              <w:tc>
                <w:tcPr>
                  <w:tcW w:w="1958" w:type="dxa"/>
                  <w:tcBorders>
                    <w:tl2br w:val="nil"/>
                    <w:tr2bl w:val="nil"/>
                  </w:tcBorders>
                  <w:shd w:val="clear" w:color="auto" w:fill="auto"/>
                  <w:tcMar>
                    <w:top w:w="0" w:type="dxa"/>
                    <w:left w:w="113" w:type="dxa"/>
                    <w:bottom w:w="0" w:type="dxa"/>
                    <w:right w:w="113" w:type="dxa"/>
                  </w:tcMar>
                  <w:vAlign w:val="center"/>
                </w:tcPr>
                <w:p w14:paraId="70CC0C09">
                  <w:pPr>
                    <w:adjustRightInd w:val="0"/>
                    <w:snapToGrid w:val="0"/>
                    <w:jc w:val="center"/>
                    <w:rPr>
                      <w:rFonts w:hint="default" w:ascii="Times New Roman" w:hAnsi="Times New Roman" w:eastAsia="宋体" w:cs="Times New Roman"/>
                      <w:color w:val="auto"/>
                      <w:szCs w:val="21"/>
                      <w:highlight w:val="none"/>
                      <w:lang w:val="zh-CN" w:eastAsia="zh-CN"/>
                    </w:rPr>
                  </w:pPr>
                  <w:r>
                    <w:rPr>
                      <w:rFonts w:hint="default" w:ascii="Times New Roman" w:hAnsi="Times New Roman" w:eastAsia="宋体" w:cs="Times New Roman"/>
                      <w:color w:val="auto"/>
                      <w:szCs w:val="21"/>
                      <w:highlight w:val="none"/>
                      <w:lang w:val="en-US" w:eastAsia="zh-CN"/>
                    </w:rPr>
                    <w:t>一般</w:t>
                  </w:r>
                  <w:r>
                    <w:rPr>
                      <w:rFonts w:hint="eastAsia" w:ascii="Times New Roman" w:hAnsi="Times New Roman" w:eastAsia="宋体" w:cs="Times New Roman"/>
                      <w:color w:val="auto"/>
                      <w:szCs w:val="21"/>
                      <w:highlight w:val="none"/>
                      <w:lang w:val="en-US" w:eastAsia="zh-CN"/>
                    </w:rPr>
                    <w:t>工业</w:t>
                  </w:r>
                  <w:r>
                    <w:rPr>
                      <w:rFonts w:hint="default" w:ascii="Times New Roman" w:hAnsi="Times New Roman" w:eastAsia="宋体" w:cs="Times New Roman"/>
                      <w:color w:val="auto"/>
                      <w:szCs w:val="21"/>
                      <w:highlight w:val="none"/>
                      <w:lang w:val="en-US" w:eastAsia="zh-CN"/>
                    </w:rPr>
                    <w:t>固体废物</w:t>
                  </w:r>
                </w:p>
              </w:tc>
              <w:tc>
                <w:tcPr>
                  <w:tcW w:w="2568" w:type="dxa"/>
                  <w:tcBorders>
                    <w:tl2br w:val="nil"/>
                    <w:tr2bl w:val="nil"/>
                  </w:tcBorders>
                  <w:shd w:val="clear" w:color="auto" w:fill="auto"/>
                  <w:tcMar>
                    <w:top w:w="0" w:type="dxa"/>
                    <w:left w:w="113" w:type="dxa"/>
                    <w:bottom w:w="0" w:type="dxa"/>
                    <w:right w:w="113" w:type="dxa"/>
                  </w:tcMar>
                  <w:vAlign w:val="center"/>
                </w:tcPr>
                <w:p w14:paraId="48F76392">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不沾染化学试剂的</w:t>
                  </w:r>
                </w:p>
                <w:p w14:paraId="20714A2A">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废包装物</w:t>
                  </w:r>
                </w:p>
              </w:tc>
              <w:tc>
                <w:tcPr>
                  <w:tcW w:w="2383" w:type="dxa"/>
                  <w:tcBorders>
                    <w:tl2br w:val="nil"/>
                    <w:tr2bl w:val="nil"/>
                  </w:tcBorders>
                  <w:shd w:val="clear" w:color="auto" w:fill="auto"/>
                  <w:tcMar>
                    <w:top w:w="0" w:type="dxa"/>
                    <w:left w:w="113" w:type="dxa"/>
                    <w:bottom w:w="0" w:type="dxa"/>
                    <w:right w:w="113" w:type="dxa"/>
                  </w:tcMar>
                  <w:vAlign w:val="center"/>
                </w:tcPr>
                <w:p w14:paraId="784A7C00">
                  <w:pPr>
                    <w:keepNext w:val="0"/>
                    <w:keepLines w:val="0"/>
                    <w:widowControl/>
                    <w:suppressLineNumbers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物资部门回收</w:t>
                  </w:r>
                </w:p>
              </w:tc>
            </w:tr>
            <w:tr w14:paraId="1DF0E3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134" w:type="dxa"/>
                  <w:bottom w:w="0" w:type="dxa"/>
                  <w:right w:w="1701" w:type="dxa"/>
                </w:tblCellMar>
              </w:tblPrEx>
              <w:trPr>
                <w:trHeight w:val="397" w:hRule="atLeast"/>
                <w:jc w:val="center"/>
              </w:trPr>
              <w:tc>
                <w:tcPr>
                  <w:tcW w:w="907" w:type="dxa"/>
                  <w:vMerge w:val="continue"/>
                  <w:tcBorders>
                    <w:tl2br w:val="nil"/>
                    <w:tr2bl w:val="nil"/>
                  </w:tcBorders>
                  <w:tcMar>
                    <w:top w:w="0" w:type="dxa"/>
                    <w:left w:w="0" w:type="dxa"/>
                    <w:bottom w:w="0" w:type="dxa"/>
                    <w:right w:w="0" w:type="dxa"/>
                  </w:tcMar>
                  <w:vAlign w:val="center"/>
                </w:tcPr>
                <w:p w14:paraId="54CCECC3">
                  <w:pPr>
                    <w:adjustRightInd w:val="0"/>
                    <w:snapToGrid w:val="0"/>
                    <w:jc w:val="center"/>
                    <w:rPr>
                      <w:rFonts w:hint="default" w:ascii="Times New Roman" w:hAnsi="Times New Roman" w:eastAsia="宋体" w:cs="Times New Roman"/>
                      <w:color w:val="auto"/>
                      <w:szCs w:val="21"/>
                      <w:highlight w:val="none"/>
                      <w:lang w:val="zh-CN"/>
                    </w:rPr>
                  </w:pPr>
                </w:p>
              </w:tc>
              <w:tc>
                <w:tcPr>
                  <w:tcW w:w="1958" w:type="dxa"/>
                  <w:tcBorders>
                    <w:tl2br w:val="nil"/>
                    <w:tr2bl w:val="nil"/>
                  </w:tcBorders>
                  <w:tcMar>
                    <w:top w:w="0" w:type="dxa"/>
                    <w:left w:w="0" w:type="dxa"/>
                    <w:bottom w:w="0" w:type="dxa"/>
                    <w:right w:w="0" w:type="dxa"/>
                  </w:tcMar>
                  <w:vAlign w:val="center"/>
                </w:tcPr>
                <w:p w14:paraId="6DF31D39">
                  <w:pPr>
                    <w:adjustRightInd w:val="0"/>
                    <w:snapToGrid w:val="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危险废物</w:t>
                  </w:r>
                </w:p>
              </w:tc>
              <w:tc>
                <w:tcPr>
                  <w:tcW w:w="2568" w:type="dxa"/>
                  <w:tcBorders>
                    <w:tl2br w:val="nil"/>
                    <w:tr2bl w:val="nil"/>
                  </w:tcBorders>
                  <w:shd w:val="clear" w:color="auto" w:fill="auto"/>
                  <w:tcMar>
                    <w:top w:w="0" w:type="dxa"/>
                    <w:left w:w="0" w:type="dxa"/>
                    <w:bottom w:w="0" w:type="dxa"/>
                    <w:right w:w="0" w:type="dxa"/>
                  </w:tcMar>
                  <w:vAlign w:val="center"/>
                </w:tcPr>
                <w:p w14:paraId="5E8FCFCC">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 w:val="21"/>
                      <w:szCs w:val="21"/>
                      <w:highlight w:val="none"/>
                      <w:lang w:val="en-US" w:eastAsia="zh-CN"/>
                    </w:rPr>
                    <w:t>废试剂瓶、废试剂、废一次性实验耗材、废培养基、检测废液、清洗废液、</w:t>
                  </w:r>
                  <w:r>
                    <w:rPr>
                      <w:rFonts w:hint="eastAsia" w:eastAsia="宋体" w:cs="Times New Roman"/>
                      <w:color w:val="auto"/>
                      <w:sz w:val="21"/>
                      <w:szCs w:val="21"/>
                      <w:highlight w:val="none"/>
                      <w:lang w:val="en-US" w:eastAsia="zh-CN"/>
                    </w:rPr>
                    <w:t>废活性炭</w:t>
                  </w:r>
                  <w:r>
                    <w:rPr>
                      <w:rFonts w:hint="eastAsia" w:cs="Times New Roman"/>
                      <w:color w:val="auto"/>
                      <w:sz w:val="21"/>
                      <w:szCs w:val="21"/>
                      <w:highlight w:val="none"/>
                      <w:lang w:val="en-US" w:eastAsia="zh-CN"/>
                    </w:rPr>
                    <w:t>、废吸附剂、废样品</w:t>
                  </w:r>
                </w:p>
              </w:tc>
              <w:tc>
                <w:tcPr>
                  <w:tcW w:w="2383" w:type="dxa"/>
                  <w:tcBorders>
                    <w:tl2br w:val="nil"/>
                    <w:tr2bl w:val="nil"/>
                  </w:tcBorders>
                  <w:tcMar>
                    <w:top w:w="0" w:type="dxa"/>
                    <w:left w:w="0" w:type="dxa"/>
                    <w:bottom w:w="0" w:type="dxa"/>
                    <w:right w:w="0" w:type="dxa"/>
                  </w:tcMar>
                  <w:vAlign w:val="center"/>
                </w:tcPr>
                <w:p w14:paraId="6E2D160C">
                  <w:pPr>
                    <w:keepNext w:val="0"/>
                    <w:keepLines w:val="0"/>
                    <w:widowControl/>
                    <w:suppressLineNumbers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
                    </w:rPr>
                    <w:t>暂</w:t>
                  </w:r>
                  <w:r>
                    <w:rPr>
                      <w:rFonts w:hint="default" w:cs="Times New Roman"/>
                      <w:color w:val="auto"/>
                      <w:sz w:val="21"/>
                      <w:szCs w:val="21"/>
                      <w:highlight w:val="none"/>
                      <w:lang w:val="en-US" w:eastAsia="zh-CN"/>
                    </w:rPr>
                    <w:t>存</w:t>
                  </w:r>
                  <w:r>
                    <w:rPr>
                      <w:rFonts w:hint="eastAsia" w:cs="Times New Roman"/>
                      <w:color w:val="auto"/>
                      <w:sz w:val="21"/>
                      <w:szCs w:val="21"/>
                      <w:highlight w:val="none"/>
                      <w:lang w:val="en-US" w:eastAsia="zh-CN"/>
                    </w:rPr>
                    <w:t>危险废物</w:t>
                  </w:r>
                  <w:r>
                    <w:rPr>
                      <w:rFonts w:hint="default" w:cs="Times New Roman"/>
                      <w:color w:val="auto"/>
                      <w:sz w:val="21"/>
                      <w:szCs w:val="21"/>
                      <w:highlight w:val="none"/>
                      <w:lang w:val="en-US" w:eastAsia="zh-CN"/>
                    </w:rPr>
                    <w:t>暂存间，定期交</w:t>
                  </w:r>
                  <w:r>
                    <w:rPr>
                      <w:rFonts w:hint="eastAsia" w:cs="Times New Roman"/>
                      <w:color w:val="auto"/>
                      <w:sz w:val="21"/>
                      <w:szCs w:val="21"/>
                      <w:highlight w:val="none"/>
                      <w:lang w:val="en-US" w:eastAsia="zh-CN"/>
                    </w:rPr>
                    <w:t>北京鑫兴众成环境科技有限责任公司</w:t>
                  </w:r>
                  <w:r>
                    <w:rPr>
                      <w:rFonts w:hint="default" w:cs="Times New Roman"/>
                      <w:color w:val="auto"/>
                      <w:sz w:val="21"/>
                      <w:szCs w:val="21"/>
                      <w:highlight w:val="none"/>
                      <w:lang w:val="en-US" w:eastAsia="zh-CN"/>
                    </w:rPr>
                    <w:t>处置</w:t>
                  </w:r>
                </w:p>
                <w:p w14:paraId="3BDC398F">
                  <w:pPr>
                    <w:adjustRightInd w:val="0"/>
                    <w:snapToGrid w:val="0"/>
                    <w:jc w:val="center"/>
                    <w:rPr>
                      <w:rFonts w:hint="default" w:ascii="Times New Roman" w:hAnsi="Times New Roman" w:eastAsia="宋体" w:cs="Times New Roman"/>
                      <w:color w:val="auto"/>
                      <w:szCs w:val="21"/>
                      <w:highlight w:val="none"/>
                    </w:rPr>
                  </w:pPr>
                </w:p>
              </w:tc>
            </w:tr>
          </w:tbl>
          <w:p w14:paraId="1B4F77AD">
            <w:pPr>
              <w:numPr>
                <w:ilvl w:val="0"/>
                <w:numId w:val="0"/>
              </w:numPr>
              <w:adjustRightInd w:val="0"/>
              <w:spacing w:line="360" w:lineRule="auto"/>
              <w:jc w:val="both"/>
              <w:rPr>
                <w:rFonts w:hint="default" w:ascii="Times New Roman" w:hAnsi="Times New Roman" w:eastAsia="宋体" w:cs="Times New Roman"/>
                <w:color w:val="auto"/>
                <w:sz w:val="24"/>
                <w:highlight w:val="none"/>
              </w:rPr>
            </w:pPr>
          </w:p>
        </w:tc>
      </w:tr>
      <w:tr w14:paraId="1FF35D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23" w:hRule="atLeast"/>
          <w:jc w:val="center"/>
        </w:trPr>
        <w:tc>
          <w:tcPr>
            <w:tcW w:w="818" w:type="dxa"/>
            <w:vAlign w:val="center"/>
          </w:tcPr>
          <w:p w14:paraId="3D991629">
            <w:pPr>
              <w:pStyle w:val="20"/>
              <w:adjustRightInd w:val="0"/>
              <w:snapToGrid w:val="0"/>
              <w:spacing w:before="0" w:beforeAutospacing="0" w:after="0" w:afterAutospacing="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bCs/>
                <w:color w:val="auto"/>
                <w:kern w:val="2"/>
                <w:szCs w:val="24"/>
                <w:highlight w:val="none"/>
              </w:rPr>
              <w:t>与项目有关的原有环境污染问题</w:t>
            </w:r>
          </w:p>
        </w:tc>
        <w:tc>
          <w:tcPr>
            <w:tcW w:w="8189" w:type="dxa"/>
            <w:vAlign w:val="top"/>
          </w:tcPr>
          <w:p w14:paraId="4D84B046">
            <w:pPr>
              <w:numPr>
                <w:ilvl w:val="0"/>
                <w:numId w:val="22"/>
              </w:numPr>
              <w:adjustRightInd w:val="0"/>
              <w:spacing w:line="360" w:lineRule="auto"/>
              <w:jc w:val="both"/>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现有项目基本情况及环保手续履行情况</w:t>
            </w:r>
          </w:p>
          <w:p w14:paraId="678F28C6">
            <w:pPr>
              <w:widowControl/>
              <w:spacing w:line="360" w:lineRule="auto"/>
              <w:ind w:firstLine="480" w:firstLineChars="200"/>
              <w:jc w:val="left"/>
              <w:rPr>
                <w:rFonts w:hint="default" w:cs="Times New Roman"/>
                <w:color w:val="auto"/>
                <w:sz w:val="24"/>
                <w:highlight w:val="none"/>
                <w:lang w:val="en-US" w:eastAsia="zh-CN"/>
              </w:rPr>
            </w:pPr>
            <w:r>
              <w:rPr>
                <w:rFonts w:hint="eastAsia" w:cs="Times New Roman"/>
                <w:color w:val="auto"/>
                <w:sz w:val="24"/>
                <w:highlight w:val="none"/>
                <w:lang w:val="en-US" w:eastAsia="zh-CN"/>
              </w:rPr>
              <w:t>北京美添辰环境检测有限公司</w:t>
            </w:r>
            <w:r>
              <w:rPr>
                <w:rFonts w:hint="default" w:cs="Times New Roman"/>
                <w:color w:val="auto"/>
                <w:sz w:val="24"/>
                <w:highlight w:val="none"/>
                <w:lang w:val="en-US" w:eastAsia="zh-CN"/>
              </w:rPr>
              <w:t>成立于201</w:t>
            </w:r>
            <w:r>
              <w:rPr>
                <w:rFonts w:hint="eastAsia" w:cs="Times New Roman"/>
                <w:color w:val="auto"/>
                <w:sz w:val="24"/>
                <w:highlight w:val="none"/>
                <w:lang w:val="en-US" w:eastAsia="zh-CN"/>
              </w:rPr>
              <w:t>1</w:t>
            </w:r>
            <w:r>
              <w:rPr>
                <w:rFonts w:hint="default" w:cs="Times New Roman"/>
                <w:color w:val="auto"/>
                <w:sz w:val="24"/>
                <w:highlight w:val="none"/>
                <w:lang w:val="en-US" w:eastAsia="zh-CN"/>
              </w:rPr>
              <w:t>年</w:t>
            </w:r>
            <w:r>
              <w:rPr>
                <w:rFonts w:hint="eastAsia" w:cs="Times New Roman"/>
                <w:color w:val="auto"/>
                <w:sz w:val="24"/>
                <w:highlight w:val="none"/>
                <w:lang w:val="en-US" w:eastAsia="zh-CN"/>
              </w:rPr>
              <w:t>7</w:t>
            </w:r>
            <w:r>
              <w:rPr>
                <w:rFonts w:hint="default" w:cs="Times New Roman"/>
                <w:color w:val="auto"/>
                <w:sz w:val="24"/>
                <w:highlight w:val="none"/>
                <w:lang w:val="en-US" w:eastAsia="zh-CN"/>
              </w:rPr>
              <w:t>月，目前位于</w:t>
            </w:r>
            <w:r>
              <w:rPr>
                <w:rFonts w:hint="eastAsia" w:cs="Times New Roman"/>
                <w:color w:val="auto"/>
                <w:sz w:val="24"/>
                <w:highlight w:val="none"/>
                <w:lang w:val="en-US" w:eastAsia="zh-CN"/>
              </w:rPr>
              <w:t>北京经济技术开发区(通州)环科中路2号院22号楼六层601室</w:t>
            </w:r>
            <w:r>
              <w:rPr>
                <w:rFonts w:hint="default" w:cs="Times New Roman"/>
                <w:color w:val="auto"/>
                <w:sz w:val="24"/>
                <w:highlight w:val="none"/>
                <w:lang w:val="en-US" w:eastAsia="zh-CN"/>
              </w:rPr>
              <w:t>。</w:t>
            </w:r>
            <w:r>
              <w:rPr>
                <w:rFonts w:hint="eastAsia" w:cs="Times New Roman"/>
                <w:color w:val="auto"/>
                <w:sz w:val="24"/>
                <w:highlight w:val="none"/>
                <w:lang w:val="en-US" w:eastAsia="zh-CN"/>
              </w:rPr>
              <w:t>公司委托编制的《北京美添辰环境检测有限公司检测实验室迁址项目环境影响报告表》，于2020年1月16日获得北京市通州区生态环境局的批复，批复文号：通环审【2020】0014号。建设地址为：北京市北京经济技术开发区(通州)环科中路2号院22号楼六层601室，该项目于2023年1月17日完成自主验收。</w:t>
            </w:r>
          </w:p>
          <w:p w14:paraId="6F751E82">
            <w:pPr>
              <w:widowControl/>
              <w:spacing w:line="360" w:lineRule="auto"/>
              <w:ind w:firstLine="480" w:firstLineChars="200"/>
              <w:jc w:val="left"/>
              <w:rPr>
                <w:rFonts w:hint="eastAsia" w:cs="Times New Roman"/>
                <w:color w:val="auto"/>
                <w:sz w:val="24"/>
                <w:highlight w:val="none"/>
                <w:lang w:val="en-US" w:eastAsia="zh-CN"/>
              </w:rPr>
            </w:pPr>
            <w:r>
              <w:rPr>
                <w:rFonts w:hint="eastAsia" w:cs="Times New Roman"/>
                <w:color w:val="auto"/>
                <w:sz w:val="24"/>
                <w:highlight w:val="none"/>
                <w:lang w:val="en-US" w:eastAsia="zh-CN"/>
              </w:rPr>
              <w:t>公司现有员工30人，全年工作260天，每天一班制8小时（白班），分别检测水质类样品</w:t>
            </w:r>
            <w:r>
              <w:rPr>
                <w:rFonts w:hint="default" w:cs="Times New Roman"/>
                <w:color w:val="auto"/>
                <w:sz w:val="24"/>
                <w:highlight w:val="none"/>
                <w:lang w:val="en-US" w:eastAsia="zh-CN"/>
              </w:rPr>
              <w:t>1200</w:t>
            </w:r>
            <w:r>
              <w:rPr>
                <w:rFonts w:hint="eastAsia" w:cs="Times New Roman"/>
                <w:color w:val="auto"/>
                <w:sz w:val="24"/>
                <w:highlight w:val="none"/>
                <w:lang w:val="en-US" w:eastAsia="zh-CN"/>
              </w:rPr>
              <w:t>份</w:t>
            </w:r>
            <w:r>
              <w:rPr>
                <w:rFonts w:hint="default" w:cs="Times New Roman"/>
                <w:color w:val="auto"/>
                <w:sz w:val="24"/>
                <w:highlight w:val="none"/>
                <w:lang w:val="en-US" w:eastAsia="zh-CN"/>
              </w:rPr>
              <w:t>/</w:t>
            </w:r>
            <w:r>
              <w:rPr>
                <w:rFonts w:hint="eastAsia" w:cs="Times New Roman"/>
                <w:color w:val="auto"/>
                <w:sz w:val="24"/>
                <w:highlight w:val="none"/>
                <w:lang w:val="en-US" w:eastAsia="zh-CN"/>
              </w:rPr>
              <w:t>年、气体类样品</w:t>
            </w:r>
            <w:r>
              <w:rPr>
                <w:rFonts w:hint="default" w:cs="Times New Roman"/>
                <w:color w:val="auto"/>
                <w:sz w:val="24"/>
                <w:highlight w:val="none"/>
                <w:lang w:val="en-US" w:eastAsia="zh-CN"/>
              </w:rPr>
              <w:t>480</w:t>
            </w:r>
            <w:r>
              <w:rPr>
                <w:rFonts w:hint="eastAsia" w:cs="Times New Roman"/>
                <w:color w:val="auto"/>
                <w:sz w:val="24"/>
                <w:highlight w:val="none"/>
                <w:lang w:val="en-US" w:eastAsia="zh-CN"/>
              </w:rPr>
              <w:t>份</w:t>
            </w:r>
            <w:r>
              <w:rPr>
                <w:rFonts w:hint="default" w:cs="Times New Roman"/>
                <w:color w:val="auto"/>
                <w:sz w:val="24"/>
                <w:highlight w:val="none"/>
                <w:lang w:val="en-US" w:eastAsia="zh-CN"/>
              </w:rPr>
              <w:t>/</w:t>
            </w:r>
            <w:r>
              <w:rPr>
                <w:rFonts w:hint="eastAsia" w:cs="Times New Roman"/>
                <w:color w:val="auto"/>
                <w:sz w:val="24"/>
                <w:highlight w:val="none"/>
                <w:lang w:val="en-US" w:eastAsia="zh-CN"/>
              </w:rPr>
              <w:t>年、固体类样品</w:t>
            </w:r>
            <w:r>
              <w:rPr>
                <w:rFonts w:hint="default" w:cs="Times New Roman"/>
                <w:color w:val="auto"/>
                <w:sz w:val="24"/>
                <w:highlight w:val="none"/>
                <w:lang w:val="en-US" w:eastAsia="zh-CN"/>
              </w:rPr>
              <w:t>120</w:t>
            </w:r>
            <w:r>
              <w:rPr>
                <w:rFonts w:hint="eastAsia" w:cs="Times New Roman"/>
                <w:color w:val="auto"/>
                <w:sz w:val="24"/>
                <w:highlight w:val="none"/>
                <w:lang w:val="en-US" w:eastAsia="zh-CN"/>
              </w:rPr>
              <w:t>份</w:t>
            </w:r>
            <w:r>
              <w:rPr>
                <w:rFonts w:hint="default" w:cs="Times New Roman"/>
                <w:color w:val="auto"/>
                <w:sz w:val="24"/>
                <w:highlight w:val="none"/>
                <w:lang w:val="en-US" w:eastAsia="zh-CN"/>
              </w:rPr>
              <w:t>/</w:t>
            </w:r>
            <w:r>
              <w:rPr>
                <w:rFonts w:hint="eastAsia" w:cs="Times New Roman"/>
                <w:color w:val="auto"/>
                <w:sz w:val="24"/>
                <w:highlight w:val="none"/>
                <w:lang w:val="en-US" w:eastAsia="zh-CN"/>
              </w:rPr>
              <w:t>年、微生物样品</w:t>
            </w:r>
            <w:r>
              <w:rPr>
                <w:rFonts w:hint="default" w:cs="Times New Roman"/>
                <w:color w:val="auto"/>
                <w:sz w:val="24"/>
                <w:highlight w:val="none"/>
                <w:lang w:val="en-US" w:eastAsia="zh-CN"/>
              </w:rPr>
              <w:t>20</w:t>
            </w:r>
            <w:r>
              <w:rPr>
                <w:rFonts w:hint="eastAsia" w:cs="Times New Roman"/>
                <w:color w:val="auto"/>
                <w:sz w:val="24"/>
                <w:highlight w:val="none"/>
                <w:lang w:val="en-US" w:eastAsia="zh-CN"/>
              </w:rPr>
              <w:t>份</w:t>
            </w:r>
            <w:r>
              <w:rPr>
                <w:rFonts w:hint="default" w:cs="Times New Roman"/>
                <w:color w:val="auto"/>
                <w:sz w:val="24"/>
                <w:highlight w:val="none"/>
                <w:lang w:val="en-US" w:eastAsia="zh-CN"/>
              </w:rPr>
              <w:t>/</w:t>
            </w:r>
            <w:r>
              <w:rPr>
                <w:rFonts w:hint="eastAsia" w:cs="Times New Roman"/>
                <w:color w:val="auto"/>
                <w:sz w:val="24"/>
                <w:highlight w:val="none"/>
                <w:lang w:val="en-US" w:eastAsia="zh-CN"/>
              </w:rPr>
              <w:t>年。</w:t>
            </w:r>
          </w:p>
          <w:p w14:paraId="1DB4F651">
            <w:pPr>
              <w:numPr>
                <w:ilvl w:val="0"/>
                <w:numId w:val="22"/>
              </w:numPr>
              <w:adjustRightInd w:val="0"/>
              <w:spacing w:line="360" w:lineRule="auto"/>
              <w:ind w:left="0" w:leftChars="0" w:firstLine="0" w:firstLineChars="0"/>
              <w:jc w:val="both"/>
              <w:rPr>
                <w:rFonts w:hint="default" w:cs="Times New Roman"/>
                <w:b/>
                <w:bCs/>
                <w:color w:val="auto"/>
                <w:sz w:val="24"/>
                <w:highlight w:val="none"/>
                <w:lang w:val="en-US" w:eastAsia="zh-CN"/>
              </w:rPr>
            </w:pPr>
            <w:r>
              <w:rPr>
                <w:rFonts w:hint="default" w:cs="Times New Roman"/>
                <w:b/>
                <w:bCs/>
                <w:color w:val="auto"/>
                <w:sz w:val="24"/>
                <w:highlight w:val="none"/>
                <w:lang w:val="en-US" w:eastAsia="zh-CN"/>
              </w:rPr>
              <w:t>现有</w:t>
            </w:r>
            <w:r>
              <w:rPr>
                <w:rFonts w:hint="eastAsia" w:cs="Times New Roman"/>
                <w:b/>
                <w:bCs/>
                <w:color w:val="auto"/>
                <w:sz w:val="24"/>
                <w:highlight w:val="none"/>
                <w:lang w:val="en-US" w:eastAsia="zh-CN"/>
              </w:rPr>
              <w:t>项目</w:t>
            </w:r>
            <w:r>
              <w:rPr>
                <w:rFonts w:hint="default" w:cs="Times New Roman"/>
                <w:b/>
                <w:bCs/>
                <w:color w:val="auto"/>
                <w:sz w:val="24"/>
                <w:highlight w:val="none"/>
                <w:lang w:val="en-US" w:eastAsia="zh-CN"/>
              </w:rPr>
              <w:t>主要污染物及排放情况</w:t>
            </w:r>
          </w:p>
          <w:p w14:paraId="341C04D2">
            <w:pPr>
              <w:widowControl/>
              <w:spacing w:line="360" w:lineRule="auto"/>
              <w:ind w:firstLine="480" w:firstLineChars="200"/>
              <w:jc w:val="left"/>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w:t>
            </w:r>
            <w:r>
              <w:rPr>
                <w:rFonts w:hint="default" w:cs="Times New Roman"/>
                <w:b w:val="0"/>
                <w:bCs w:val="0"/>
                <w:color w:val="auto"/>
                <w:sz w:val="24"/>
                <w:highlight w:val="none"/>
                <w:lang w:val="en-US" w:eastAsia="zh-CN"/>
              </w:rPr>
              <w:t>1</w:t>
            </w:r>
            <w:r>
              <w:rPr>
                <w:rFonts w:hint="eastAsia" w:cs="Times New Roman"/>
                <w:b w:val="0"/>
                <w:bCs w:val="0"/>
                <w:color w:val="auto"/>
                <w:sz w:val="24"/>
                <w:highlight w:val="none"/>
                <w:lang w:val="en-US" w:eastAsia="zh-CN"/>
              </w:rPr>
              <w:t>）废气</w:t>
            </w:r>
          </w:p>
          <w:p w14:paraId="1B5685CE">
            <w:pPr>
              <w:widowControl/>
              <w:spacing w:line="360" w:lineRule="auto"/>
              <w:ind w:firstLine="480" w:firstLineChars="200"/>
              <w:jc w:val="left"/>
              <w:rPr>
                <w:rFonts w:hint="eastAsia" w:cs="Times New Roman"/>
                <w:color w:val="auto"/>
                <w:sz w:val="24"/>
                <w:highlight w:val="none"/>
                <w:lang w:val="en-US" w:eastAsia="zh-CN"/>
              </w:rPr>
            </w:pPr>
            <w:r>
              <w:rPr>
                <w:rFonts w:hint="eastAsia" w:cs="Times New Roman"/>
                <w:color w:val="auto"/>
                <w:sz w:val="24"/>
                <w:highlight w:val="none"/>
                <w:lang w:val="en-US" w:eastAsia="zh-CN"/>
              </w:rPr>
              <w:t>现有项目废气为试剂配制及检测过程排放的废气，废气经通风橱、集气罩收集，经活性炭吸附装置处理后，分别由三根</w:t>
            </w:r>
            <w:r>
              <w:rPr>
                <w:rFonts w:hint="default" w:cs="Times New Roman"/>
                <w:color w:val="auto"/>
                <w:sz w:val="24"/>
                <w:highlight w:val="none"/>
                <w:lang w:val="en-US" w:eastAsia="zh-CN"/>
              </w:rPr>
              <w:t>2</w:t>
            </w:r>
            <w:r>
              <w:rPr>
                <w:rFonts w:hint="eastAsia" w:cs="Times New Roman"/>
                <w:color w:val="auto"/>
                <w:sz w:val="24"/>
                <w:highlight w:val="none"/>
                <w:lang w:val="en-US" w:eastAsia="zh-CN"/>
              </w:rPr>
              <w:t>3</w:t>
            </w:r>
            <w:r>
              <w:rPr>
                <w:rFonts w:hint="default" w:cs="Times New Roman"/>
                <w:color w:val="auto"/>
                <w:sz w:val="24"/>
                <w:highlight w:val="none"/>
                <w:lang w:val="en-US" w:eastAsia="zh-CN"/>
              </w:rPr>
              <w:t>m</w:t>
            </w:r>
            <w:r>
              <w:rPr>
                <w:rFonts w:hint="eastAsia" w:cs="Times New Roman"/>
                <w:color w:val="auto"/>
                <w:sz w:val="24"/>
                <w:highlight w:val="none"/>
                <w:lang w:val="en-US" w:eastAsia="zh-CN"/>
              </w:rPr>
              <w:t>高排气筒排放。</w:t>
            </w:r>
          </w:p>
          <w:p w14:paraId="4415BFD1">
            <w:pPr>
              <w:widowControl/>
              <w:spacing w:line="360" w:lineRule="auto"/>
              <w:ind w:firstLine="480" w:firstLineChars="200"/>
              <w:jc w:val="left"/>
              <w:rPr>
                <w:rFonts w:hint="default" w:cs="Times New Roman"/>
                <w:color w:val="auto"/>
                <w:sz w:val="24"/>
                <w:highlight w:val="none"/>
                <w:lang w:val="en-US" w:eastAsia="zh-CN"/>
              </w:rPr>
            </w:pPr>
            <w:r>
              <w:rPr>
                <w:rFonts w:hint="eastAsia" w:cs="Times New Roman"/>
                <w:color w:val="auto"/>
                <w:sz w:val="24"/>
                <w:highlight w:val="none"/>
                <w:lang w:val="en-US" w:eastAsia="zh-CN"/>
              </w:rPr>
              <w:t>根据北京华成星科检测服务有限公司</w:t>
            </w:r>
            <w:r>
              <w:rPr>
                <w:rFonts w:hint="default" w:cs="Times New Roman"/>
                <w:color w:val="auto"/>
                <w:sz w:val="24"/>
                <w:highlight w:val="none"/>
                <w:lang w:val="en-US" w:eastAsia="zh-CN"/>
              </w:rPr>
              <w:t>202</w:t>
            </w:r>
            <w:r>
              <w:rPr>
                <w:rFonts w:hint="eastAsia" w:cs="Times New Roman"/>
                <w:color w:val="auto"/>
                <w:sz w:val="24"/>
                <w:highlight w:val="none"/>
                <w:lang w:val="en-US" w:eastAsia="zh-CN"/>
              </w:rPr>
              <w:t>5年5月6日出具的监测报告（报告编号：H250429142a），现有项目废气污染物排放见下表。</w:t>
            </w:r>
          </w:p>
          <w:p w14:paraId="25FF7349">
            <w:pPr>
              <w:numPr>
                <w:ilvl w:val="0"/>
                <w:numId w:val="12"/>
              </w:numPr>
              <w:adjustRightInd w:val="0"/>
              <w:snapToGrid w:val="0"/>
              <w:spacing w:line="360" w:lineRule="auto"/>
              <w:jc w:val="center"/>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现有项目废气排放情况表</w:t>
            </w:r>
          </w:p>
          <w:tbl>
            <w:tblPr>
              <w:tblStyle w:val="24"/>
              <w:tblW w:w="792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294"/>
              <w:gridCol w:w="1253"/>
              <w:gridCol w:w="1327"/>
              <w:gridCol w:w="1133"/>
              <w:gridCol w:w="1133"/>
              <w:gridCol w:w="1133"/>
            </w:tblGrid>
            <w:tr w14:paraId="7D0122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restart"/>
                  <w:tcBorders>
                    <w:tl2br w:val="nil"/>
                    <w:tr2bl w:val="nil"/>
                  </w:tcBorders>
                  <w:vAlign w:val="center"/>
                </w:tcPr>
                <w:p w14:paraId="5CE1EAF3">
                  <w:pPr>
                    <w:widowControl/>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排放口</w:t>
                  </w:r>
                </w:p>
              </w:tc>
              <w:tc>
                <w:tcPr>
                  <w:tcW w:w="1294" w:type="dxa"/>
                  <w:vMerge w:val="restart"/>
                  <w:tcBorders>
                    <w:tl2br w:val="nil"/>
                    <w:tr2bl w:val="nil"/>
                  </w:tcBorders>
                  <w:vAlign w:val="center"/>
                </w:tcPr>
                <w:p w14:paraId="18B799F1">
                  <w:pPr>
                    <w:widowControl/>
                    <w:spacing w:line="240" w:lineRule="auto"/>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污染物</w:t>
                  </w:r>
                </w:p>
              </w:tc>
              <w:tc>
                <w:tcPr>
                  <w:tcW w:w="2580" w:type="dxa"/>
                  <w:gridSpan w:val="2"/>
                  <w:tcBorders>
                    <w:tl2br w:val="nil"/>
                    <w:tr2bl w:val="nil"/>
                  </w:tcBorders>
                  <w:vAlign w:val="center"/>
                </w:tcPr>
                <w:p w14:paraId="5AB004F3">
                  <w:pPr>
                    <w:widowControl/>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排放情况</w:t>
                  </w:r>
                </w:p>
              </w:tc>
              <w:tc>
                <w:tcPr>
                  <w:tcW w:w="2266" w:type="dxa"/>
                  <w:gridSpan w:val="2"/>
                  <w:tcBorders>
                    <w:tl2br w:val="nil"/>
                    <w:tr2bl w:val="nil"/>
                  </w:tcBorders>
                  <w:vAlign w:val="center"/>
                </w:tcPr>
                <w:p w14:paraId="25AECF0E">
                  <w:pPr>
                    <w:widowControl/>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排放标准</w:t>
                  </w:r>
                </w:p>
              </w:tc>
              <w:tc>
                <w:tcPr>
                  <w:tcW w:w="1133" w:type="dxa"/>
                  <w:vMerge w:val="restart"/>
                  <w:tcBorders>
                    <w:tl2br w:val="nil"/>
                    <w:tr2bl w:val="nil"/>
                  </w:tcBorders>
                  <w:vAlign w:val="center"/>
                </w:tcPr>
                <w:p w14:paraId="33109EA4">
                  <w:pPr>
                    <w:widowControl/>
                    <w:spacing w:line="240" w:lineRule="auto"/>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达标</w:t>
                  </w:r>
                </w:p>
                <w:p w14:paraId="79CEB4D9">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情况</w:t>
                  </w:r>
                </w:p>
              </w:tc>
            </w:tr>
            <w:tr w14:paraId="4DC898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5244ED98">
                  <w:pPr>
                    <w:widowControl/>
                    <w:spacing w:line="240" w:lineRule="auto"/>
                    <w:jc w:val="center"/>
                    <w:rPr>
                      <w:rFonts w:hint="eastAsia" w:cs="Times New Roman"/>
                      <w:b/>
                      <w:bCs/>
                      <w:color w:val="auto"/>
                      <w:sz w:val="21"/>
                      <w:szCs w:val="21"/>
                      <w:highlight w:val="none"/>
                      <w:vertAlign w:val="baseline"/>
                      <w:lang w:val="en-US" w:eastAsia="zh-CN"/>
                    </w:rPr>
                  </w:pPr>
                </w:p>
              </w:tc>
              <w:tc>
                <w:tcPr>
                  <w:tcW w:w="1294" w:type="dxa"/>
                  <w:vMerge w:val="continue"/>
                  <w:tcBorders>
                    <w:tl2br w:val="nil"/>
                    <w:tr2bl w:val="nil"/>
                  </w:tcBorders>
                  <w:vAlign w:val="center"/>
                </w:tcPr>
                <w:p w14:paraId="5BB5FB42">
                  <w:pPr>
                    <w:widowControl/>
                    <w:spacing w:line="240" w:lineRule="auto"/>
                    <w:jc w:val="center"/>
                    <w:rPr>
                      <w:rFonts w:hint="eastAsia" w:cs="Times New Roman"/>
                      <w:b/>
                      <w:bCs/>
                      <w:color w:val="auto"/>
                      <w:sz w:val="21"/>
                      <w:szCs w:val="21"/>
                      <w:highlight w:val="none"/>
                      <w:vertAlign w:val="baseline"/>
                      <w:lang w:val="en-US" w:eastAsia="zh-CN"/>
                    </w:rPr>
                  </w:pPr>
                </w:p>
              </w:tc>
              <w:tc>
                <w:tcPr>
                  <w:tcW w:w="1253" w:type="dxa"/>
                  <w:tcBorders>
                    <w:tl2br w:val="nil"/>
                    <w:tr2bl w:val="nil"/>
                  </w:tcBorders>
                  <w:shd w:val="clear" w:color="auto" w:fill="auto"/>
                  <w:vAlign w:val="center"/>
                </w:tcPr>
                <w:p w14:paraId="75D0F42D">
                  <w:pPr>
                    <w:widowControl/>
                    <w:spacing w:line="240" w:lineRule="auto"/>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排放浓度</w:t>
                  </w:r>
                </w:p>
                <w:p w14:paraId="125EC090">
                  <w:pPr>
                    <w:widowControl/>
                    <w:spacing w:line="240" w:lineRule="auto"/>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default" w:cs="Times New Roman"/>
                      <w:b/>
                      <w:bCs/>
                      <w:color w:val="auto"/>
                      <w:sz w:val="21"/>
                      <w:szCs w:val="21"/>
                      <w:highlight w:val="none"/>
                      <w:vertAlign w:val="baseline"/>
                      <w:lang w:val="en-US" w:eastAsia="zh-CN"/>
                    </w:rPr>
                    <w:t>(mg/m</w:t>
                  </w:r>
                  <w:r>
                    <w:rPr>
                      <w:rFonts w:hint="default" w:cs="Times New Roman"/>
                      <w:b/>
                      <w:bCs/>
                      <w:color w:val="auto"/>
                      <w:sz w:val="21"/>
                      <w:szCs w:val="21"/>
                      <w:highlight w:val="none"/>
                      <w:vertAlign w:val="superscript"/>
                      <w:lang w:val="en-US" w:eastAsia="zh-CN"/>
                    </w:rPr>
                    <w:t>3</w:t>
                  </w:r>
                  <w:r>
                    <w:rPr>
                      <w:rFonts w:hint="default" w:cs="Times New Roman"/>
                      <w:b/>
                      <w:bCs/>
                      <w:color w:val="auto"/>
                      <w:sz w:val="21"/>
                      <w:szCs w:val="21"/>
                      <w:highlight w:val="none"/>
                      <w:vertAlign w:val="baseline"/>
                      <w:lang w:val="en-US" w:eastAsia="zh-CN"/>
                    </w:rPr>
                    <w:t>)</w:t>
                  </w:r>
                </w:p>
              </w:tc>
              <w:tc>
                <w:tcPr>
                  <w:tcW w:w="1327" w:type="dxa"/>
                  <w:tcBorders>
                    <w:tl2br w:val="nil"/>
                    <w:tr2bl w:val="nil"/>
                  </w:tcBorders>
                  <w:shd w:val="clear" w:color="auto" w:fill="auto"/>
                  <w:vAlign w:val="center"/>
                </w:tcPr>
                <w:p w14:paraId="5856D5D9">
                  <w:pPr>
                    <w:widowControl/>
                    <w:spacing w:line="240" w:lineRule="auto"/>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排放速率</w:t>
                  </w:r>
                </w:p>
                <w:p w14:paraId="4C2BA4CB">
                  <w:pPr>
                    <w:widowControl/>
                    <w:spacing w:line="240" w:lineRule="auto"/>
                    <w:jc w:val="center"/>
                    <w:rPr>
                      <w:rFonts w:hint="eastAsia"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w:t>
                  </w:r>
                  <w:r>
                    <w:rPr>
                      <w:rFonts w:hint="default" w:cs="Times New Roman"/>
                      <w:b/>
                      <w:bCs/>
                      <w:color w:val="auto"/>
                      <w:sz w:val="21"/>
                      <w:szCs w:val="21"/>
                      <w:highlight w:val="none"/>
                      <w:vertAlign w:val="baseline"/>
                      <w:lang w:val="en-US" w:eastAsia="zh-CN"/>
                    </w:rPr>
                    <w:t>kg/h</w:t>
                  </w:r>
                  <w:r>
                    <w:rPr>
                      <w:rFonts w:hint="eastAsia" w:cs="Times New Roman"/>
                      <w:b/>
                      <w:bCs/>
                      <w:color w:val="auto"/>
                      <w:sz w:val="21"/>
                      <w:szCs w:val="21"/>
                      <w:highlight w:val="none"/>
                      <w:vertAlign w:val="baseline"/>
                      <w:lang w:val="en-US" w:eastAsia="zh-CN"/>
                    </w:rPr>
                    <w:t>）</w:t>
                  </w:r>
                </w:p>
              </w:tc>
              <w:tc>
                <w:tcPr>
                  <w:tcW w:w="1133" w:type="dxa"/>
                  <w:tcBorders>
                    <w:tl2br w:val="nil"/>
                    <w:tr2bl w:val="nil"/>
                  </w:tcBorders>
                  <w:shd w:val="clear" w:color="auto" w:fill="auto"/>
                  <w:vAlign w:val="center"/>
                </w:tcPr>
                <w:p w14:paraId="3AC4B515">
                  <w:pPr>
                    <w:widowControl/>
                    <w:spacing w:line="240" w:lineRule="auto"/>
                    <w:jc w:val="both"/>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排放浓度</w:t>
                  </w:r>
                </w:p>
                <w:p w14:paraId="424F8FC1">
                  <w:pPr>
                    <w:widowControl/>
                    <w:spacing w:line="240" w:lineRule="auto"/>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w:t>
                  </w:r>
                  <w:r>
                    <w:rPr>
                      <w:rFonts w:hint="default" w:cs="Times New Roman"/>
                      <w:b/>
                      <w:bCs/>
                      <w:color w:val="auto"/>
                      <w:sz w:val="21"/>
                      <w:szCs w:val="21"/>
                      <w:highlight w:val="none"/>
                      <w:vertAlign w:val="baseline"/>
                      <w:lang w:val="en-US" w:eastAsia="zh-CN"/>
                    </w:rPr>
                    <w:t>mg/m</w:t>
                  </w:r>
                  <w:r>
                    <w:rPr>
                      <w:rFonts w:hint="default" w:cs="Times New Roman"/>
                      <w:b/>
                      <w:bCs/>
                      <w:color w:val="auto"/>
                      <w:sz w:val="21"/>
                      <w:szCs w:val="21"/>
                      <w:highlight w:val="none"/>
                      <w:vertAlign w:val="superscript"/>
                      <w:lang w:val="en-US" w:eastAsia="zh-CN"/>
                    </w:rPr>
                    <w:t>3</w:t>
                  </w:r>
                  <w:r>
                    <w:rPr>
                      <w:rFonts w:hint="eastAsia" w:cs="Times New Roman"/>
                      <w:b/>
                      <w:bCs/>
                      <w:color w:val="auto"/>
                      <w:sz w:val="21"/>
                      <w:szCs w:val="21"/>
                      <w:highlight w:val="none"/>
                      <w:vertAlign w:val="baseline"/>
                      <w:lang w:val="en-US" w:eastAsia="zh-CN"/>
                    </w:rPr>
                    <w:t>）</w:t>
                  </w:r>
                </w:p>
              </w:tc>
              <w:tc>
                <w:tcPr>
                  <w:tcW w:w="1133" w:type="dxa"/>
                  <w:tcBorders>
                    <w:tl2br w:val="nil"/>
                    <w:tr2bl w:val="nil"/>
                  </w:tcBorders>
                  <w:shd w:val="clear" w:color="auto" w:fill="auto"/>
                  <w:vAlign w:val="center"/>
                </w:tcPr>
                <w:p w14:paraId="6AF09DD3">
                  <w:pPr>
                    <w:widowControl/>
                    <w:spacing w:line="240" w:lineRule="auto"/>
                    <w:jc w:val="both"/>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排放速率</w:t>
                  </w:r>
                </w:p>
                <w:p w14:paraId="6964E553">
                  <w:pPr>
                    <w:widowControl/>
                    <w:spacing w:line="240" w:lineRule="auto"/>
                    <w:jc w:val="both"/>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w:t>
                  </w:r>
                  <w:r>
                    <w:rPr>
                      <w:rFonts w:hint="default" w:cs="Times New Roman"/>
                      <w:b/>
                      <w:bCs/>
                      <w:color w:val="auto"/>
                      <w:sz w:val="21"/>
                      <w:szCs w:val="21"/>
                      <w:highlight w:val="none"/>
                      <w:vertAlign w:val="baseline"/>
                      <w:lang w:val="en-US" w:eastAsia="zh-CN"/>
                    </w:rPr>
                    <w:t>kg/h</w:t>
                  </w:r>
                  <w:r>
                    <w:rPr>
                      <w:rFonts w:hint="eastAsia" w:cs="Times New Roman"/>
                      <w:b/>
                      <w:bCs/>
                      <w:color w:val="auto"/>
                      <w:sz w:val="21"/>
                      <w:szCs w:val="21"/>
                      <w:highlight w:val="none"/>
                      <w:vertAlign w:val="baseline"/>
                      <w:lang w:val="en-US" w:eastAsia="zh-CN"/>
                    </w:rPr>
                    <w:t>）</w:t>
                  </w:r>
                </w:p>
              </w:tc>
              <w:tc>
                <w:tcPr>
                  <w:tcW w:w="1133" w:type="dxa"/>
                  <w:vMerge w:val="continue"/>
                  <w:tcBorders>
                    <w:tl2br w:val="nil"/>
                    <w:tr2bl w:val="nil"/>
                  </w:tcBorders>
                  <w:shd w:val="clear" w:color="auto" w:fill="auto"/>
                  <w:vAlign w:val="center"/>
                </w:tcPr>
                <w:p w14:paraId="7F45F1E0">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p>
              </w:tc>
            </w:tr>
            <w:tr w14:paraId="7B60E6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restart"/>
                  <w:tcBorders>
                    <w:tl2br w:val="nil"/>
                    <w:tr2bl w:val="nil"/>
                  </w:tcBorders>
                  <w:vAlign w:val="center"/>
                </w:tcPr>
                <w:p w14:paraId="0EF8F144">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1294" w:type="dxa"/>
                  <w:tcBorders>
                    <w:tl2br w:val="nil"/>
                    <w:tr2bl w:val="nil"/>
                  </w:tcBorders>
                  <w:vAlign w:val="center"/>
                </w:tcPr>
                <w:p w14:paraId="06A05236">
                  <w:pPr>
                    <w:widowControl/>
                    <w:spacing w:line="240" w:lineRule="auto"/>
                    <w:jc w:val="center"/>
                    <w:rPr>
                      <w:rFonts w:hint="eastAsia" w:cs="Times New Roman"/>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rPr>
                    <w:t>非甲烷总烃</w:t>
                  </w:r>
                </w:p>
              </w:tc>
              <w:tc>
                <w:tcPr>
                  <w:tcW w:w="1253" w:type="dxa"/>
                  <w:tcBorders>
                    <w:tl2br w:val="nil"/>
                    <w:tr2bl w:val="nil"/>
                  </w:tcBorders>
                  <w:shd w:val="clear" w:color="auto" w:fill="auto"/>
                  <w:vAlign w:val="center"/>
                </w:tcPr>
                <w:p w14:paraId="6421B9BA">
                  <w:pPr>
                    <w:widowControl/>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2.76</w:t>
                  </w:r>
                </w:p>
              </w:tc>
              <w:tc>
                <w:tcPr>
                  <w:tcW w:w="1327" w:type="dxa"/>
                  <w:tcBorders>
                    <w:tl2br w:val="nil"/>
                    <w:tr2bl w:val="nil"/>
                  </w:tcBorders>
                  <w:shd w:val="clear" w:color="auto" w:fill="auto"/>
                  <w:vAlign w:val="center"/>
                </w:tcPr>
                <w:p w14:paraId="3ECA7157">
                  <w:pPr>
                    <w:widowControl/>
                    <w:spacing w:line="240" w:lineRule="auto"/>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4.93</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-3</w:t>
                  </w:r>
                </w:p>
              </w:tc>
              <w:tc>
                <w:tcPr>
                  <w:tcW w:w="1133" w:type="dxa"/>
                  <w:tcBorders>
                    <w:tl2br w:val="nil"/>
                    <w:tr2bl w:val="nil"/>
                  </w:tcBorders>
                  <w:shd w:val="clear" w:color="auto" w:fill="auto"/>
                  <w:vAlign w:val="center"/>
                </w:tcPr>
                <w:p w14:paraId="50D73F37">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w:t>
                  </w:r>
                </w:p>
              </w:tc>
              <w:tc>
                <w:tcPr>
                  <w:tcW w:w="1133" w:type="dxa"/>
                  <w:tcBorders>
                    <w:tl2br w:val="nil"/>
                    <w:tr2bl w:val="nil"/>
                  </w:tcBorders>
                  <w:shd w:val="clear" w:color="auto" w:fill="auto"/>
                  <w:vAlign w:val="center"/>
                </w:tcPr>
                <w:p w14:paraId="68CE7091">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3.0</w:t>
                  </w:r>
                </w:p>
              </w:tc>
              <w:tc>
                <w:tcPr>
                  <w:tcW w:w="1133" w:type="dxa"/>
                  <w:tcBorders>
                    <w:tl2br w:val="nil"/>
                    <w:tr2bl w:val="nil"/>
                  </w:tcBorders>
                  <w:vAlign w:val="center"/>
                </w:tcPr>
                <w:p w14:paraId="5B4C12D1">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134549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1BED8D7F">
                  <w:pPr>
                    <w:widowControl/>
                    <w:spacing w:line="240" w:lineRule="auto"/>
                    <w:jc w:val="center"/>
                    <w:rPr>
                      <w:rFonts w:hint="eastAsia" w:cs="Times New Roman"/>
                      <w:color w:val="auto"/>
                      <w:sz w:val="21"/>
                      <w:szCs w:val="21"/>
                      <w:highlight w:val="none"/>
                      <w:vertAlign w:val="baseline"/>
                      <w:lang w:val="en-US" w:eastAsia="zh-CN"/>
                    </w:rPr>
                  </w:pPr>
                </w:p>
              </w:tc>
              <w:tc>
                <w:tcPr>
                  <w:tcW w:w="1294" w:type="dxa"/>
                  <w:tcBorders>
                    <w:tl2br w:val="nil"/>
                    <w:tr2bl w:val="nil"/>
                  </w:tcBorders>
                  <w:vAlign w:val="center"/>
                </w:tcPr>
                <w:p w14:paraId="14AC49CE">
                  <w:pPr>
                    <w:widowControl/>
                    <w:spacing w:line="240" w:lineRule="auto"/>
                    <w:jc w:val="center"/>
                    <w:rPr>
                      <w:rFonts w:hint="eastAsia" w:cs="Times New Roman"/>
                      <w:color w:val="auto"/>
                      <w:sz w:val="21"/>
                      <w:szCs w:val="21"/>
                      <w:highlight w:val="none"/>
                      <w:vertAlign w:val="baseline"/>
                      <w:lang w:val="en-US" w:eastAsia="zh-CN"/>
                    </w:rPr>
                  </w:pPr>
                  <w:r>
                    <w:rPr>
                      <w:rFonts w:ascii="Times New Roman" w:hAnsi="Times New Roman" w:cs="Times New Roman"/>
                      <w:bCs/>
                      <w:color w:val="auto"/>
                      <w:sz w:val="21"/>
                      <w:szCs w:val="21"/>
                      <w:highlight w:val="none"/>
                    </w:rPr>
                    <w:t>甲醇</w:t>
                  </w:r>
                </w:p>
              </w:tc>
              <w:tc>
                <w:tcPr>
                  <w:tcW w:w="1253" w:type="dxa"/>
                  <w:tcBorders>
                    <w:tl2br w:val="nil"/>
                    <w:tr2bl w:val="nil"/>
                  </w:tcBorders>
                  <w:vAlign w:val="center"/>
                </w:tcPr>
                <w:p w14:paraId="2F7B5F36">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1327" w:type="dxa"/>
                  <w:tcBorders>
                    <w:tl2br w:val="nil"/>
                    <w:tr2bl w:val="nil"/>
                  </w:tcBorders>
                  <w:vAlign w:val="center"/>
                </w:tcPr>
                <w:p w14:paraId="38F0BA0F">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＜5.57</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-3</w:t>
                  </w:r>
                </w:p>
              </w:tc>
              <w:tc>
                <w:tcPr>
                  <w:tcW w:w="1133" w:type="dxa"/>
                  <w:tcBorders>
                    <w:tl2br w:val="nil"/>
                    <w:tr2bl w:val="nil"/>
                  </w:tcBorders>
                  <w:shd w:val="clear" w:color="auto" w:fill="auto"/>
                  <w:vAlign w:val="center"/>
                </w:tcPr>
                <w:p w14:paraId="66E7680F">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w:t>
                  </w:r>
                </w:p>
              </w:tc>
              <w:tc>
                <w:tcPr>
                  <w:tcW w:w="1133" w:type="dxa"/>
                  <w:tcBorders>
                    <w:tl2br w:val="nil"/>
                    <w:tr2bl w:val="nil"/>
                  </w:tcBorders>
                  <w:shd w:val="clear" w:color="auto" w:fill="auto"/>
                  <w:vAlign w:val="center"/>
                </w:tcPr>
                <w:p w14:paraId="2FA6F2F0">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w:t>
                  </w:r>
                </w:p>
              </w:tc>
              <w:tc>
                <w:tcPr>
                  <w:tcW w:w="1133" w:type="dxa"/>
                  <w:tcBorders>
                    <w:tl2br w:val="nil"/>
                    <w:tr2bl w:val="nil"/>
                  </w:tcBorders>
                  <w:vAlign w:val="center"/>
                </w:tcPr>
                <w:p w14:paraId="1C7BBA9C">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3EED94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656311D8">
                  <w:pPr>
                    <w:widowControl/>
                    <w:spacing w:line="240" w:lineRule="auto"/>
                    <w:jc w:val="center"/>
                    <w:rPr>
                      <w:rFonts w:hint="eastAsia" w:cs="Times New Roman"/>
                      <w:color w:val="auto"/>
                      <w:sz w:val="21"/>
                      <w:szCs w:val="21"/>
                      <w:highlight w:val="none"/>
                      <w:vertAlign w:val="baseline"/>
                      <w:lang w:val="en-US" w:eastAsia="zh-CN"/>
                    </w:rPr>
                  </w:pPr>
                </w:p>
              </w:tc>
              <w:tc>
                <w:tcPr>
                  <w:tcW w:w="1294" w:type="dxa"/>
                  <w:tcBorders>
                    <w:tl2br w:val="nil"/>
                    <w:tr2bl w:val="nil"/>
                  </w:tcBorders>
                  <w:vAlign w:val="center"/>
                </w:tcPr>
                <w:p w14:paraId="78732173">
                  <w:pPr>
                    <w:widowControl/>
                    <w:spacing w:line="240" w:lineRule="auto"/>
                    <w:jc w:val="center"/>
                    <w:rPr>
                      <w:rFonts w:hint="eastAsia" w:cs="Times New Roman"/>
                      <w:color w:val="auto"/>
                      <w:sz w:val="21"/>
                      <w:szCs w:val="21"/>
                      <w:highlight w:val="none"/>
                      <w:vertAlign w:val="baseline"/>
                      <w:lang w:val="en-US" w:eastAsia="zh-CN"/>
                    </w:rPr>
                  </w:pPr>
                  <w:r>
                    <w:rPr>
                      <w:rFonts w:hint="eastAsia" w:ascii="Times New Roman" w:hAnsi="Times New Roman" w:cs="Times New Roman"/>
                      <w:bCs/>
                      <w:color w:val="auto"/>
                      <w:sz w:val="21"/>
                      <w:szCs w:val="21"/>
                      <w:highlight w:val="none"/>
                    </w:rPr>
                    <w:t>氯化氢</w:t>
                  </w:r>
                </w:p>
              </w:tc>
              <w:tc>
                <w:tcPr>
                  <w:tcW w:w="1253" w:type="dxa"/>
                  <w:tcBorders>
                    <w:tl2br w:val="nil"/>
                    <w:tr2bl w:val="nil"/>
                  </w:tcBorders>
                  <w:vAlign w:val="center"/>
                </w:tcPr>
                <w:p w14:paraId="0547BFE5">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w:t>
                  </w:r>
                </w:p>
              </w:tc>
              <w:tc>
                <w:tcPr>
                  <w:tcW w:w="1327" w:type="dxa"/>
                  <w:tcBorders>
                    <w:tl2br w:val="nil"/>
                    <w:tr2bl w:val="nil"/>
                  </w:tcBorders>
                  <w:vAlign w:val="center"/>
                </w:tcPr>
                <w:p w14:paraId="4070158F">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＜3.57</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-4</w:t>
                  </w:r>
                </w:p>
              </w:tc>
              <w:tc>
                <w:tcPr>
                  <w:tcW w:w="1133" w:type="dxa"/>
                  <w:tcBorders>
                    <w:tl2br w:val="nil"/>
                    <w:tr2bl w:val="nil"/>
                  </w:tcBorders>
                  <w:shd w:val="clear" w:color="auto" w:fill="auto"/>
                  <w:vAlign w:val="center"/>
                </w:tcPr>
                <w:p w14:paraId="4DD0B554">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w:t>
                  </w:r>
                </w:p>
              </w:tc>
              <w:tc>
                <w:tcPr>
                  <w:tcW w:w="1133" w:type="dxa"/>
                  <w:tcBorders>
                    <w:tl2br w:val="nil"/>
                    <w:tr2bl w:val="nil"/>
                  </w:tcBorders>
                  <w:shd w:val="clear" w:color="auto" w:fill="auto"/>
                  <w:vAlign w:val="center"/>
                </w:tcPr>
                <w:p w14:paraId="65E0B072">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0.03</w:t>
                  </w:r>
                </w:p>
              </w:tc>
              <w:tc>
                <w:tcPr>
                  <w:tcW w:w="1133" w:type="dxa"/>
                  <w:tcBorders>
                    <w:tl2br w:val="nil"/>
                    <w:tr2bl w:val="nil"/>
                  </w:tcBorders>
                  <w:vAlign w:val="center"/>
                </w:tcPr>
                <w:p w14:paraId="4A8FE71A">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2219DE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0B088F74">
                  <w:pPr>
                    <w:widowControl/>
                    <w:spacing w:line="240" w:lineRule="auto"/>
                    <w:jc w:val="center"/>
                    <w:rPr>
                      <w:rFonts w:hint="eastAsia" w:cs="Times New Roman"/>
                      <w:color w:val="auto"/>
                      <w:sz w:val="21"/>
                      <w:szCs w:val="21"/>
                      <w:highlight w:val="none"/>
                      <w:vertAlign w:val="baseline"/>
                      <w:lang w:val="en-US" w:eastAsia="zh-CN"/>
                    </w:rPr>
                  </w:pPr>
                </w:p>
              </w:tc>
              <w:tc>
                <w:tcPr>
                  <w:tcW w:w="1294" w:type="dxa"/>
                  <w:tcBorders>
                    <w:tl2br w:val="nil"/>
                    <w:tr2bl w:val="nil"/>
                  </w:tcBorders>
                  <w:vAlign w:val="center"/>
                </w:tcPr>
                <w:p w14:paraId="150ED234">
                  <w:pPr>
                    <w:widowControl/>
                    <w:spacing w:line="240" w:lineRule="auto"/>
                    <w:jc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rPr>
                    <w:t>硫酸雾</w:t>
                  </w:r>
                </w:p>
              </w:tc>
              <w:tc>
                <w:tcPr>
                  <w:tcW w:w="1253" w:type="dxa"/>
                  <w:tcBorders>
                    <w:tl2br w:val="nil"/>
                    <w:tr2bl w:val="nil"/>
                  </w:tcBorders>
                  <w:vAlign w:val="center"/>
                </w:tcPr>
                <w:p w14:paraId="47E54A39">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＜0.2</w:t>
                  </w:r>
                </w:p>
              </w:tc>
              <w:tc>
                <w:tcPr>
                  <w:tcW w:w="1327" w:type="dxa"/>
                  <w:tcBorders>
                    <w:tl2br w:val="nil"/>
                    <w:tr2bl w:val="nil"/>
                  </w:tcBorders>
                  <w:vAlign w:val="center"/>
                </w:tcPr>
                <w:p w14:paraId="3919BB58">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＜3.57</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-4</w:t>
                  </w:r>
                </w:p>
              </w:tc>
              <w:tc>
                <w:tcPr>
                  <w:tcW w:w="1133" w:type="dxa"/>
                  <w:tcBorders>
                    <w:tl2br w:val="nil"/>
                    <w:tr2bl w:val="nil"/>
                  </w:tcBorders>
                  <w:shd w:val="clear" w:color="auto" w:fill="auto"/>
                  <w:vAlign w:val="center"/>
                </w:tcPr>
                <w:p w14:paraId="338B1143">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w:t>
                  </w:r>
                </w:p>
              </w:tc>
              <w:tc>
                <w:tcPr>
                  <w:tcW w:w="1133" w:type="dxa"/>
                  <w:tcBorders>
                    <w:tl2br w:val="nil"/>
                    <w:tr2bl w:val="nil"/>
                  </w:tcBorders>
                  <w:shd w:val="clear" w:color="auto" w:fill="auto"/>
                  <w:vAlign w:val="center"/>
                </w:tcPr>
                <w:p w14:paraId="3E544839">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0.9</w:t>
                  </w:r>
                </w:p>
              </w:tc>
              <w:tc>
                <w:tcPr>
                  <w:tcW w:w="1133" w:type="dxa"/>
                  <w:tcBorders>
                    <w:tl2br w:val="nil"/>
                    <w:tr2bl w:val="nil"/>
                  </w:tcBorders>
                  <w:vAlign w:val="center"/>
                </w:tcPr>
                <w:p w14:paraId="3AB419E9">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4C38B7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44DF1C80">
                  <w:pPr>
                    <w:widowControl/>
                    <w:spacing w:line="240" w:lineRule="auto"/>
                    <w:jc w:val="center"/>
                    <w:rPr>
                      <w:rFonts w:hint="eastAsia" w:cs="Times New Roman"/>
                      <w:color w:val="auto"/>
                      <w:sz w:val="21"/>
                      <w:szCs w:val="21"/>
                      <w:highlight w:val="none"/>
                      <w:vertAlign w:val="baseline"/>
                      <w:lang w:val="en-US" w:eastAsia="zh-CN"/>
                    </w:rPr>
                  </w:pPr>
                </w:p>
              </w:tc>
              <w:tc>
                <w:tcPr>
                  <w:tcW w:w="1294" w:type="dxa"/>
                  <w:tcBorders>
                    <w:tl2br w:val="nil"/>
                    <w:tr2bl w:val="nil"/>
                  </w:tcBorders>
                  <w:vAlign w:val="center"/>
                </w:tcPr>
                <w:p w14:paraId="3CDCFA86">
                  <w:pPr>
                    <w:widowControl/>
                    <w:spacing w:line="240" w:lineRule="auto"/>
                    <w:jc w:val="center"/>
                    <w:rPr>
                      <w:rFonts w:hint="eastAsia" w:ascii="Times New Roman" w:hAnsi="Times New Roman" w:cs="Times New Roman"/>
                      <w:bCs/>
                      <w:color w:val="auto"/>
                      <w:sz w:val="21"/>
                      <w:szCs w:val="21"/>
                      <w:highlight w:val="none"/>
                    </w:rPr>
                  </w:pPr>
                  <w:r>
                    <w:rPr>
                      <w:rFonts w:hint="eastAsia" w:ascii="Times New Roman" w:hAnsi="Times New Roman" w:cs="Times New Roman"/>
                      <w:bCs/>
                      <w:color w:val="auto"/>
                      <w:sz w:val="21"/>
                      <w:szCs w:val="21"/>
                      <w:highlight w:val="none"/>
                      <w:lang w:eastAsia="zh-CN"/>
                    </w:rPr>
                    <w:t>氮氧化物</w:t>
                  </w:r>
                </w:p>
              </w:tc>
              <w:tc>
                <w:tcPr>
                  <w:tcW w:w="1253" w:type="dxa"/>
                  <w:tcBorders>
                    <w:tl2br w:val="nil"/>
                    <w:tr2bl w:val="nil"/>
                  </w:tcBorders>
                  <w:vAlign w:val="center"/>
                </w:tcPr>
                <w:p w14:paraId="71D9B9DF">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1327" w:type="dxa"/>
                  <w:tcBorders>
                    <w:tl2br w:val="nil"/>
                    <w:tr2bl w:val="nil"/>
                  </w:tcBorders>
                  <w:vAlign w:val="center"/>
                </w:tcPr>
                <w:p w14:paraId="18A40C33">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＜5.36</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-3</w:t>
                  </w:r>
                </w:p>
              </w:tc>
              <w:tc>
                <w:tcPr>
                  <w:tcW w:w="1133" w:type="dxa"/>
                  <w:tcBorders>
                    <w:tl2br w:val="nil"/>
                    <w:tr2bl w:val="nil"/>
                  </w:tcBorders>
                  <w:shd w:val="clear" w:color="auto" w:fill="auto"/>
                  <w:vAlign w:val="center"/>
                </w:tcPr>
                <w:p w14:paraId="7A71B06F">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100</w:t>
                  </w:r>
                </w:p>
              </w:tc>
              <w:tc>
                <w:tcPr>
                  <w:tcW w:w="1133" w:type="dxa"/>
                  <w:tcBorders>
                    <w:tl2br w:val="nil"/>
                    <w:tr2bl w:val="nil"/>
                  </w:tcBorders>
                  <w:shd w:val="clear" w:color="auto" w:fill="auto"/>
                  <w:vAlign w:val="center"/>
                </w:tcPr>
                <w:p w14:paraId="556DE281">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0.36</w:t>
                  </w:r>
                </w:p>
              </w:tc>
              <w:tc>
                <w:tcPr>
                  <w:tcW w:w="1133" w:type="dxa"/>
                  <w:tcBorders>
                    <w:tl2br w:val="nil"/>
                    <w:tr2bl w:val="nil"/>
                  </w:tcBorders>
                  <w:vAlign w:val="center"/>
                </w:tcPr>
                <w:p w14:paraId="5BE69ADA">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33058B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restart"/>
                  <w:tcBorders>
                    <w:tl2br w:val="nil"/>
                    <w:tr2bl w:val="nil"/>
                  </w:tcBorders>
                  <w:vAlign w:val="center"/>
                </w:tcPr>
                <w:p w14:paraId="171D97D2">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1294" w:type="dxa"/>
                  <w:tcBorders>
                    <w:tl2br w:val="nil"/>
                    <w:tr2bl w:val="nil"/>
                  </w:tcBorders>
                  <w:shd w:val="clear" w:color="auto" w:fill="auto"/>
                  <w:vAlign w:val="center"/>
                </w:tcPr>
                <w:p w14:paraId="69313D7E">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bCs/>
                      <w:color w:val="auto"/>
                      <w:sz w:val="21"/>
                      <w:szCs w:val="21"/>
                      <w:highlight w:val="none"/>
                    </w:rPr>
                    <w:t>非甲烷总烃</w:t>
                  </w:r>
                </w:p>
              </w:tc>
              <w:tc>
                <w:tcPr>
                  <w:tcW w:w="1253" w:type="dxa"/>
                  <w:tcBorders>
                    <w:tl2br w:val="nil"/>
                    <w:tr2bl w:val="nil"/>
                  </w:tcBorders>
                  <w:vAlign w:val="center"/>
                </w:tcPr>
                <w:p w14:paraId="3D435B8A">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2.88</w:t>
                  </w:r>
                </w:p>
              </w:tc>
              <w:tc>
                <w:tcPr>
                  <w:tcW w:w="1327" w:type="dxa"/>
                  <w:tcBorders>
                    <w:tl2br w:val="nil"/>
                    <w:tr2bl w:val="nil"/>
                  </w:tcBorders>
                  <w:vAlign w:val="center"/>
                </w:tcPr>
                <w:p w14:paraId="329C4DF8">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5.02</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-3</w:t>
                  </w:r>
                </w:p>
              </w:tc>
              <w:tc>
                <w:tcPr>
                  <w:tcW w:w="1133" w:type="dxa"/>
                  <w:tcBorders>
                    <w:tl2br w:val="nil"/>
                    <w:tr2bl w:val="nil"/>
                  </w:tcBorders>
                  <w:shd w:val="clear" w:color="auto" w:fill="auto"/>
                  <w:vAlign w:val="center"/>
                </w:tcPr>
                <w:p w14:paraId="471D86D5">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50</w:t>
                  </w:r>
                </w:p>
              </w:tc>
              <w:tc>
                <w:tcPr>
                  <w:tcW w:w="1133" w:type="dxa"/>
                  <w:tcBorders>
                    <w:tl2br w:val="nil"/>
                    <w:tr2bl w:val="nil"/>
                  </w:tcBorders>
                  <w:shd w:val="clear" w:color="auto" w:fill="auto"/>
                  <w:vAlign w:val="center"/>
                </w:tcPr>
                <w:p w14:paraId="6B884E97">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3.0</w:t>
                  </w:r>
                </w:p>
              </w:tc>
              <w:tc>
                <w:tcPr>
                  <w:tcW w:w="1133" w:type="dxa"/>
                  <w:tcBorders>
                    <w:tl2br w:val="nil"/>
                    <w:tr2bl w:val="nil"/>
                  </w:tcBorders>
                  <w:shd w:val="clear" w:color="auto" w:fill="auto"/>
                  <w:vAlign w:val="center"/>
                </w:tcPr>
                <w:p w14:paraId="5A1C8A85">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达标</w:t>
                  </w:r>
                </w:p>
              </w:tc>
            </w:tr>
            <w:tr w14:paraId="4AE1A9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28689D37">
                  <w:pPr>
                    <w:widowControl/>
                    <w:spacing w:line="240" w:lineRule="auto"/>
                    <w:jc w:val="center"/>
                    <w:rPr>
                      <w:rFonts w:hint="eastAsia" w:cs="Times New Roman"/>
                      <w:color w:val="auto"/>
                      <w:sz w:val="21"/>
                      <w:szCs w:val="21"/>
                      <w:highlight w:val="none"/>
                      <w:vertAlign w:val="baseline"/>
                      <w:lang w:val="en-US" w:eastAsia="zh-CN"/>
                    </w:rPr>
                  </w:pPr>
                </w:p>
              </w:tc>
              <w:tc>
                <w:tcPr>
                  <w:tcW w:w="1294" w:type="dxa"/>
                  <w:tcBorders>
                    <w:tl2br w:val="nil"/>
                    <w:tr2bl w:val="nil"/>
                  </w:tcBorders>
                  <w:shd w:val="clear" w:color="auto" w:fill="auto"/>
                  <w:vAlign w:val="center"/>
                </w:tcPr>
                <w:p w14:paraId="4E7068C4">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ascii="Times New Roman" w:hAnsi="Times New Roman" w:cs="Times New Roman"/>
                      <w:bCs/>
                      <w:color w:val="auto"/>
                      <w:sz w:val="21"/>
                      <w:szCs w:val="21"/>
                      <w:highlight w:val="none"/>
                    </w:rPr>
                    <w:t>甲醇</w:t>
                  </w:r>
                </w:p>
              </w:tc>
              <w:tc>
                <w:tcPr>
                  <w:tcW w:w="1253" w:type="dxa"/>
                  <w:tcBorders>
                    <w:tl2br w:val="nil"/>
                    <w:tr2bl w:val="nil"/>
                  </w:tcBorders>
                  <w:shd w:val="clear" w:color="auto" w:fill="auto"/>
                  <w:vAlign w:val="center"/>
                </w:tcPr>
                <w:p w14:paraId="1919699A">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w:t>
                  </w:r>
                </w:p>
              </w:tc>
              <w:tc>
                <w:tcPr>
                  <w:tcW w:w="1327" w:type="dxa"/>
                  <w:tcBorders>
                    <w:tl2br w:val="nil"/>
                    <w:tr2bl w:val="nil"/>
                  </w:tcBorders>
                  <w:shd w:val="clear" w:color="auto" w:fill="auto"/>
                  <w:vAlign w:val="center"/>
                </w:tcPr>
                <w:p w14:paraId="0B68EE4F">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＜3.49</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-3</w:t>
                  </w:r>
                </w:p>
              </w:tc>
              <w:tc>
                <w:tcPr>
                  <w:tcW w:w="1133" w:type="dxa"/>
                  <w:tcBorders>
                    <w:tl2br w:val="nil"/>
                    <w:tr2bl w:val="nil"/>
                  </w:tcBorders>
                  <w:shd w:val="clear" w:color="auto" w:fill="auto"/>
                  <w:vAlign w:val="center"/>
                </w:tcPr>
                <w:p w14:paraId="55753C59">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50</w:t>
                  </w:r>
                </w:p>
              </w:tc>
              <w:tc>
                <w:tcPr>
                  <w:tcW w:w="1133" w:type="dxa"/>
                  <w:tcBorders>
                    <w:tl2br w:val="nil"/>
                    <w:tr2bl w:val="nil"/>
                  </w:tcBorders>
                  <w:shd w:val="clear" w:color="auto" w:fill="auto"/>
                  <w:vAlign w:val="center"/>
                </w:tcPr>
                <w:p w14:paraId="40844822">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1.5</w:t>
                  </w:r>
                </w:p>
              </w:tc>
              <w:tc>
                <w:tcPr>
                  <w:tcW w:w="1133" w:type="dxa"/>
                  <w:tcBorders>
                    <w:tl2br w:val="nil"/>
                    <w:tr2bl w:val="nil"/>
                  </w:tcBorders>
                  <w:shd w:val="clear" w:color="auto" w:fill="auto"/>
                  <w:vAlign w:val="center"/>
                </w:tcPr>
                <w:p w14:paraId="436CEA0B">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达标</w:t>
                  </w:r>
                </w:p>
              </w:tc>
            </w:tr>
            <w:tr w14:paraId="451BC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1A5737A9">
                  <w:pPr>
                    <w:widowControl/>
                    <w:spacing w:line="240" w:lineRule="auto"/>
                    <w:jc w:val="center"/>
                    <w:rPr>
                      <w:rFonts w:hint="eastAsia" w:cs="Times New Roman"/>
                      <w:color w:val="auto"/>
                      <w:sz w:val="21"/>
                      <w:szCs w:val="21"/>
                      <w:highlight w:val="none"/>
                      <w:vertAlign w:val="baseline"/>
                      <w:lang w:val="en-US" w:eastAsia="zh-CN"/>
                    </w:rPr>
                  </w:pPr>
                </w:p>
              </w:tc>
              <w:tc>
                <w:tcPr>
                  <w:tcW w:w="1294" w:type="dxa"/>
                  <w:tcBorders>
                    <w:tl2br w:val="nil"/>
                    <w:tr2bl w:val="nil"/>
                  </w:tcBorders>
                  <w:shd w:val="clear" w:color="auto" w:fill="auto"/>
                  <w:vAlign w:val="center"/>
                </w:tcPr>
                <w:p w14:paraId="7775FB07">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bCs/>
                      <w:color w:val="auto"/>
                      <w:sz w:val="21"/>
                      <w:szCs w:val="21"/>
                      <w:highlight w:val="none"/>
                    </w:rPr>
                    <w:t>氯化氢</w:t>
                  </w:r>
                </w:p>
              </w:tc>
              <w:tc>
                <w:tcPr>
                  <w:tcW w:w="1253" w:type="dxa"/>
                  <w:tcBorders>
                    <w:tl2br w:val="nil"/>
                    <w:tr2bl w:val="nil"/>
                  </w:tcBorders>
                  <w:shd w:val="clear" w:color="auto" w:fill="auto"/>
                  <w:vAlign w:val="center"/>
                </w:tcPr>
                <w:p w14:paraId="5CAD211B">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＜0.2</w:t>
                  </w:r>
                </w:p>
              </w:tc>
              <w:tc>
                <w:tcPr>
                  <w:tcW w:w="1327" w:type="dxa"/>
                  <w:tcBorders>
                    <w:tl2br w:val="nil"/>
                    <w:tr2bl w:val="nil"/>
                  </w:tcBorders>
                  <w:shd w:val="clear" w:color="auto" w:fill="auto"/>
                  <w:vAlign w:val="center"/>
                </w:tcPr>
                <w:p w14:paraId="501CB6CA">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＜3.49</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-4</w:t>
                  </w:r>
                </w:p>
              </w:tc>
              <w:tc>
                <w:tcPr>
                  <w:tcW w:w="1133" w:type="dxa"/>
                  <w:tcBorders>
                    <w:tl2br w:val="nil"/>
                    <w:tr2bl w:val="nil"/>
                  </w:tcBorders>
                  <w:shd w:val="clear" w:color="auto" w:fill="auto"/>
                  <w:vAlign w:val="center"/>
                </w:tcPr>
                <w:p w14:paraId="1AEA005E">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10</w:t>
                  </w:r>
                </w:p>
              </w:tc>
              <w:tc>
                <w:tcPr>
                  <w:tcW w:w="1133" w:type="dxa"/>
                  <w:tcBorders>
                    <w:tl2br w:val="nil"/>
                    <w:tr2bl w:val="nil"/>
                  </w:tcBorders>
                  <w:shd w:val="clear" w:color="auto" w:fill="auto"/>
                  <w:vAlign w:val="center"/>
                </w:tcPr>
                <w:p w14:paraId="62E2A6E3">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0.03</w:t>
                  </w:r>
                </w:p>
              </w:tc>
              <w:tc>
                <w:tcPr>
                  <w:tcW w:w="1133" w:type="dxa"/>
                  <w:tcBorders>
                    <w:tl2br w:val="nil"/>
                    <w:tr2bl w:val="nil"/>
                  </w:tcBorders>
                  <w:shd w:val="clear" w:color="auto" w:fill="auto"/>
                  <w:vAlign w:val="center"/>
                </w:tcPr>
                <w:p w14:paraId="069BD5A5">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达标</w:t>
                  </w:r>
                </w:p>
              </w:tc>
            </w:tr>
            <w:tr w14:paraId="571120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6DF8AA75">
                  <w:pPr>
                    <w:widowControl/>
                    <w:spacing w:line="240" w:lineRule="auto"/>
                    <w:jc w:val="center"/>
                    <w:rPr>
                      <w:rFonts w:hint="eastAsia" w:cs="Times New Roman"/>
                      <w:color w:val="auto"/>
                      <w:sz w:val="21"/>
                      <w:szCs w:val="21"/>
                      <w:highlight w:val="none"/>
                      <w:vertAlign w:val="baseline"/>
                      <w:lang w:val="en-US" w:eastAsia="zh-CN"/>
                    </w:rPr>
                  </w:pPr>
                </w:p>
              </w:tc>
              <w:tc>
                <w:tcPr>
                  <w:tcW w:w="1294" w:type="dxa"/>
                  <w:tcBorders>
                    <w:tl2br w:val="nil"/>
                    <w:tr2bl w:val="nil"/>
                  </w:tcBorders>
                  <w:shd w:val="clear" w:color="auto" w:fill="auto"/>
                  <w:vAlign w:val="center"/>
                </w:tcPr>
                <w:p w14:paraId="31C43964">
                  <w:pPr>
                    <w:widowControl/>
                    <w:spacing w:line="240" w:lineRule="auto"/>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rPr>
                    <w:t>硫酸雾</w:t>
                  </w:r>
                </w:p>
              </w:tc>
              <w:tc>
                <w:tcPr>
                  <w:tcW w:w="1253" w:type="dxa"/>
                  <w:tcBorders>
                    <w:tl2br w:val="nil"/>
                    <w:tr2bl w:val="nil"/>
                  </w:tcBorders>
                  <w:shd w:val="clear" w:color="auto" w:fill="auto"/>
                  <w:vAlign w:val="center"/>
                </w:tcPr>
                <w:p w14:paraId="01E6FEA1">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＜0.2</w:t>
                  </w:r>
                </w:p>
              </w:tc>
              <w:tc>
                <w:tcPr>
                  <w:tcW w:w="1327" w:type="dxa"/>
                  <w:tcBorders>
                    <w:tl2br w:val="nil"/>
                    <w:tr2bl w:val="nil"/>
                  </w:tcBorders>
                  <w:shd w:val="clear" w:color="auto" w:fill="auto"/>
                  <w:vAlign w:val="center"/>
                </w:tcPr>
                <w:p w14:paraId="5F8F91C1">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＜3.49</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-4</w:t>
                  </w:r>
                </w:p>
              </w:tc>
              <w:tc>
                <w:tcPr>
                  <w:tcW w:w="1133" w:type="dxa"/>
                  <w:tcBorders>
                    <w:tl2br w:val="nil"/>
                    <w:tr2bl w:val="nil"/>
                  </w:tcBorders>
                  <w:shd w:val="clear" w:color="auto" w:fill="auto"/>
                  <w:vAlign w:val="center"/>
                </w:tcPr>
                <w:p w14:paraId="068CD8FD">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5.0</w:t>
                  </w:r>
                </w:p>
              </w:tc>
              <w:tc>
                <w:tcPr>
                  <w:tcW w:w="1133" w:type="dxa"/>
                  <w:tcBorders>
                    <w:tl2br w:val="nil"/>
                    <w:tr2bl w:val="nil"/>
                  </w:tcBorders>
                  <w:shd w:val="clear" w:color="auto" w:fill="auto"/>
                  <w:vAlign w:val="center"/>
                </w:tcPr>
                <w:p w14:paraId="52E5192D">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0.9</w:t>
                  </w:r>
                </w:p>
              </w:tc>
              <w:tc>
                <w:tcPr>
                  <w:tcW w:w="1133" w:type="dxa"/>
                  <w:tcBorders>
                    <w:tl2br w:val="nil"/>
                    <w:tr2bl w:val="nil"/>
                  </w:tcBorders>
                  <w:shd w:val="clear" w:color="auto" w:fill="auto"/>
                  <w:vAlign w:val="center"/>
                </w:tcPr>
                <w:p w14:paraId="06D1C07A">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达标</w:t>
                  </w:r>
                </w:p>
              </w:tc>
            </w:tr>
            <w:tr w14:paraId="7ECDB5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1BA61DC7">
                  <w:pPr>
                    <w:widowControl/>
                    <w:spacing w:line="240" w:lineRule="auto"/>
                    <w:jc w:val="center"/>
                    <w:rPr>
                      <w:rFonts w:hint="eastAsia" w:cs="Times New Roman"/>
                      <w:color w:val="auto"/>
                      <w:sz w:val="21"/>
                      <w:szCs w:val="21"/>
                      <w:highlight w:val="none"/>
                      <w:vertAlign w:val="baseline"/>
                      <w:lang w:val="en-US" w:eastAsia="zh-CN"/>
                    </w:rPr>
                  </w:pPr>
                </w:p>
              </w:tc>
              <w:tc>
                <w:tcPr>
                  <w:tcW w:w="1294" w:type="dxa"/>
                  <w:tcBorders>
                    <w:tl2br w:val="nil"/>
                    <w:tr2bl w:val="nil"/>
                  </w:tcBorders>
                  <w:shd w:val="clear" w:color="auto" w:fill="auto"/>
                  <w:vAlign w:val="center"/>
                </w:tcPr>
                <w:p w14:paraId="4E10FBF6">
                  <w:pPr>
                    <w:widowControl/>
                    <w:spacing w:line="240" w:lineRule="auto"/>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eastAsia="zh-CN"/>
                    </w:rPr>
                    <w:t>氮氧化物</w:t>
                  </w:r>
                </w:p>
              </w:tc>
              <w:tc>
                <w:tcPr>
                  <w:tcW w:w="1253" w:type="dxa"/>
                  <w:tcBorders>
                    <w:tl2br w:val="nil"/>
                    <w:tr2bl w:val="nil"/>
                  </w:tcBorders>
                  <w:shd w:val="clear" w:color="auto" w:fill="auto"/>
                  <w:vAlign w:val="center"/>
                </w:tcPr>
                <w:p w14:paraId="49E32559">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＜3</w:t>
                  </w:r>
                </w:p>
              </w:tc>
              <w:tc>
                <w:tcPr>
                  <w:tcW w:w="1327" w:type="dxa"/>
                  <w:tcBorders>
                    <w:tl2br w:val="nil"/>
                    <w:tr2bl w:val="nil"/>
                  </w:tcBorders>
                  <w:shd w:val="clear" w:color="auto" w:fill="auto"/>
                  <w:vAlign w:val="center"/>
                </w:tcPr>
                <w:p w14:paraId="168AE04F">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＜5.23</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-3</w:t>
                  </w:r>
                </w:p>
              </w:tc>
              <w:tc>
                <w:tcPr>
                  <w:tcW w:w="1133" w:type="dxa"/>
                  <w:tcBorders>
                    <w:tl2br w:val="nil"/>
                    <w:tr2bl w:val="nil"/>
                  </w:tcBorders>
                  <w:shd w:val="clear" w:color="auto" w:fill="auto"/>
                  <w:vAlign w:val="center"/>
                </w:tcPr>
                <w:p w14:paraId="767D94F2">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100</w:t>
                  </w:r>
                </w:p>
              </w:tc>
              <w:tc>
                <w:tcPr>
                  <w:tcW w:w="1133" w:type="dxa"/>
                  <w:tcBorders>
                    <w:tl2br w:val="nil"/>
                    <w:tr2bl w:val="nil"/>
                  </w:tcBorders>
                  <w:shd w:val="clear" w:color="auto" w:fill="auto"/>
                  <w:vAlign w:val="center"/>
                </w:tcPr>
                <w:p w14:paraId="3EC1E66C">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0.36</w:t>
                  </w:r>
                </w:p>
              </w:tc>
              <w:tc>
                <w:tcPr>
                  <w:tcW w:w="1133" w:type="dxa"/>
                  <w:tcBorders>
                    <w:tl2br w:val="nil"/>
                    <w:tr2bl w:val="nil"/>
                  </w:tcBorders>
                  <w:shd w:val="clear" w:color="auto" w:fill="auto"/>
                  <w:vAlign w:val="center"/>
                </w:tcPr>
                <w:p w14:paraId="29E9E6E4">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达标</w:t>
                  </w:r>
                </w:p>
              </w:tc>
            </w:tr>
            <w:tr w14:paraId="4BAD58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restart"/>
                  <w:tcBorders>
                    <w:tl2br w:val="nil"/>
                    <w:tr2bl w:val="nil"/>
                  </w:tcBorders>
                  <w:vAlign w:val="center"/>
                </w:tcPr>
                <w:p w14:paraId="1F0602EA">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1294" w:type="dxa"/>
                  <w:tcBorders>
                    <w:tl2br w:val="nil"/>
                    <w:tr2bl w:val="nil"/>
                  </w:tcBorders>
                  <w:shd w:val="clear" w:color="auto" w:fill="auto"/>
                  <w:vAlign w:val="center"/>
                </w:tcPr>
                <w:p w14:paraId="39C4A61B">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bCs/>
                      <w:color w:val="auto"/>
                      <w:sz w:val="21"/>
                      <w:szCs w:val="21"/>
                      <w:highlight w:val="none"/>
                    </w:rPr>
                    <w:t>非甲烷总烃</w:t>
                  </w:r>
                </w:p>
              </w:tc>
              <w:tc>
                <w:tcPr>
                  <w:tcW w:w="1253" w:type="dxa"/>
                  <w:tcBorders>
                    <w:tl2br w:val="nil"/>
                    <w:tr2bl w:val="nil"/>
                  </w:tcBorders>
                  <w:vAlign w:val="center"/>
                </w:tcPr>
                <w:p w14:paraId="6D801100">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3.34</w:t>
                  </w:r>
                </w:p>
              </w:tc>
              <w:tc>
                <w:tcPr>
                  <w:tcW w:w="1327" w:type="dxa"/>
                  <w:tcBorders>
                    <w:tl2br w:val="nil"/>
                    <w:tr2bl w:val="nil"/>
                  </w:tcBorders>
                  <w:vAlign w:val="center"/>
                </w:tcPr>
                <w:p w14:paraId="773B7FFF">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6.97</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-3</w:t>
                  </w:r>
                </w:p>
              </w:tc>
              <w:tc>
                <w:tcPr>
                  <w:tcW w:w="1133" w:type="dxa"/>
                  <w:tcBorders>
                    <w:tl2br w:val="nil"/>
                    <w:tr2bl w:val="nil"/>
                  </w:tcBorders>
                  <w:shd w:val="clear" w:color="auto" w:fill="auto"/>
                  <w:vAlign w:val="center"/>
                </w:tcPr>
                <w:p w14:paraId="4F5A45DB">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50</w:t>
                  </w:r>
                </w:p>
              </w:tc>
              <w:tc>
                <w:tcPr>
                  <w:tcW w:w="1133" w:type="dxa"/>
                  <w:tcBorders>
                    <w:tl2br w:val="nil"/>
                    <w:tr2bl w:val="nil"/>
                  </w:tcBorders>
                  <w:shd w:val="clear" w:color="auto" w:fill="auto"/>
                  <w:vAlign w:val="center"/>
                </w:tcPr>
                <w:p w14:paraId="20E443C5">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3.0</w:t>
                  </w:r>
                </w:p>
              </w:tc>
              <w:tc>
                <w:tcPr>
                  <w:tcW w:w="1133" w:type="dxa"/>
                  <w:tcBorders>
                    <w:tl2br w:val="nil"/>
                    <w:tr2bl w:val="nil"/>
                  </w:tcBorders>
                  <w:shd w:val="clear" w:color="auto" w:fill="auto"/>
                  <w:vAlign w:val="center"/>
                </w:tcPr>
                <w:p w14:paraId="42B41CFD">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达标</w:t>
                  </w:r>
                </w:p>
              </w:tc>
            </w:tr>
            <w:tr w14:paraId="6A4E4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4F7EA527">
                  <w:pPr>
                    <w:widowControl/>
                    <w:spacing w:line="240" w:lineRule="auto"/>
                    <w:jc w:val="center"/>
                    <w:rPr>
                      <w:rFonts w:hint="eastAsia" w:cs="Times New Roman"/>
                      <w:color w:val="auto"/>
                      <w:sz w:val="21"/>
                      <w:szCs w:val="21"/>
                      <w:highlight w:val="none"/>
                      <w:vertAlign w:val="baseline"/>
                      <w:lang w:val="en-US" w:eastAsia="zh-CN"/>
                    </w:rPr>
                  </w:pPr>
                </w:p>
              </w:tc>
              <w:tc>
                <w:tcPr>
                  <w:tcW w:w="1294" w:type="dxa"/>
                  <w:tcBorders>
                    <w:tl2br w:val="nil"/>
                    <w:tr2bl w:val="nil"/>
                  </w:tcBorders>
                  <w:shd w:val="clear" w:color="auto" w:fill="auto"/>
                  <w:vAlign w:val="center"/>
                </w:tcPr>
                <w:p w14:paraId="749B81FD">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ascii="Times New Roman" w:hAnsi="Times New Roman" w:cs="Times New Roman"/>
                      <w:bCs/>
                      <w:color w:val="auto"/>
                      <w:sz w:val="21"/>
                      <w:szCs w:val="21"/>
                      <w:highlight w:val="none"/>
                    </w:rPr>
                    <w:t>甲醇</w:t>
                  </w:r>
                </w:p>
              </w:tc>
              <w:tc>
                <w:tcPr>
                  <w:tcW w:w="1253" w:type="dxa"/>
                  <w:tcBorders>
                    <w:tl2br w:val="nil"/>
                    <w:tr2bl w:val="nil"/>
                  </w:tcBorders>
                  <w:shd w:val="clear" w:color="auto" w:fill="auto"/>
                  <w:vAlign w:val="center"/>
                </w:tcPr>
                <w:p w14:paraId="39A971AC">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＜2</w:t>
                  </w:r>
                </w:p>
              </w:tc>
              <w:tc>
                <w:tcPr>
                  <w:tcW w:w="1327" w:type="dxa"/>
                  <w:tcBorders>
                    <w:tl2br w:val="nil"/>
                    <w:tr2bl w:val="nil"/>
                  </w:tcBorders>
                  <w:shd w:val="clear" w:color="auto" w:fill="auto"/>
                  <w:vAlign w:val="center"/>
                </w:tcPr>
                <w:p w14:paraId="3A398DAF">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＜4.17</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-3</w:t>
                  </w:r>
                </w:p>
              </w:tc>
              <w:tc>
                <w:tcPr>
                  <w:tcW w:w="1133" w:type="dxa"/>
                  <w:tcBorders>
                    <w:tl2br w:val="nil"/>
                    <w:tr2bl w:val="nil"/>
                  </w:tcBorders>
                  <w:shd w:val="clear" w:color="auto" w:fill="auto"/>
                  <w:vAlign w:val="center"/>
                </w:tcPr>
                <w:p w14:paraId="1FE736C0">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50</w:t>
                  </w:r>
                </w:p>
              </w:tc>
              <w:tc>
                <w:tcPr>
                  <w:tcW w:w="1133" w:type="dxa"/>
                  <w:tcBorders>
                    <w:tl2br w:val="nil"/>
                    <w:tr2bl w:val="nil"/>
                  </w:tcBorders>
                  <w:shd w:val="clear" w:color="auto" w:fill="auto"/>
                  <w:vAlign w:val="center"/>
                </w:tcPr>
                <w:p w14:paraId="70AA76A0">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1.5</w:t>
                  </w:r>
                </w:p>
              </w:tc>
              <w:tc>
                <w:tcPr>
                  <w:tcW w:w="1133" w:type="dxa"/>
                  <w:tcBorders>
                    <w:tl2br w:val="nil"/>
                    <w:tr2bl w:val="nil"/>
                  </w:tcBorders>
                  <w:shd w:val="clear" w:color="auto" w:fill="auto"/>
                  <w:vAlign w:val="center"/>
                </w:tcPr>
                <w:p w14:paraId="25E4C407">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达标</w:t>
                  </w:r>
                </w:p>
              </w:tc>
            </w:tr>
            <w:tr w14:paraId="7518A0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58E9E850">
                  <w:pPr>
                    <w:widowControl/>
                    <w:spacing w:line="240" w:lineRule="auto"/>
                    <w:jc w:val="center"/>
                    <w:rPr>
                      <w:rFonts w:hint="eastAsia" w:cs="Times New Roman"/>
                      <w:color w:val="auto"/>
                      <w:sz w:val="21"/>
                      <w:szCs w:val="21"/>
                      <w:highlight w:val="none"/>
                      <w:vertAlign w:val="baseline"/>
                      <w:lang w:val="en-US" w:eastAsia="zh-CN"/>
                    </w:rPr>
                  </w:pPr>
                </w:p>
              </w:tc>
              <w:tc>
                <w:tcPr>
                  <w:tcW w:w="1294" w:type="dxa"/>
                  <w:tcBorders>
                    <w:tl2br w:val="nil"/>
                    <w:tr2bl w:val="nil"/>
                  </w:tcBorders>
                  <w:shd w:val="clear" w:color="auto" w:fill="auto"/>
                  <w:vAlign w:val="center"/>
                </w:tcPr>
                <w:p w14:paraId="481CB544">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bCs/>
                      <w:color w:val="auto"/>
                      <w:sz w:val="21"/>
                      <w:szCs w:val="21"/>
                      <w:highlight w:val="none"/>
                    </w:rPr>
                    <w:t>氯化氢</w:t>
                  </w:r>
                </w:p>
              </w:tc>
              <w:tc>
                <w:tcPr>
                  <w:tcW w:w="1253" w:type="dxa"/>
                  <w:tcBorders>
                    <w:tl2br w:val="nil"/>
                    <w:tr2bl w:val="nil"/>
                  </w:tcBorders>
                  <w:shd w:val="clear" w:color="auto" w:fill="auto"/>
                  <w:vAlign w:val="center"/>
                </w:tcPr>
                <w:p w14:paraId="63337C89">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＜0.2</w:t>
                  </w:r>
                </w:p>
              </w:tc>
              <w:tc>
                <w:tcPr>
                  <w:tcW w:w="1327" w:type="dxa"/>
                  <w:tcBorders>
                    <w:tl2br w:val="nil"/>
                    <w:tr2bl w:val="nil"/>
                  </w:tcBorders>
                  <w:shd w:val="clear" w:color="auto" w:fill="auto"/>
                  <w:vAlign w:val="center"/>
                </w:tcPr>
                <w:p w14:paraId="3C20A3F3">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＜4.17</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-4</w:t>
                  </w:r>
                </w:p>
              </w:tc>
              <w:tc>
                <w:tcPr>
                  <w:tcW w:w="1133" w:type="dxa"/>
                  <w:tcBorders>
                    <w:tl2br w:val="nil"/>
                    <w:tr2bl w:val="nil"/>
                  </w:tcBorders>
                  <w:shd w:val="clear" w:color="auto" w:fill="auto"/>
                  <w:vAlign w:val="center"/>
                </w:tcPr>
                <w:p w14:paraId="5FDD70CC">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10</w:t>
                  </w:r>
                </w:p>
              </w:tc>
              <w:tc>
                <w:tcPr>
                  <w:tcW w:w="1133" w:type="dxa"/>
                  <w:tcBorders>
                    <w:tl2br w:val="nil"/>
                    <w:tr2bl w:val="nil"/>
                  </w:tcBorders>
                  <w:shd w:val="clear" w:color="auto" w:fill="auto"/>
                  <w:vAlign w:val="center"/>
                </w:tcPr>
                <w:p w14:paraId="23A7D8D1">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0.03</w:t>
                  </w:r>
                </w:p>
              </w:tc>
              <w:tc>
                <w:tcPr>
                  <w:tcW w:w="1133" w:type="dxa"/>
                  <w:tcBorders>
                    <w:tl2br w:val="nil"/>
                    <w:tr2bl w:val="nil"/>
                  </w:tcBorders>
                  <w:shd w:val="clear" w:color="auto" w:fill="auto"/>
                  <w:vAlign w:val="center"/>
                </w:tcPr>
                <w:p w14:paraId="52DAE9FE">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达标</w:t>
                  </w:r>
                </w:p>
              </w:tc>
            </w:tr>
            <w:tr w14:paraId="04157F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35966ADA">
                  <w:pPr>
                    <w:widowControl/>
                    <w:spacing w:line="240" w:lineRule="auto"/>
                    <w:jc w:val="center"/>
                    <w:rPr>
                      <w:rFonts w:hint="eastAsia" w:cs="Times New Roman"/>
                      <w:color w:val="auto"/>
                      <w:sz w:val="21"/>
                      <w:szCs w:val="21"/>
                      <w:highlight w:val="none"/>
                      <w:vertAlign w:val="baseline"/>
                      <w:lang w:val="en-US" w:eastAsia="zh-CN"/>
                    </w:rPr>
                  </w:pPr>
                </w:p>
              </w:tc>
              <w:tc>
                <w:tcPr>
                  <w:tcW w:w="1294" w:type="dxa"/>
                  <w:tcBorders>
                    <w:tl2br w:val="nil"/>
                    <w:tr2bl w:val="nil"/>
                  </w:tcBorders>
                  <w:shd w:val="clear" w:color="auto" w:fill="auto"/>
                  <w:vAlign w:val="center"/>
                </w:tcPr>
                <w:p w14:paraId="552ED14E">
                  <w:pPr>
                    <w:widowControl/>
                    <w:spacing w:line="240" w:lineRule="auto"/>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rPr>
                    <w:t>硫酸雾</w:t>
                  </w:r>
                </w:p>
              </w:tc>
              <w:tc>
                <w:tcPr>
                  <w:tcW w:w="1253" w:type="dxa"/>
                  <w:tcBorders>
                    <w:tl2br w:val="nil"/>
                    <w:tr2bl w:val="nil"/>
                  </w:tcBorders>
                  <w:shd w:val="clear" w:color="auto" w:fill="auto"/>
                  <w:vAlign w:val="center"/>
                </w:tcPr>
                <w:p w14:paraId="551DA685">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＜0.2</w:t>
                  </w:r>
                </w:p>
              </w:tc>
              <w:tc>
                <w:tcPr>
                  <w:tcW w:w="1327" w:type="dxa"/>
                  <w:tcBorders>
                    <w:tl2br w:val="nil"/>
                    <w:tr2bl w:val="nil"/>
                  </w:tcBorders>
                  <w:shd w:val="clear" w:color="auto" w:fill="auto"/>
                  <w:vAlign w:val="center"/>
                </w:tcPr>
                <w:p w14:paraId="7616226A">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＜4.17</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-4</w:t>
                  </w:r>
                </w:p>
              </w:tc>
              <w:tc>
                <w:tcPr>
                  <w:tcW w:w="1133" w:type="dxa"/>
                  <w:tcBorders>
                    <w:tl2br w:val="nil"/>
                    <w:tr2bl w:val="nil"/>
                  </w:tcBorders>
                  <w:shd w:val="clear" w:color="auto" w:fill="auto"/>
                  <w:vAlign w:val="center"/>
                </w:tcPr>
                <w:p w14:paraId="4A54472E">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5.0</w:t>
                  </w:r>
                </w:p>
              </w:tc>
              <w:tc>
                <w:tcPr>
                  <w:tcW w:w="1133" w:type="dxa"/>
                  <w:tcBorders>
                    <w:tl2br w:val="nil"/>
                    <w:tr2bl w:val="nil"/>
                  </w:tcBorders>
                  <w:shd w:val="clear" w:color="auto" w:fill="auto"/>
                  <w:vAlign w:val="center"/>
                </w:tcPr>
                <w:p w14:paraId="42E700F8">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0.9</w:t>
                  </w:r>
                </w:p>
              </w:tc>
              <w:tc>
                <w:tcPr>
                  <w:tcW w:w="1133" w:type="dxa"/>
                  <w:tcBorders>
                    <w:tl2br w:val="nil"/>
                    <w:tr2bl w:val="nil"/>
                  </w:tcBorders>
                  <w:shd w:val="clear" w:color="auto" w:fill="auto"/>
                  <w:vAlign w:val="center"/>
                </w:tcPr>
                <w:p w14:paraId="12A50A9B">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达标</w:t>
                  </w:r>
                </w:p>
              </w:tc>
            </w:tr>
            <w:tr w14:paraId="54F42B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4" w:type="dxa"/>
                  <w:vMerge w:val="continue"/>
                  <w:tcBorders>
                    <w:tl2br w:val="nil"/>
                    <w:tr2bl w:val="nil"/>
                  </w:tcBorders>
                  <w:vAlign w:val="center"/>
                </w:tcPr>
                <w:p w14:paraId="2869D404">
                  <w:pPr>
                    <w:widowControl/>
                    <w:spacing w:line="240" w:lineRule="auto"/>
                    <w:jc w:val="center"/>
                    <w:rPr>
                      <w:rFonts w:hint="eastAsia" w:cs="Times New Roman"/>
                      <w:color w:val="auto"/>
                      <w:sz w:val="21"/>
                      <w:szCs w:val="21"/>
                      <w:highlight w:val="none"/>
                      <w:vertAlign w:val="baseline"/>
                      <w:lang w:val="en-US" w:eastAsia="zh-CN"/>
                    </w:rPr>
                  </w:pPr>
                </w:p>
              </w:tc>
              <w:tc>
                <w:tcPr>
                  <w:tcW w:w="1294" w:type="dxa"/>
                  <w:tcBorders>
                    <w:tl2br w:val="nil"/>
                    <w:tr2bl w:val="nil"/>
                  </w:tcBorders>
                  <w:shd w:val="clear" w:color="auto" w:fill="auto"/>
                  <w:vAlign w:val="center"/>
                </w:tcPr>
                <w:p w14:paraId="149ABDD7">
                  <w:pPr>
                    <w:widowControl/>
                    <w:spacing w:line="240" w:lineRule="auto"/>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cs="Times New Roman"/>
                      <w:bCs/>
                      <w:color w:val="auto"/>
                      <w:sz w:val="21"/>
                      <w:szCs w:val="21"/>
                      <w:highlight w:val="none"/>
                      <w:lang w:eastAsia="zh-CN"/>
                    </w:rPr>
                    <w:t>氮氧化物</w:t>
                  </w:r>
                </w:p>
              </w:tc>
              <w:tc>
                <w:tcPr>
                  <w:tcW w:w="1253" w:type="dxa"/>
                  <w:tcBorders>
                    <w:tl2br w:val="nil"/>
                    <w:tr2bl w:val="nil"/>
                  </w:tcBorders>
                  <w:shd w:val="clear" w:color="auto" w:fill="auto"/>
                  <w:vAlign w:val="center"/>
                </w:tcPr>
                <w:p w14:paraId="10DEBDDD">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＜3</w:t>
                  </w:r>
                </w:p>
              </w:tc>
              <w:tc>
                <w:tcPr>
                  <w:tcW w:w="1327" w:type="dxa"/>
                  <w:tcBorders>
                    <w:tl2br w:val="nil"/>
                    <w:tr2bl w:val="nil"/>
                  </w:tcBorders>
                  <w:shd w:val="clear" w:color="auto" w:fill="auto"/>
                  <w:vAlign w:val="center"/>
                </w:tcPr>
                <w:p w14:paraId="06CE09B0">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＜6.26</w:t>
                  </w:r>
                  <w:r>
                    <w:rPr>
                      <w:rFonts w:hint="default" w:ascii="Arial" w:hAnsi="Arial" w:cs="Arial"/>
                      <w:color w:val="auto"/>
                      <w:sz w:val="21"/>
                      <w:szCs w:val="21"/>
                      <w:highlight w:val="none"/>
                      <w:vertAlign w:val="baseline"/>
                      <w:lang w:val="en-US" w:eastAsia="zh-CN"/>
                    </w:rPr>
                    <w:t>×</w:t>
                  </w:r>
                  <w:r>
                    <w:rPr>
                      <w:rFonts w:hint="eastAsia" w:cs="Times New Roman"/>
                      <w:color w:val="auto"/>
                      <w:sz w:val="21"/>
                      <w:szCs w:val="21"/>
                      <w:highlight w:val="none"/>
                      <w:vertAlign w:val="baseline"/>
                      <w:lang w:val="en-US" w:eastAsia="zh-CN"/>
                    </w:rPr>
                    <w:t>10</w:t>
                  </w:r>
                  <w:r>
                    <w:rPr>
                      <w:rFonts w:hint="eastAsia" w:cs="Times New Roman"/>
                      <w:color w:val="auto"/>
                      <w:sz w:val="21"/>
                      <w:szCs w:val="21"/>
                      <w:highlight w:val="none"/>
                      <w:vertAlign w:val="superscript"/>
                      <w:lang w:val="en-US" w:eastAsia="zh-CN"/>
                    </w:rPr>
                    <w:t>-3</w:t>
                  </w:r>
                </w:p>
              </w:tc>
              <w:tc>
                <w:tcPr>
                  <w:tcW w:w="1133" w:type="dxa"/>
                  <w:tcBorders>
                    <w:tl2br w:val="nil"/>
                    <w:tr2bl w:val="nil"/>
                  </w:tcBorders>
                  <w:shd w:val="clear" w:color="auto" w:fill="auto"/>
                  <w:vAlign w:val="center"/>
                </w:tcPr>
                <w:p w14:paraId="32D16B13">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100</w:t>
                  </w:r>
                </w:p>
              </w:tc>
              <w:tc>
                <w:tcPr>
                  <w:tcW w:w="1133" w:type="dxa"/>
                  <w:tcBorders>
                    <w:tl2br w:val="nil"/>
                    <w:tr2bl w:val="nil"/>
                  </w:tcBorders>
                  <w:shd w:val="clear" w:color="auto" w:fill="auto"/>
                  <w:vAlign w:val="center"/>
                </w:tcPr>
                <w:p w14:paraId="66B151DB">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0.36</w:t>
                  </w:r>
                </w:p>
              </w:tc>
              <w:tc>
                <w:tcPr>
                  <w:tcW w:w="1133" w:type="dxa"/>
                  <w:tcBorders>
                    <w:tl2br w:val="nil"/>
                    <w:tr2bl w:val="nil"/>
                  </w:tcBorders>
                  <w:shd w:val="clear" w:color="auto" w:fill="auto"/>
                  <w:vAlign w:val="center"/>
                </w:tcPr>
                <w:p w14:paraId="7C083C08">
                  <w:pPr>
                    <w:widowControl/>
                    <w:spacing w:line="240" w:lineRule="auto"/>
                    <w:jc w:val="center"/>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sz w:val="21"/>
                      <w:szCs w:val="21"/>
                      <w:highlight w:val="none"/>
                      <w:vertAlign w:val="baseline"/>
                      <w:lang w:val="en-US" w:eastAsia="zh-CN"/>
                    </w:rPr>
                    <w:t>达标</w:t>
                  </w:r>
                </w:p>
              </w:tc>
            </w:tr>
            <w:tr w14:paraId="2C3F25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27" w:type="dxa"/>
                  <w:gridSpan w:val="7"/>
                  <w:tcBorders>
                    <w:tl2br w:val="nil"/>
                    <w:tr2bl w:val="nil"/>
                  </w:tcBorders>
                  <w:vAlign w:val="center"/>
                </w:tcPr>
                <w:p w14:paraId="2F4C938A">
                  <w:pPr>
                    <w:widowControl/>
                    <w:spacing w:line="240" w:lineRule="auto"/>
                    <w:jc w:val="both"/>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本报告中每个排放口废气检测了3次，排放浓度与排放速率为3次检测结果的最大值。</w:t>
                  </w:r>
                </w:p>
              </w:tc>
            </w:tr>
          </w:tbl>
          <w:p w14:paraId="061DCCFA">
            <w:pPr>
              <w:widowControl/>
              <w:spacing w:line="360" w:lineRule="auto"/>
              <w:ind w:firstLine="480" w:firstLineChars="200"/>
              <w:jc w:val="left"/>
              <w:rPr>
                <w:rFonts w:hint="eastAsia" w:cs="Times New Roman"/>
                <w:color w:val="auto"/>
                <w:sz w:val="24"/>
                <w:highlight w:val="none"/>
                <w:lang w:val="en-US" w:eastAsia="zh-CN"/>
              </w:rPr>
            </w:pPr>
            <w:r>
              <w:rPr>
                <w:rFonts w:hint="eastAsia" w:cs="Times New Roman"/>
                <w:color w:val="auto"/>
                <w:sz w:val="24"/>
                <w:highlight w:val="none"/>
                <w:lang w:val="en-US" w:eastAsia="zh-CN"/>
              </w:rPr>
              <w:t>现有项目有组织非甲烷总烃、甲醇、氯化氢、硫酸雾、氮氧化物排放浓度和排放速率满足《大气污染物综合排放标准》（</w:t>
            </w:r>
            <w:r>
              <w:rPr>
                <w:rFonts w:hint="default" w:cs="Times New Roman"/>
                <w:color w:val="auto"/>
                <w:sz w:val="24"/>
                <w:highlight w:val="none"/>
                <w:lang w:val="en-US" w:eastAsia="zh-CN"/>
              </w:rPr>
              <w:t>DB11/501-2017</w:t>
            </w:r>
            <w:r>
              <w:rPr>
                <w:rFonts w:hint="eastAsia" w:cs="Times New Roman"/>
                <w:color w:val="auto"/>
                <w:sz w:val="24"/>
                <w:highlight w:val="none"/>
                <w:lang w:val="en-US" w:eastAsia="zh-CN"/>
              </w:rPr>
              <w:t>）中“生产工艺废气及其他废气大气污染物排放限值第</w:t>
            </w:r>
            <w:r>
              <w:rPr>
                <w:rFonts w:hint="default" w:cs="Times New Roman"/>
                <w:color w:val="auto"/>
                <w:sz w:val="24"/>
                <w:highlight w:val="none"/>
                <w:lang w:val="en-US" w:eastAsia="zh-CN"/>
              </w:rPr>
              <w:t>II</w:t>
            </w:r>
            <w:r>
              <w:rPr>
                <w:rFonts w:hint="eastAsia" w:cs="Times New Roman"/>
                <w:color w:val="auto"/>
                <w:sz w:val="24"/>
                <w:highlight w:val="none"/>
                <w:lang w:val="en-US" w:eastAsia="zh-CN"/>
              </w:rPr>
              <w:t>时段有关污染物排放浓度、速率的要求”。</w:t>
            </w:r>
          </w:p>
          <w:p w14:paraId="05A9563D">
            <w:pPr>
              <w:widowControl/>
              <w:spacing w:line="360" w:lineRule="auto"/>
              <w:ind w:firstLine="480" w:firstLineChars="200"/>
              <w:jc w:val="left"/>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（2）废水</w:t>
            </w:r>
          </w:p>
          <w:p w14:paraId="3100395D">
            <w:pPr>
              <w:widowControl/>
              <w:spacing w:line="360" w:lineRule="auto"/>
              <w:ind w:firstLine="480" w:firstLineChars="200"/>
              <w:jc w:val="left"/>
              <w:rPr>
                <w:rFonts w:hint="default" w:cs="Times New Roman"/>
                <w:color w:val="auto"/>
                <w:sz w:val="24"/>
                <w:highlight w:val="none"/>
                <w:lang w:val="en-US" w:eastAsia="zh-CN"/>
              </w:rPr>
            </w:pPr>
            <w:r>
              <w:rPr>
                <w:rFonts w:hint="eastAsia" w:cs="Times New Roman"/>
                <w:color w:val="auto"/>
                <w:sz w:val="24"/>
                <w:highlight w:val="none"/>
                <w:lang w:val="en-US" w:eastAsia="zh-CN"/>
              </w:rPr>
              <w:t>现有项目废水包括生活污水、容器清洗废水，清洗废水经自建的废水处理设备处理后与生活污水一起进园区化粪池进一步处理，最后经市政管网排入</w:t>
            </w:r>
            <w:r>
              <w:rPr>
                <w:rFonts w:hint="eastAsia" w:cs="Times New Roman"/>
                <w:color w:val="auto"/>
                <w:sz w:val="24"/>
                <w:szCs w:val="24"/>
                <w:highlight w:val="none"/>
                <w:lang w:eastAsia="zh-CN"/>
              </w:rPr>
              <w:t>金桥基地第一污水处理厂。</w:t>
            </w:r>
          </w:p>
          <w:p w14:paraId="485D7789">
            <w:pPr>
              <w:widowControl/>
              <w:spacing w:line="360" w:lineRule="auto"/>
              <w:ind w:firstLine="480" w:firstLineChars="200"/>
              <w:jc w:val="left"/>
              <w:rPr>
                <w:rFonts w:hint="eastAsia" w:cs="Times New Roman"/>
                <w:color w:val="auto"/>
                <w:sz w:val="24"/>
                <w:highlight w:val="none"/>
                <w:lang w:val="en-US" w:eastAsia="zh-CN"/>
              </w:rPr>
            </w:pPr>
            <w:r>
              <w:rPr>
                <w:rFonts w:hint="eastAsia" w:cs="Times New Roman"/>
                <w:color w:val="auto"/>
                <w:sz w:val="24"/>
                <w:highlight w:val="none"/>
                <w:lang w:val="en-US" w:eastAsia="zh-CN"/>
              </w:rPr>
              <w:t>根据北京华成星科检测服务有限公司</w:t>
            </w:r>
            <w:r>
              <w:rPr>
                <w:rFonts w:hint="default" w:cs="Times New Roman"/>
                <w:color w:val="auto"/>
                <w:sz w:val="24"/>
                <w:highlight w:val="none"/>
                <w:lang w:val="en-US" w:eastAsia="zh-CN"/>
              </w:rPr>
              <w:t>202</w:t>
            </w:r>
            <w:r>
              <w:rPr>
                <w:rFonts w:hint="eastAsia" w:cs="Times New Roman"/>
                <w:color w:val="auto"/>
                <w:sz w:val="24"/>
                <w:highlight w:val="none"/>
                <w:lang w:val="en-US" w:eastAsia="zh-CN"/>
              </w:rPr>
              <w:t>5年5月6日出具的监测报告（报告编号：H250429142a），现有项目水污染排放情况见下表。</w:t>
            </w:r>
          </w:p>
          <w:p w14:paraId="22EA60A9">
            <w:pPr>
              <w:numPr>
                <w:ilvl w:val="0"/>
                <w:numId w:val="12"/>
              </w:numPr>
              <w:adjustRightInd w:val="0"/>
              <w:snapToGrid w:val="0"/>
              <w:spacing w:line="360" w:lineRule="auto"/>
              <w:jc w:val="center"/>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现有工程水污染物排放情况一览表</w:t>
            </w:r>
          </w:p>
          <w:tbl>
            <w:tblPr>
              <w:tblStyle w:val="24"/>
              <w:tblW w:w="792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4"/>
              <w:gridCol w:w="1534"/>
              <w:gridCol w:w="2266"/>
              <w:gridCol w:w="2020"/>
              <w:gridCol w:w="1413"/>
            </w:tblGrid>
            <w:tr w14:paraId="6C29BB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vAlign w:val="center"/>
                </w:tcPr>
                <w:p w14:paraId="7841AB34">
                  <w:pPr>
                    <w:widowControl/>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1534" w:type="dxa"/>
                  <w:tcBorders>
                    <w:tl2br w:val="nil"/>
                    <w:tr2bl w:val="nil"/>
                  </w:tcBorders>
                  <w:vAlign w:val="center"/>
                </w:tcPr>
                <w:p w14:paraId="2F707002">
                  <w:pPr>
                    <w:widowControl/>
                    <w:spacing w:line="240" w:lineRule="auto"/>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污染因子</w:t>
                  </w:r>
                </w:p>
              </w:tc>
              <w:tc>
                <w:tcPr>
                  <w:tcW w:w="2266" w:type="dxa"/>
                  <w:tcBorders>
                    <w:tl2br w:val="nil"/>
                    <w:tr2bl w:val="nil"/>
                  </w:tcBorders>
                  <w:vAlign w:val="center"/>
                </w:tcPr>
                <w:p w14:paraId="5CE92DE8">
                  <w:pPr>
                    <w:keepNext w:val="0"/>
                    <w:keepLines w:val="0"/>
                    <w:widowControl/>
                    <w:suppressLineNumbers w:val="0"/>
                    <w:spacing w:line="240" w:lineRule="auto"/>
                    <w:jc w:val="center"/>
                    <w:rPr>
                      <w:rFonts w:hint="eastAsia" w:cs="Times New Roman"/>
                      <w:b/>
                      <w:bCs/>
                      <w:color w:val="auto"/>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现状排放浓度（</w:t>
                  </w:r>
                  <w:r>
                    <w:rPr>
                      <w:rFonts w:hint="default" w:ascii="Times New Roman" w:hAnsi="Times New Roman" w:eastAsia="宋体" w:cs="Times New Roman"/>
                      <w:b/>
                      <w:bCs/>
                      <w:color w:val="auto"/>
                      <w:kern w:val="0"/>
                      <w:sz w:val="21"/>
                      <w:szCs w:val="21"/>
                      <w:lang w:val="en-US" w:eastAsia="zh-CN" w:bidi="ar"/>
                    </w:rPr>
                    <w:t>mg/L</w:t>
                  </w:r>
                  <w:r>
                    <w:rPr>
                      <w:rFonts w:hint="eastAsia" w:ascii="宋体" w:hAnsi="宋体" w:eastAsia="宋体" w:cs="宋体"/>
                      <w:b/>
                      <w:bCs/>
                      <w:color w:val="auto"/>
                      <w:kern w:val="0"/>
                      <w:sz w:val="21"/>
                      <w:szCs w:val="21"/>
                      <w:lang w:val="en-US" w:eastAsia="zh-CN" w:bidi="ar"/>
                    </w:rPr>
                    <w:t>）</w:t>
                  </w:r>
                </w:p>
              </w:tc>
              <w:tc>
                <w:tcPr>
                  <w:tcW w:w="2020" w:type="dxa"/>
                  <w:tcBorders>
                    <w:tl2br w:val="nil"/>
                    <w:tr2bl w:val="nil"/>
                  </w:tcBorders>
                  <w:vAlign w:val="center"/>
                </w:tcPr>
                <w:p w14:paraId="22B3E474">
                  <w:pPr>
                    <w:keepNext w:val="0"/>
                    <w:keepLines w:val="0"/>
                    <w:widowControl/>
                    <w:suppressLineNumbers w:val="0"/>
                    <w:spacing w:line="240" w:lineRule="auto"/>
                    <w:jc w:val="center"/>
                    <w:rPr>
                      <w:rFonts w:hint="eastAsia" w:cs="Times New Roman"/>
                      <w:b/>
                      <w:bCs/>
                      <w:color w:val="auto"/>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排放标准（</w:t>
                  </w:r>
                  <w:r>
                    <w:rPr>
                      <w:rFonts w:hint="default" w:ascii="Times New Roman" w:hAnsi="Times New Roman" w:eastAsia="宋体" w:cs="Times New Roman"/>
                      <w:b/>
                      <w:bCs/>
                      <w:color w:val="auto"/>
                      <w:kern w:val="0"/>
                      <w:sz w:val="21"/>
                      <w:szCs w:val="21"/>
                      <w:lang w:val="en-US" w:eastAsia="zh-CN" w:bidi="ar"/>
                    </w:rPr>
                    <w:t>mg/L</w:t>
                  </w:r>
                  <w:r>
                    <w:rPr>
                      <w:rFonts w:hint="eastAsia" w:ascii="宋体" w:hAnsi="宋体" w:eastAsia="宋体" w:cs="宋体"/>
                      <w:b/>
                      <w:bCs/>
                      <w:color w:val="auto"/>
                      <w:kern w:val="0"/>
                      <w:sz w:val="21"/>
                      <w:szCs w:val="21"/>
                      <w:lang w:val="en-US" w:eastAsia="zh-CN" w:bidi="ar"/>
                    </w:rPr>
                    <w:t>）</w:t>
                  </w:r>
                </w:p>
              </w:tc>
              <w:tc>
                <w:tcPr>
                  <w:tcW w:w="1413" w:type="dxa"/>
                  <w:tcBorders>
                    <w:tl2br w:val="nil"/>
                    <w:tr2bl w:val="nil"/>
                  </w:tcBorders>
                  <w:vAlign w:val="center"/>
                </w:tcPr>
                <w:p w14:paraId="06CE8E19">
                  <w:pPr>
                    <w:keepNext w:val="0"/>
                    <w:keepLines w:val="0"/>
                    <w:widowControl/>
                    <w:suppressLineNumbers w:val="0"/>
                    <w:spacing w:line="240" w:lineRule="auto"/>
                    <w:jc w:val="center"/>
                    <w:rPr>
                      <w:rFonts w:hint="eastAsia" w:cs="Times New Roman"/>
                      <w:b/>
                      <w:bCs/>
                      <w:color w:val="auto"/>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达标情况</w:t>
                  </w:r>
                </w:p>
              </w:tc>
            </w:tr>
            <w:tr w14:paraId="1F541C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4" w:type="dxa"/>
                  <w:tcBorders>
                    <w:tl2br w:val="nil"/>
                    <w:tr2bl w:val="nil"/>
                  </w:tcBorders>
                  <w:vAlign w:val="center"/>
                </w:tcPr>
                <w:p w14:paraId="16A6B004">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w:t>
                  </w:r>
                </w:p>
              </w:tc>
              <w:tc>
                <w:tcPr>
                  <w:tcW w:w="1534" w:type="dxa"/>
                  <w:tcBorders>
                    <w:tl2br w:val="nil"/>
                    <w:tr2bl w:val="nil"/>
                  </w:tcBorders>
                  <w:vAlign w:val="center"/>
                </w:tcPr>
                <w:p w14:paraId="37A71152">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pH</w:t>
                  </w:r>
                </w:p>
              </w:tc>
              <w:tc>
                <w:tcPr>
                  <w:tcW w:w="2266" w:type="dxa"/>
                  <w:tcBorders>
                    <w:tl2br w:val="nil"/>
                    <w:tr2bl w:val="nil"/>
                  </w:tcBorders>
                  <w:vAlign w:val="center"/>
                </w:tcPr>
                <w:p w14:paraId="784AB6E8">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7.9-8.3（无量纲）</w:t>
                  </w:r>
                </w:p>
              </w:tc>
              <w:tc>
                <w:tcPr>
                  <w:tcW w:w="2020" w:type="dxa"/>
                  <w:tcBorders>
                    <w:tl2br w:val="nil"/>
                    <w:tr2bl w:val="nil"/>
                  </w:tcBorders>
                  <w:shd w:val="clear" w:color="auto" w:fill="auto"/>
                  <w:vAlign w:val="center"/>
                </w:tcPr>
                <w:p w14:paraId="2FA5E65F">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6.5～9</w:t>
                  </w:r>
                  <w:r>
                    <w:rPr>
                      <w:rFonts w:hint="eastAsia" w:cs="Times New Roman"/>
                      <w:color w:val="auto"/>
                      <w:sz w:val="21"/>
                      <w:szCs w:val="21"/>
                      <w:highlight w:val="none"/>
                      <w:vertAlign w:val="baseline"/>
                      <w:lang w:val="en-US" w:eastAsia="zh-CN"/>
                    </w:rPr>
                    <w:t>（无量纲）</w:t>
                  </w:r>
                </w:p>
              </w:tc>
              <w:tc>
                <w:tcPr>
                  <w:tcW w:w="1413" w:type="dxa"/>
                  <w:tcBorders>
                    <w:tl2br w:val="nil"/>
                    <w:tr2bl w:val="nil"/>
                  </w:tcBorders>
                  <w:vAlign w:val="center"/>
                </w:tcPr>
                <w:p w14:paraId="190C04D9">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0B68A5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vAlign w:val="center"/>
                </w:tcPr>
                <w:p w14:paraId="5916426F">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w:t>
                  </w:r>
                </w:p>
              </w:tc>
              <w:tc>
                <w:tcPr>
                  <w:tcW w:w="1534" w:type="dxa"/>
                  <w:tcBorders>
                    <w:tl2br w:val="nil"/>
                    <w:tr2bl w:val="nil"/>
                  </w:tcBorders>
                  <w:vAlign w:val="center"/>
                </w:tcPr>
                <w:p w14:paraId="268E5535">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COD</w:t>
                  </w:r>
                  <w:r>
                    <w:rPr>
                      <w:rFonts w:hint="eastAsia"/>
                      <w:bCs/>
                      <w:color w:val="auto"/>
                      <w:sz w:val="24"/>
                      <w:szCs w:val="24"/>
                      <w:highlight w:val="none"/>
                      <w:vertAlign w:val="subscript"/>
                    </w:rPr>
                    <w:t>C</w:t>
                  </w:r>
                  <w:r>
                    <w:rPr>
                      <w:bCs/>
                      <w:color w:val="auto"/>
                      <w:sz w:val="24"/>
                      <w:szCs w:val="24"/>
                      <w:highlight w:val="none"/>
                      <w:vertAlign w:val="subscript"/>
                    </w:rPr>
                    <w:t>r</w:t>
                  </w:r>
                </w:p>
              </w:tc>
              <w:tc>
                <w:tcPr>
                  <w:tcW w:w="2266" w:type="dxa"/>
                  <w:tcBorders>
                    <w:tl2br w:val="nil"/>
                    <w:tr2bl w:val="nil"/>
                  </w:tcBorders>
                  <w:vAlign w:val="center"/>
                </w:tcPr>
                <w:p w14:paraId="03449A67">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76-84</w:t>
                  </w:r>
                </w:p>
              </w:tc>
              <w:tc>
                <w:tcPr>
                  <w:tcW w:w="2020" w:type="dxa"/>
                  <w:tcBorders>
                    <w:tl2br w:val="nil"/>
                    <w:tr2bl w:val="nil"/>
                  </w:tcBorders>
                  <w:shd w:val="clear" w:color="auto" w:fill="auto"/>
                  <w:vAlign w:val="center"/>
                </w:tcPr>
                <w:p w14:paraId="25F87504">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500</w:t>
                  </w:r>
                </w:p>
              </w:tc>
              <w:tc>
                <w:tcPr>
                  <w:tcW w:w="1413" w:type="dxa"/>
                  <w:tcBorders>
                    <w:tl2br w:val="nil"/>
                    <w:tr2bl w:val="nil"/>
                  </w:tcBorders>
                  <w:vAlign w:val="center"/>
                </w:tcPr>
                <w:p w14:paraId="2D970190">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5C11E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vAlign w:val="center"/>
                </w:tcPr>
                <w:p w14:paraId="5392A382">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w:t>
                  </w:r>
                </w:p>
              </w:tc>
              <w:tc>
                <w:tcPr>
                  <w:tcW w:w="1534" w:type="dxa"/>
                  <w:tcBorders>
                    <w:tl2br w:val="nil"/>
                    <w:tr2bl w:val="nil"/>
                  </w:tcBorders>
                  <w:vAlign w:val="center"/>
                </w:tcPr>
                <w:p w14:paraId="7270D8AA">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BOD</w:t>
                  </w:r>
                  <w:r>
                    <w:rPr>
                      <w:rFonts w:hint="eastAsia" w:cs="Times New Roman"/>
                      <w:color w:val="auto"/>
                      <w:sz w:val="21"/>
                      <w:szCs w:val="21"/>
                      <w:highlight w:val="none"/>
                      <w:vertAlign w:val="subscript"/>
                      <w:lang w:val="en-US" w:eastAsia="zh-CN"/>
                    </w:rPr>
                    <w:t>5</w:t>
                  </w:r>
                </w:p>
              </w:tc>
              <w:tc>
                <w:tcPr>
                  <w:tcW w:w="2266" w:type="dxa"/>
                  <w:tcBorders>
                    <w:tl2br w:val="nil"/>
                    <w:tr2bl w:val="nil"/>
                  </w:tcBorders>
                  <w:vAlign w:val="center"/>
                </w:tcPr>
                <w:p w14:paraId="25CDF76D">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15.8-17.2</w:t>
                  </w:r>
                </w:p>
              </w:tc>
              <w:tc>
                <w:tcPr>
                  <w:tcW w:w="2020" w:type="dxa"/>
                  <w:tcBorders>
                    <w:tl2br w:val="nil"/>
                    <w:tr2bl w:val="nil"/>
                  </w:tcBorders>
                  <w:shd w:val="clear" w:color="auto" w:fill="auto"/>
                  <w:vAlign w:val="center"/>
                </w:tcPr>
                <w:p w14:paraId="4CD511CE">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300</w:t>
                  </w:r>
                </w:p>
              </w:tc>
              <w:tc>
                <w:tcPr>
                  <w:tcW w:w="1413" w:type="dxa"/>
                  <w:tcBorders>
                    <w:tl2br w:val="nil"/>
                    <w:tr2bl w:val="nil"/>
                  </w:tcBorders>
                  <w:vAlign w:val="center"/>
                </w:tcPr>
                <w:p w14:paraId="261EE20D">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34B0D2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vAlign w:val="center"/>
                </w:tcPr>
                <w:p w14:paraId="573BD632">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4</w:t>
                  </w:r>
                </w:p>
              </w:tc>
              <w:tc>
                <w:tcPr>
                  <w:tcW w:w="1534" w:type="dxa"/>
                  <w:tcBorders>
                    <w:tl2br w:val="nil"/>
                    <w:tr2bl w:val="nil"/>
                  </w:tcBorders>
                  <w:vAlign w:val="center"/>
                </w:tcPr>
                <w:p w14:paraId="27924866">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SS</w:t>
                  </w:r>
                </w:p>
              </w:tc>
              <w:tc>
                <w:tcPr>
                  <w:tcW w:w="2266" w:type="dxa"/>
                  <w:tcBorders>
                    <w:tl2br w:val="nil"/>
                    <w:tr2bl w:val="nil"/>
                  </w:tcBorders>
                  <w:vAlign w:val="center"/>
                </w:tcPr>
                <w:p w14:paraId="739523BE">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21-27</w:t>
                  </w:r>
                </w:p>
              </w:tc>
              <w:tc>
                <w:tcPr>
                  <w:tcW w:w="2020" w:type="dxa"/>
                  <w:tcBorders>
                    <w:tl2br w:val="nil"/>
                    <w:tr2bl w:val="nil"/>
                  </w:tcBorders>
                  <w:shd w:val="clear" w:color="auto" w:fill="auto"/>
                  <w:vAlign w:val="center"/>
                </w:tcPr>
                <w:p w14:paraId="16C14EAE">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400</w:t>
                  </w:r>
                </w:p>
              </w:tc>
              <w:tc>
                <w:tcPr>
                  <w:tcW w:w="1413" w:type="dxa"/>
                  <w:tcBorders>
                    <w:tl2br w:val="nil"/>
                    <w:tr2bl w:val="nil"/>
                  </w:tcBorders>
                  <w:vAlign w:val="center"/>
                </w:tcPr>
                <w:p w14:paraId="3A32105C">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7EFF2A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vAlign w:val="center"/>
                </w:tcPr>
                <w:p w14:paraId="79526414">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w:t>
                  </w:r>
                </w:p>
              </w:tc>
              <w:tc>
                <w:tcPr>
                  <w:tcW w:w="1534" w:type="dxa"/>
                  <w:tcBorders>
                    <w:tl2br w:val="nil"/>
                    <w:tr2bl w:val="nil"/>
                  </w:tcBorders>
                  <w:vAlign w:val="center"/>
                </w:tcPr>
                <w:p w14:paraId="20E3BFE2">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氨氮</w:t>
                  </w:r>
                </w:p>
              </w:tc>
              <w:tc>
                <w:tcPr>
                  <w:tcW w:w="2266" w:type="dxa"/>
                  <w:tcBorders>
                    <w:tl2br w:val="nil"/>
                    <w:tr2bl w:val="nil"/>
                  </w:tcBorders>
                  <w:vAlign w:val="center"/>
                </w:tcPr>
                <w:p w14:paraId="38FDE22D">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1.55-1.66</w:t>
                  </w:r>
                </w:p>
              </w:tc>
              <w:tc>
                <w:tcPr>
                  <w:tcW w:w="2020" w:type="dxa"/>
                  <w:tcBorders>
                    <w:tl2br w:val="nil"/>
                    <w:tr2bl w:val="nil"/>
                  </w:tcBorders>
                  <w:shd w:val="clear" w:color="auto" w:fill="auto"/>
                  <w:vAlign w:val="center"/>
                </w:tcPr>
                <w:p w14:paraId="2159B706">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45</w:t>
                  </w:r>
                </w:p>
              </w:tc>
              <w:tc>
                <w:tcPr>
                  <w:tcW w:w="1413" w:type="dxa"/>
                  <w:tcBorders>
                    <w:tl2br w:val="nil"/>
                    <w:tr2bl w:val="nil"/>
                  </w:tcBorders>
                  <w:vAlign w:val="center"/>
                </w:tcPr>
                <w:p w14:paraId="1F05FC65">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2C733C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vAlign w:val="center"/>
                </w:tcPr>
                <w:p w14:paraId="51C02D14">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w:t>
                  </w:r>
                </w:p>
              </w:tc>
              <w:tc>
                <w:tcPr>
                  <w:tcW w:w="1534" w:type="dxa"/>
                  <w:tcBorders>
                    <w:tl2br w:val="nil"/>
                    <w:tr2bl w:val="nil"/>
                  </w:tcBorders>
                  <w:vAlign w:val="center"/>
                </w:tcPr>
                <w:p w14:paraId="5023FEAD">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总余氯</w:t>
                  </w:r>
                </w:p>
              </w:tc>
              <w:tc>
                <w:tcPr>
                  <w:tcW w:w="2266" w:type="dxa"/>
                  <w:tcBorders>
                    <w:tl2br w:val="nil"/>
                    <w:tr2bl w:val="nil"/>
                  </w:tcBorders>
                  <w:vAlign w:val="center"/>
                </w:tcPr>
                <w:p w14:paraId="732C3991">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2.06-2.23</w:t>
                  </w:r>
                </w:p>
              </w:tc>
              <w:tc>
                <w:tcPr>
                  <w:tcW w:w="2020" w:type="dxa"/>
                  <w:tcBorders>
                    <w:tl2br w:val="nil"/>
                    <w:tr2bl w:val="nil"/>
                  </w:tcBorders>
                  <w:shd w:val="clear" w:color="auto" w:fill="auto"/>
                  <w:vAlign w:val="center"/>
                </w:tcPr>
                <w:p w14:paraId="34F70AB9">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w:t>
                  </w:r>
                </w:p>
              </w:tc>
              <w:tc>
                <w:tcPr>
                  <w:tcW w:w="1413" w:type="dxa"/>
                  <w:tcBorders>
                    <w:tl2br w:val="nil"/>
                    <w:tr2bl w:val="nil"/>
                  </w:tcBorders>
                  <w:vAlign w:val="center"/>
                </w:tcPr>
                <w:p w14:paraId="215562B3">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1EE3E5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27" w:type="dxa"/>
                  <w:gridSpan w:val="5"/>
                  <w:tcBorders>
                    <w:tl2br w:val="nil"/>
                    <w:tr2bl w:val="nil"/>
                  </w:tcBorders>
                  <w:vAlign w:val="center"/>
                </w:tcPr>
                <w:p w14:paraId="4BC1A4AE">
                  <w:pPr>
                    <w:widowControl/>
                    <w:spacing w:line="240" w:lineRule="auto"/>
                    <w:jc w:val="both"/>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本报告废水检测了4次，现状检测浓度为4次检测的范围。</w:t>
                  </w:r>
                </w:p>
              </w:tc>
            </w:tr>
          </w:tbl>
          <w:p w14:paraId="6B6BB57E">
            <w:pPr>
              <w:widowControl/>
              <w:spacing w:line="360" w:lineRule="auto"/>
              <w:ind w:firstLine="480" w:firstLineChars="200"/>
              <w:jc w:val="left"/>
              <w:rPr>
                <w:rFonts w:hint="eastAsia" w:cs="Times New Roman"/>
                <w:color w:val="auto"/>
                <w:sz w:val="24"/>
                <w:highlight w:val="none"/>
                <w:lang w:val="en-US" w:eastAsia="zh-CN"/>
              </w:rPr>
            </w:pPr>
            <w:r>
              <w:rPr>
                <w:rFonts w:hint="eastAsia" w:cs="Times New Roman"/>
                <w:color w:val="auto"/>
                <w:sz w:val="24"/>
                <w:highlight w:val="none"/>
                <w:lang w:val="en-US" w:eastAsia="zh-CN"/>
              </w:rPr>
              <w:t>现有项目废水总排口污染物</w:t>
            </w:r>
            <w:r>
              <w:rPr>
                <w:rFonts w:hint="default" w:cs="Times New Roman"/>
                <w:color w:val="auto"/>
                <w:sz w:val="24"/>
                <w:highlight w:val="none"/>
                <w:lang w:val="en-US" w:eastAsia="zh-CN"/>
              </w:rPr>
              <w:t>pH</w:t>
            </w:r>
            <w:r>
              <w:rPr>
                <w:rFonts w:hint="eastAsia" w:cs="Times New Roman"/>
                <w:color w:val="auto"/>
                <w:sz w:val="24"/>
                <w:highlight w:val="none"/>
                <w:lang w:val="en-US" w:eastAsia="zh-CN"/>
              </w:rPr>
              <w:t>、</w:t>
            </w:r>
            <w:r>
              <w:rPr>
                <w:rFonts w:hint="default" w:cs="Times New Roman"/>
                <w:color w:val="auto"/>
                <w:sz w:val="24"/>
                <w:highlight w:val="none"/>
                <w:lang w:val="en-US" w:eastAsia="zh-CN"/>
              </w:rPr>
              <w:t>COD</w:t>
            </w:r>
            <w:r>
              <w:rPr>
                <w:rFonts w:hint="eastAsia"/>
                <w:bCs/>
                <w:color w:val="auto"/>
                <w:sz w:val="24"/>
                <w:szCs w:val="24"/>
                <w:highlight w:val="none"/>
                <w:vertAlign w:val="subscript"/>
              </w:rPr>
              <w:t>C</w:t>
            </w:r>
            <w:r>
              <w:rPr>
                <w:bCs/>
                <w:color w:val="auto"/>
                <w:sz w:val="24"/>
                <w:szCs w:val="24"/>
                <w:highlight w:val="none"/>
                <w:vertAlign w:val="subscript"/>
              </w:rPr>
              <w:t>r</w:t>
            </w:r>
            <w:r>
              <w:rPr>
                <w:rFonts w:hint="eastAsia" w:cs="Times New Roman"/>
                <w:color w:val="auto"/>
                <w:sz w:val="24"/>
                <w:highlight w:val="none"/>
                <w:lang w:val="en-US" w:eastAsia="zh-CN"/>
              </w:rPr>
              <w:t>、</w:t>
            </w:r>
            <w:r>
              <w:rPr>
                <w:rFonts w:hint="default" w:cs="Times New Roman"/>
                <w:color w:val="auto"/>
                <w:sz w:val="24"/>
                <w:highlight w:val="none"/>
                <w:lang w:val="en-US" w:eastAsia="zh-CN"/>
              </w:rPr>
              <w:t>BOD</w:t>
            </w:r>
            <w:r>
              <w:rPr>
                <w:rFonts w:hint="default" w:cs="Times New Roman"/>
                <w:color w:val="auto"/>
                <w:sz w:val="24"/>
                <w:highlight w:val="none"/>
                <w:vertAlign w:val="subscript"/>
                <w:lang w:val="en-US" w:eastAsia="zh-CN"/>
              </w:rPr>
              <w:t>5</w:t>
            </w:r>
            <w:r>
              <w:rPr>
                <w:rFonts w:hint="eastAsia" w:cs="Times New Roman"/>
                <w:color w:val="auto"/>
                <w:sz w:val="24"/>
                <w:highlight w:val="none"/>
                <w:lang w:val="en-US" w:eastAsia="zh-CN"/>
              </w:rPr>
              <w:t>、</w:t>
            </w:r>
            <w:r>
              <w:rPr>
                <w:rFonts w:hint="default" w:cs="Times New Roman"/>
                <w:color w:val="auto"/>
                <w:sz w:val="24"/>
                <w:highlight w:val="none"/>
                <w:lang w:val="en-US" w:eastAsia="zh-CN"/>
              </w:rPr>
              <w:t>SS</w:t>
            </w:r>
            <w:r>
              <w:rPr>
                <w:rFonts w:hint="eastAsia" w:cs="Times New Roman"/>
                <w:color w:val="auto"/>
                <w:sz w:val="24"/>
                <w:highlight w:val="none"/>
                <w:lang w:val="en-US" w:eastAsia="zh-CN"/>
              </w:rPr>
              <w:t>、氨氮、总余氯满足北京市《水污染物综合排放标准》（</w:t>
            </w:r>
            <w:r>
              <w:rPr>
                <w:rFonts w:hint="default" w:cs="Times New Roman"/>
                <w:color w:val="auto"/>
                <w:sz w:val="24"/>
                <w:highlight w:val="none"/>
                <w:lang w:val="en-US" w:eastAsia="zh-CN"/>
              </w:rPr>
              <w:t>DB11/307</w:t>
            </w:r>
            <w:r>
              <w:rPr>
                <w:rFonts w:hint="eastAsia" w:cs="Times New Roman"/>
                <w:color w:val="auto"/>
                <w:sz w:val="24"/>
                <w:highlight w:val="none"/>
                <w:lang w:val="en-US" w:eastAsia="zh-CN"/>
              </w:rPr>
              <w:t>－</w:t>
            </w:r>
            <w:r>
              <w:rPr>
                <w:rFonts w:hint="default" w:cs="Times New Roman"/>
                <w:color w:val="auto"/>
                <w:sz w:val="24"/>
                <w:highlight w:val="none"/>
                <w:lang w:val="en-US" w:eastAsia="zh-CN"/>
              </w:rPr>
              <w:t>2013</w:t>
            </w:r>
            <w:r>
              <w:rPr>
                <w:rFonts w:hint="eastAsia" w:cs="Times New Roman"/>
                <w:color w:val="auto"/>
                <w:sz w:val="24"/>
                <w:highlight w:val="none"/>
                <w:lang w:val="en-US" w:eastAsia="zh-CN"/>
              </w:rPr>
              <w:t>）中“排入公共污水处理系统的水污染物排放限值”。</w:t>
            </w:r>
          </w:p>
          <w:p w14:paraId="182026D5">
            <w:pPr>
              <w:widowControl/>
              <w:spacing w:line="360" w:lineRule="auto"/>
              <w:ind w:firstLine="480" w:firstLineChars="200"/>
              <w:jc w:val="left"/>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（3）噪声</w:t>
            </w:r>
          </w:p>
          <w:p w14:paraId="46C62448">
            <w:pPr>
              <w:widowControl/>
              <w:spacing w:line="360" w:lineRule="auto"/>
              <w:ind w:firstLine="480" w:firstLineChars="200"/>
              <w:jc w:val="left"/>
              <w:rPr>
                <w:rFonts w:hint="default" w:cs="Times New Roman"/>
                <w:color w:val="auto"/>
                <w:sz w:val="24"/>
                <w:highlight w:val="none"/>
                <w:lang w:val="en-US" w:eastAsia="zh-CN"/>
              </w:rPr>
            </w:pPr>
            <w:r>
              <w:rPr>
                <w:rFonts w:hint="eastAsia" w:cs="Times New Roman"/>
                <w:color w:val="auto"/>
                <w:sz w:val="24"/>
                <w:highlight w:val="none"/>
                <w:lang w:val="en-US" w:eastAsia="zh-CN"/>
              </w:rPr>
              <w:t>根据北京华成星科检测服务有限公司</w:t>
            </w:r>
            <w:r>
              <w:rPr>
                <w:rFonts w:hint="default" w:cs="Times New Roman"/>
                <w:color w:val="auto"/>
                <w:sz w:val="24"/>
                <w:highlight w:val="none"/>
                <w:lang w:val="en-US" w:eastAsia="zh-CN"/>
              </w:rPr>
              <w:t>202</w:t>
            </w:r>
            <w:r>
              <w:rPr>
                <w:rFonts w:hint="eastAsia" w:cs="Times New Roman"/>
                <w:color w:val="auto"/>
                <w:sz w:val="24"/>
                <w:highlight w:val="none"/>
                <w:lang w:val="en-US" w:eastAsia="zh-CN"/>
              </w:rPr>
              <w:t>5年5月6日出具的监测报告（报告编号：H250429142a），现有项目厂界噪声检测结果见下表。</w:t>
            </w:r>
          </w:p>
          <w:p w14:paraId="076A6FA4">
            <w:pPr>
              <w:numPr>
                <w:ilvl w:val="0"/>
                <w:numId w:val="12"/>
              </w:numPr>
              <w:adjustRightInd w:val="0"/>
              <w:snapToGrid w:val="0"/>
              <w:spacing w:line="360" w:lineRule="auto"/>
              <w:jc w:val="center"/>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现有项目噪声检测情况一览表</w:t>
            </w:r>
          </w:p>
          <w:tbl>
            <w:tblPr>
              <w:tblStyle w:val="24"/>
              <w:tblW w:w="792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982"/>
              <w:gridCol w:w="1982"/>
              <w:gridCol w:w="1982"/>
            </w:tblGrid>
            <w:tr w14:paraId="4CD4D1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81" w:type="dxa"/>
                  <w:tcBorders>
                    <w:tl2br w:val="nil"/>
                    <w:tr2bl w:val="nil"/>
                  </w:tcBorders>
                  <w:vAlign w:val="center"/>
                </w:tcPr>
                <w:p w14:paraId="03E3DD77">
                  <w:pPr>
                    <w:widowControl/>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检测点位</w:t>
                  </w:r>
                </w:p>
              </w:tc>
              <w:tc>
                <w:tcPr>
                  <w:tcW w:w="1982" w:type="dxa"/>
                  <w:tcBorders>
                    <w:tl2br w:val="nil"/>
                    <w:tr2bl w:val="nil"/>
                  </w:tcBorders>
                  <w:vAlign w:val="center"/>
                </w:tcPr>
                <w:p w14:paraId="785FC021">
                  <w:pPr>
                    <w:widowControl/>
                    <w:spacing w:line="240" w:lineRule="auto"/>
                    <w:jc w:val="center"/>
                    <w:rPr>
                      <w:rFonts w:hint="eastAsia"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检测结果</w:t>
                  </w:r>
                </w:p>
                <w:p w14:paraId="51F7C04F">
                  <w:pPr>
                    <w:widowControl/>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昼间</w:t>
                  </w:r>
                  <w:r>
                    <w:rPr>
                      <w:rFonts w:hint="default" w:ascii="Times New Roman" w:hAnsi="Times New Roman" w:eastAsia="宋体" w:cs="Times New Roman"/>
                      <w:b/>
                      <w:bCs/>
                      <w:color w:val="auto"/>
                      <w:kern w:val="0"/>
                      <w:sz w:val="20"/>
                      <w:szCs w:val="20"/>
                      <w:lang w:val="en-US" w:eastAsia="zh-CN" w:bidi="ar"/>
                    </w:rPr>
                    <w:t>dB</w:t>
                  </w:r>
                  <w:r>
                    <w:rPr>
                      <w:rFonts w:hint="eastAsia" w:ascii="宋体" w:hAnsi="宋体" w:eastAsia="宋体" w:cs="宋体"/>
                      <w:b/>
                      <w:bCs/>
                      <w:color w:val="auto"/>
                      <w:kern w:val="0"/>
                      <w:sz w:val="20"/>
                      <w:szCs w:val="20"/>
                      <w:lang w:val="en-US" w:eastAsia="zh-CN" w:bidi="ar"/>
                    </w:rPr>
                    <w:t>（</w:t>
                  </w:r>
                  <w:r>
                    <w:rPr>
                      <w:rFonts w:hint="default" w:ascii="Times New Roman" w:hAnsi="Times New Roman" w:eastAsia="宋体" w:cs="Times New Roman"/>
                      <w:b/>
                      <w:bCs/>
                      <w:color w:val="auto"/>
                      <w:kern w:val="0"/>
                      <w:sz w:val="20"/>
                      <w:szCs w:val="20"/>
                      <w:lang w:val="en-US" w:eastAsia="zh-CN" w:bidi="ar"/>
                    </w:rPr>
                    <w:t>A</w:t>
                  </w:r>
                  <w:r>
                    <w:rPr>
                      <w:rFonts w:hint="eastAsia" w:ascii="宋体" w:hAnsi="宋体" w:eastAsia="宋体" w:cs="宋体"/>
                      <w:b/>
                      <w:bCs/>
                      <w:color w:val="auto"/>
                      <w:kern w:val="0"/>
                      <w:sz w:val="20"/>
                      <w:szCs w:val="20"/>
                      <w:lang w:val="en-US" w:eastAsia="zh-CN" w:bidi="ar"/>
                    </w:rPr>
                    <w:t>）</w:t>
                  </w:r>
                </w:p>
              </w:tc>
              <w:tc>
                <w:tcPr>
                  <w:tcW w:w="1982" w:type="dxa"/>
                  <w:tcBorders>
                    <w:tl2br w:val="nil"/>
                    <w:tr2bl w:val="nil"/>
                  </w:tcBorders>
                  <w:vAlign w:val="center"/>
                </w:tcPr>
                <w:p w14:paraId="2B2A161A">
                  <w:pPr>
                    <w:widowControl/>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标准限值</w:t>
                  </w:r>
                </w:p>
              </w:tc>
              <w:tc>
                <w:tcPr>
                  <w:tcW w:w="1982" w:type="dxa"/>
                  <w:tcBorders>
                    <w:tl2br w:val="nil"/>
                    <w:tr2bl w:val="nil"/>
                  </w:tcBorders>
                  <w:vAlign w:val="center"/>
                </w:tcPr>
                <w:p w14:paraId="1DA49FD0">
                  <w:pPr>
                    <w:widowControl/>
                    <w:spacing w:line="240" w:lineRule="auto"/>
                    <w:jc w:val="center"/>
                    <w:rPr>
                      <w:rFonts w:hint="eastAsia" w:cs="Times New Roman"/>
                      <w:b/>
                      <w:bCs/>
                      <w:color w:val="auto"/>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达标情况</w:t>
                  </w:r>
                </w:p>
              </w:tc>
            </w:tr>
            <w:tr w14:paraId="750195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81" w:type="dxa"/>
                  <w:tcBorders>
                    <w:tl2br w:val="nil"/>
                    <w:tr2bl w:val="nil"/>
                  </w:tcBorders>
                  <w:vAlign w:val="center"/>
                </w:tcPr>
                <w:p w14:paraId="60B84E55">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南厂界</w:t>
                  </w:r>
                </w:p>
              </w:tc>
              <w:tc>
                <w:tcPr>
                  <w:tcW w:w="1982" w:type="dxa"/>
                  <w:tcBorders>
                    <w:tl2br w:val="nil"/>
                    <w:tr2bl w:val="nil"/>
                  </w:tcBorders>
                  <w:vAlign w:val="center"/>
                </w:tcPr>
                <w:p w14:paraId="5A71F8B3">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53</w:t>
                  </w:r>
                </w:p>
              </w:tc>
              <w:tc>
                <w:tcPr>
                  <w:tcW w:w="1982" w:type="dxa"/>
                  <w:vMerge w:val="restart"/>
                  <w:tcBorders>
                    <w:tl2br w:val="nil"/>
                    <w:tr2bl w:val="nil"/>
                  </w:tcBorders>
                  <w:vAlign w:val="center"/>
                </w:tcPr>
                <w:p w14:paraId="2BD0C7A0">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65</w:t>
                  </w:r>
                </w:p>
              </w:tc>
              <w:tc>
                <w:tcPr>
                  <w:tcW w:w="1982" w:type="dxa"/>
                  <w:tcBorders>
                    <w:tl2br w:val="nil"/>
                    <w:tr2bl w:val="nil"/>
                  </w:tcBorders>
                  <w:vAlign w:val="center"/>
                </w:tcPr>
                <w:p w14:paraId="7172DF16">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3BEB82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81" w:type="dxa"/>
                  <w:tcBorders>
                    <w:tl2br w:val="nil"/>
                    <w:tr2bl w:val="nil"/>
                  </w:tcBorders>
                  <w:vAlign w:val="center"/>
                </w:tcPr>
                <w:p w14:paraId="1B341F9E">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西厂界</w:t>
                  </w:r>
                </w:p>
              </w:tc>
              <w:tc>
                <w:tcPr>
                  <w:tcW w:w="1982" w:type="dxa"/>
                  <w:tcBorders>
                    <w:tl2br w:val="nil"/>
                    <w:tr2bl w:val="nil"/>
                  </w:tcBorders>
                  <w:vAlign w:val="center"/>
                </w:tcPr>
                <w:p w14:paraId="19B704FF">
                  <w:pPr>
                    <w:widowControl/>
                    <w:spacing w:line="240" w:lineRule="auto"/>
                    <w:jc w:val="center"/>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54</w:t>
                  </w:r>
                </w:p>
              </w:tc>
              <w:tc>
                <w:tcPr>
                  <w:tcW w:w="1982" w:type="dxa"/>
                  <w:vMerge w:val="continue"/>
                  <w:tcBorders>
                    <w:tl2br w:val="nil"/>
                    <w:tr2bl w:val="nil"/>
                  </w:tcBorders>
                  <w:vAlign w:val="center"/>
                </w:tcPr>
                <w:p w14:paraId="761BE7FC">
                  <w:pPr>
                    <w:widowControl/>
                    <w:spacing w:line="240" w:lineRule="auto"/>
                    <w:jc w:val="center"/>
                    <w:rPr>
                      <w:rFonts w:hint="eastAsia" w:cs="Times New Roman"/>
                      <w:color w:val="auto"/>
                      <w:sz w:val="21"/>
                      <w:szCs w:val="21"/>
                      <w:highlight w:val="none"/>
                      <w:vertAlign w:val="baseline"/>
                      <w:lang w:val="en-US" w:eastAsia="zh-CN"/>
                    </w:rPr>
                  </w:pPr>
                </w:p>
              </w:tc>
              <w:tc>
                <w:tcPr>
                  <w:tcW w:w="1982" w:type="dxa"/>
                  <w:tcBorders>
                    <w:tl2br w:val="nil"/>
                    <w:tr2bl w:val="nil"/>
                  </w:tcBorders>
                  <w:vAlign w:val="center"/>
                </w:tcPr>
                <w:p w14:paraId="46219E96">
                  <w:pPr>
                    <w:widowControl/>
                    <w:spacing w:line="240" w:lineRule="auto"/>
                    <w:jc w:val="center"/>
                    <w:rPr>
                      <w:rFonts w:hint="eastAsia"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达标</w:t>
                  </w:r>
                </w:p>
              </w:tc>
            </w:tr>
            <w:tr w14:paraId="205777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27" w:type="dxa"/>
                  <w:gridSpan w:val="4"/>
                  <w:tcBorders>
                    <w:tl2br w:val="nil"/>
                    <w:tr2bl w:val="nil"/>
                  </w:tcBorders>
                  <w:vAlign w:val="center"/>
                </w:tcPr>
                <w:p w14:paraId="0040D064">
                  <w:pPr>
                    <w:widowControl/>
                    <w:spacing w:line="240" w:lineRule="auto"/>
                    <w:jc w:val="both"/>
                    <w:rPr>
                      <w:rFonts w:hint="default"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现有项目北侧、东侧在建筑内，不具备检测条件。</w:t>
                  </w:r>
                </w:p>
              </w:tc>
            </w:tr>
          </w:tbl>
          <w:p w14:paraId="23417622">
            <w:pPr>
              <w:keepNext w:val="0"/>
              <w:keepLines w:val="0"/>
              <w:pageBreakBefore w:val="0"/>
              <w:widowControl/>
              <w:kinsoku/>
              <w:wordWrap w:val="0"/>
              <w:overflowPunct/>
              <w:topLinePunct w:val="0"/>
              <w:autoSpaceDE/>
              <w:autoSpaceDN/>
              <w:bidi w:val="0"/>
              <w:adjustRightInd/>
              <w:snapToGrid/>
              <w:spacing w:line="360" w:lineRule="auto"/>
              <w:ind w:firstLine="480" w:firstLineChars="200"/>
              <w:jc w:val="left"/>
              <w:textAlignment w:val="auto"/>
              <w:rPr>
                <w:rFonts w:hint="eastAsia" w:cs="Times New Roman"/>
                <w:color w:val="auto"/>
                <w:sz w:val="24"/>
                <w:highlight w:val="none"/>
                <w:lang w:val="en-US" w:eastAsia="zh-CN"/>
              </w:rPr>
            </w:pPr>
            <w:r>
              <w:rPr>
                <w:rFonts w:hint="eastAsia" w:cs="Times New Roman"/>
                <w:color w:val="auto"/>
                <w:sz w:val="24"/>
                <w:highlight w:val="none"/>
                <w:lang w:val="en-US" w:eastAsia="zh-CN"/>
              </w:rPr>
              <w:t>现有项目边界噪声满足《工业企业厂界环境噪声排放标准》（</w:t>
            </w:r>
            <w:r>
              <w:rPr>
                <w:rFonts w:hint="default" w:cs="Times New Roman"/>
                <w:color w:val="auto"/>
                <w:sz w:val="24"/>
                <w:highlight w:val="none"/>
                <w:lang w:val="en-US" w:eastAsia="zh-CN"/>
              </w:rPr>
              <w:t>GB12348-2008</w:t>
            </w:r>
            <w:r>
              <w:rPr>
                <w:rFonts w:hint="eastAsia" w:cs="Times New Roman"/>
                <w:color w:val="auto"/>
                <w:sz w:val="24"/>
                <w:highlight w:val="none"/>
                <w:lang w:val="en-US" w:eastAsia="zh-CN"/>
              </w:rPr>
              <w:t>）</w:t>
            </w:r>
            <w:r>
              <w:rPr>
                <w:rFonts w:hint="default" w:cs="Times New Roman"/>
                <w:color w:val="auto"/>
                <w:sz w:val="24"/>
                <w:highlight w:val="none"/>
                <w:lang w:val="en-US" w:eastAsia="zh-CN"/>
              </w:rPr>
              <w:t>3</w:t>
            </w:r>
            <w:r>
              <w:rPr>
                <w:rFonts w:hint="eastAsia" w:cs="Times New Roman"/>
                <w:color w:val="auto"/>
                <w:sz w:val="24"/>
                <w:highlight w:val="none"/>
                <w:lang w:val="en-US" w:eastAsia="zh-CN"/>
              </w:rPr>
              <w:t>类标准要求。</w:t>
            </w:r>
          </w:p>
          <w:p w14:paraId="0F23F8FE">
            <w:pPr>
              <w:widowControl/>
              <w:numPr>
                <w:ilvl w:val="0"/>
                <w:numId w:val="0"/>
              </w:numPr>
              <w:spacing w:line="360" w:lineRule="auto"/>
              <w:ind w:leftChars="200"/>
              <w:jc w:val="left"/>
              <w:rPr>
                <w:rFonts w:hint="eastAsia" w:cs="Times New Roman"/>
                <w:b w:val="0"/>
                <w:bCs w:val="0"/>
                <w:color w:val="auto"/>
                <w:sz w:val="24"/>
                <w:highlight w:val="none"/>
                <w:lang w:val="en-US" w:eastAsia="zh-CN"/>
              </w:rPr>
            </w:pPr>
            <w:r>
              <w:rPr>
                <w:rFonts w:hint="eastAsia" w:cs="Times New Roman"/>
                <w:b w:val="0"/>
                <w:bCs w:val="0"/>
                <w:color w:val="auto"/>
                <w:sz w:val="24"/>
                <w:highlight w:val="none"/>
                <w:lang w:val="en-US" w:eastAsia="zh-CN"/>
              </w:rPr>
              <w:t>（4）固体废物</w:t>
            </w:r>
          </w:p>
          <w:p w14:paraId="4B425C9C">
            <w:pPr>
              <w:widowControl/>
              <w:numPr>
                <w:ilvl w:val="0"/>
                <w:numId w:val="0"/>
              </w:numPr>
              <w:spacing w:line="360" w:lineRule="auto"/>
              <w:ind w:firstLine="480" w:firstLineChars="200"/>
              <w:jc w:val="left"/>
              <w:rPr>
                <w:rFonts w:hint="default" w:cs="Times New Roman"/>
                <w:b w:val="0"/>
                <w:bCs w:val="0"/>
                <w:color w:val="auto"/>
                <w:sz w:val="24"/>
                <w:highlight w:val="none"/>
                <w:lang w:val="en-US" w:eastAsia="zh-CN"/>
              </w:rPr>
            </w:pPr>
            <w:r>
              <w:rPr>
                <w:rFonts w:hint="eastAsia" w:cs="Times New Roman"/>
                <w:b w:val="0"/>
                <w:bCs w:val="0"/>
                <w:color w:val="auto"/>
                <w:sz w:val="24"/>
                <w:highlight w:val="none"/>
                <w:lang w:val="en-US" w:eastAsia="zh-CN"/>
              </w:rPr>
              <w:t>现有项目固体废物产生情况见下表。</w:t>
            </w:r>
          </w:p>
          <w:p w14:paraId="39A24E79">
            <w:pPr>
              <w:numPr>
                <w:ilvl w:val="0"/>
                <w:numId w:val="12"/>
              </w:numPr>
              <w:adjustRightInd w:val="0"/>
              <w:snapToGrid w:val="0"/>
              <w:spacing w:line="360" w:lineRule="auto"/>
              <w:jc w:val="center"/>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现有项目固体废物产生情况表</w:t>
            </w:r>
          </w:p>
          <w:tbl>
            <w:tblPr>
              <w:tblStyle w:val="24"/>
              <w:tblW w:w="792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56"/>
              <w:gridCol w:w="1331"/>
              <w:gridCol w:w="993"/>
              <w:gridCol w:w="1134"/>
              <w:gridCol w:w="971"/>
              <w:gridCol w:w="1703"/>
            </w:tblGrid>
            <w:tr w14:paraId="03C45E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9" w:type="dxa"/>
                  <w:tcBorders>
                    <w:tl2br w:val="nil"/>
                    <w:tr2bl w:val="nil"/>
                  </w:tcBorders>
                  <w:vAlign w:val="center"/>
                </w:tcPr>
                <w:p w14:paraId="485C6DB2">
                  <w:pPr>
                    <w:widowControl/>
                    <w:spacing w:line="240" w:lineRule="auto"/>
                    <w:jc w:val="both"/>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1156" w:type="dxa"/>
                  <w:tcBorders>
                    <w:tl2br w:val="nil"/>
                    <w:tr2bl w:val="nil"/>
                  </w:tcBorders>
                  <w:vAlign w:val="center"/>
                </w:tcPr>
                <w:p w14:paraId="57998B9A">
                  <w:pPr>
                    <w:keepNext w:val="0"/>
                    <w:keepLines w:val="0"/>
                    <w:widowControl/>
                    <w:suppressLineNumbers w:val="0"/>
                    <w:jc w:val="center"/>
                    <w:rPr>
                      <w:rFonts w:hint="default" w:cs="Times New Roman"/>
                      <w:b/>
                      <w:bCs/>
                      <w:color w:val="auto"/>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名称</w:t>
                  </w:r>
                </w:p>
              </w:tc>
              <w:tc>
                <w:tcPr>
                  <w:tcW w:w="1331" w:type="dxa"/>
                  <w:tcBorders>
                    <w:tl2br w:val="nil"/>
                    <w:tr2bl w:val="nil"/>
                  </w:tcBorders>
                  <w:vAlign w:val="center"/>
                </w:tcPr>
                <w:p w14:paraId="70A07E7B">
                  <w:pPr>
                    <w:widowControl/>
                    <w:spacing w:line="240" w:lineRule="auto"/>
                    <w:jc w:val="center"/>
                    <w:rPr>
                      <w:rFonts w:hint="default" w:cs="Times New Roman"/>
                      <w:b/>
                      <w:bCs/>
                      <w:color w:val="auto"/>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类别</w:t>
                  </w:r>
                </w:p>
              </w:tc>
              <w:tc>
                <w:tcPr>
                  <w:tcW w:w="993" w:type="dxa"/>
                  <w:tcBorders>
                    <w:tl2br w:val="nil"/>
                    <w:tr2bl w:val="nil"/>
                  </w:tcBorders>
                  <w:vAlign w:val="center"/>
                </w:tcPr>
                <w:p w14:paraId="5BCE4945">
                  <w:pPr>
                    <w:keepNext w:val="0"/>
                    <w:keepLines w:val="0"/>
                    <w:widowControl/>
                    <w:suppressLineNumbers w:val="0"/>
                    <w:jc w:val="center"/>
                    <w:rPr>
                      <w:rFonts w:hint="default" w:cs="Times New Roman"/>
                      <w:b/>
                      <w:bCs/>
                      <w:color w:val="auto"/>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产生量</w:t>
                  </w:r>
                  <w:r>
                    <w:rPr>
                      <w:rFonts w:hint="default" w:ascii="Times New Roman" w:hAnsi="Times New Roman" w:eastAsia="宋体" w:cs="Times New Roman"/>
                      <w:b/>
                      <w:bCs/>
                      <w:color w:val="auto"/>
                      <w:kern w:val="0"/>
                      <w:sz w:val="21"/>
                      <w:szCs w:val="21"/>
                      <w:lang w:val="en-US" w:eastAsia="zh-CN" w:bidi="ar"/>
                    </w:rPr>
                    <w:t>t/a</w:t>
                  </w:r>
                </w:p>
              </w:tc>
              <w:tc>
                <w:tcPr>
                  <w:tcW w:w="1134" w:type="dxa"/>
                  <w:tcBorders>
                    <w:tl2br w:val="nil"/>
                    <w:tr2bl w:val="nil"/>
                  </w:tcBorders>
                  <w:vAlign w:val="center"/>
                </w:tcPr>
                <w:p w14:paraId="4D12E585">
                  <w:pPr>
                    <w:keepNext w:val="0"/>
                    <w:keepLines w:val="0"/>
                    <w:widowControl/>
                    <w:suppressLineNumbers w:val="0"/>
                    <w:jc w:val="center"/>
                    <w:rPr>
                      <w:rFonts w:hint="default" w:cs="Times New Roman"/>
                      <w:b/>
                      <w:bCs/>
                      <w:color w:val="auto"/>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产生工序</w:t>
                  </w:r>
                </w:p>
              </w:tc>
              <w:tc>
                <w:tcPr>
                  <w:tcW w:w="971" w:type="dxa"/>
                  <w:tcBorders>
                    <w:tl2br w:val="nil"/>
                    <w:tr2bl w:val="nil"/>
                  </w:tcBorders>
                  <w:vAlign w:val="center"/>
                </w:tcPr>
                <w:p w14:paraId="121347C3">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产废</w:t>
                  </w:r>
                </w:p>
                <w:p w14:paraId="07BF7511">
                  <w:pPr>
                    <w:keepNext w:val="0"/>
                    <w:keepLines w:val="0"/>
                    <w:widowControl/>
                    <w:suppressLineNumbers w:val="0"/>
                    <w:jc w:val="center"/>
                    <w:rPr>
                      <w:rFonts w:hint="default" w:cs="Times New Roman"/>
                      <w:b/>
                      <w:bCs/>
                      <w:color w:val="auto"/>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周期</w:t>
                  </w:r>
                </w:p>
              </w:tc>
              <w:tc>
                <w:tcPr>
                  <w:tcW w:w="1703" w:type="dxa"/>
                  <w:tcBorders>
                    <w:tl2br w:val="nil"/>
                    <w:tr2bl w:val="nil"/>
                  </w:tcBorders>
                  <w:vAlign w:val="center"/>
                </w:tcPr>
                <w:p w14:paraId="796611AB">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污染防治</w:t>
                  </w:r>
                </w:p>
                <w:p w14:paraId="2D4EE4C7">
                  <w:pPr>
                    <w:keepNext w:val="0"/>
                    <w:keepLines w:val="0"/>
                    <w:widowControl/>
                    <w:suppressLineNumbers w:val="0"/>
                    <w:jc w:val="center"/>
                    <w:rPr>
                      <w:rFonts w:hint="default" w:cs="Times New Roman"/>
                      <w:b/>
                      <w:bCs/>
                      <w:color w:val="auto"/>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措施</w:t>
                  </w:r>
                </w:p>
              </w:tc>
            </w:tr>
            <w:tr w14:paraId="7796A2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9" w:type="dxa"/>
                  <w:tcBorders>
                    <w:tl2br w:val="nil"/>
                    <w:tr2bl w:val="nil"/>
                  </w:tcBorders>
                  <w:vAlign w:val="center"/>
                </w:tcPr>
                <w:p w14:paraId="65E55681">
                  <w:pPr>
                    <w:widowControl/>
                    <w:spacing w:line="240" w:lineRule="auto"/>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1</w:t>
                  </w:r>
                </w:p>
              </w:tc>
              <w:tc>
                <w:tcPr>
                  <w:tcW w:w="1156" w:type="dxa"/>
                  <w:tcBorders>
                    <w:tl2br w:val="nil"/>
                    <w:tr2bl w:val="nil"/>
                  </w:tcBorders>
                  <w:shd w:val="clear" w:color="auto" w:fill="auto"/>
                  <w:vAlign w:val="center"/>
                </w:tcPr>
                <w:p w14:paraId="6B684940">
                  <w:pPr>
                    <w:pStyle w:val="61"/>
                    <w:shd w:val="clear" w:color="auto" w:fill="FFFFFF"/>
                    <w:spacing w:before="0" w:beforeAutospacing="0" w:after="0" w:afterAutospacing="0"/>
                    <w:jc w:val="center"/>
                    <w:rPr>
                      <w:rFonts w:hint="default" w:ascii="Times New Roman" w:hAnsi="Times New Roman" w:eastAsia="宋体" w:cs="Times New Roman"/>
                      <w:b/>
                      <w:bCs/>
                      <w:color w:val="auto"/>
                      <w:kern w:val="0"/>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检测废液</w:t>
                  </w:r>
                </w:p>
              </w:tc>
              <w:tc>
                <w:tcPr>
                  <w:tcW w:w="1331" w:type="dxa"/>
                  <w:tcBorders>
                    <w:tl2br w:val="nil"/>
                    <w:tr2bl w:val="nil"/>
                  </w:tcBorders>
                  <w:shd w:val="clear" w:color="auto" w:fill="auto"/>
                  <w:vAlign w:val="center"/>
                </w:tcPr>
                <w:p w14:paraId="6F824F5F">
                  <w:pPr>
                    <w:pStyle w:val="61"/>
                    <w:shd w:val="clear" w:color="auto" w:fill="FFFFFF"/>
                    <w:spacing w:before="0" w:beforeAutospacing="0" w:after="0" w:afterAutospacing="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cs="Times New Roman"/>
                      <w:bCs/>
                      <w:color w:val="auto"/>
                      <w:sz w:val="21"/>
                      <w:szCs w:val="21"/>
                      <w:highlight w:val="none"/>
                    </w:rPr>
                    <w:t>HW49其他废物</w:t>
                  </w:r>
                </w:p>
              </w:tc>
              <w:tc>
                <w:tcPr>
                  <w:tcW w:w="993" w:type="dxa"/>
                  <w:tcBorders>
                    <w:tl2br w:val="nil"/>
                    <w:tr2bl w:val="nil"/>
                  </w:tcBorders>
                  <w:vAlign w:val="center"/>
                </w:tcPr>
                <w:p w14:paraId="480E5B97">
                  <w:pPr>
                    <w:widowControl/>
                    <w:spacing w:line="240" w:lineRule="auto"/>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1134" w:type="dxa"/>
                  <w:tcBorders>
                    <w:tl2br w:val="nil"/>
                    <w:tr2bl w:val="nil"/>
                  </w:tcBorders>
                  <w:shd w:val="clear" w:color="auto" w:fill="auto"/>
                  <w:vAlign w:val="center"/>
                </w:tcPr>
                <w:p w14:paraId="011DC685">
                  <w:pPr>
                    <w:pStyle w:val="61"/>
                    <w:shd w:val="clear" w:color="auto" w:fill="FFFFFF"/>
                    <w:spacing w:before="0" w:beforeAutospacing="0" w:after="0" w:afterAutospacing="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cs="Times New Roman"/>
                      <w:bCs/>
                      <w:color w:val="auto"/>
                      <w:sz w:val="21"/>
                      <w:szCs w:val="21"/>
                      <w:highlight w:val="none"/>
                    </w:rPr>
                    <w:t>实验过程</w:t>
                  </w:r>
                </w:p>
              </w:tc>
              <w:tc>
                <w:tcPr>
                  <w:tcW w:w="971" w:type="dxa"/>
                  <w:tcBorders>
                    <w:tl2br w:val="nil"/>
                    <w:tr2bl w:val="nil"/>
                  </w:tcBorders>
                  <w:shd w:val="clear" w:color="auto" w:fill="auto"/>
                  <w:vAlign w:val="center"/>
                </w:tcPr>
                <w:p w14:paraId="37CD9CF4">
                  <w:pPr>
                    <w:pStyle w:val="61"/>
                    <w:shd w:val="clear" w:color="auto" w:fill="FFFFFF"/>
                    <w:spacing w:before="0" w:beforeAutospacing="0" w:after="0" w:afterAutospacing="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每天</w:t>
                  </w:r>
                </w:p>
              </w:tc>
              <w:tc>
                <w:tcPr>
                  <w:tcW w:w="1703" w:type="dxa"/>
                  <w:vMerge w:val="restart"/>
                  <w:tcBorders>
                    <w:tl2br w:val="nil"/>
                    <w:tr2bl w:val="nil"/>
                  </w:tcBorders>
                  <w:vAlign w:val="center"/>
                </w:tcPr>
                <w:p w14:paraId="54FEFFF8">
                  <w:pPr>
                    <w:widowControl/>
                    <w:spacing w:line="240" w:lineRule="auto"/>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建设规范的危险废物暂存间，规范收集、分类贮存，定期委托北京鑫兴众成环境科技有限责任公司处置。</w:t>
                  </w:r>
                </w:p>
              </w:tc>
            </w:tr>
            <w:tr w14:paraId="755E10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9" w:type="dxa"/>
                  <w:tcBorders>
                    <w:tl2br w:val="nil"/>
                    <w:tr2bl w:val="nil"/>
                  </w:tcBorders>
                  <w:vAlign w:val="center"/>
                </w:tcPr>
                <w:p w14:paraId="3DC18584">
                  <w:pPr>
                    <w:widowControl/>
                    <w:spacing w:line="240" w:lineRule="auto"/>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2</w:t>
                  </w:r>
                </w:p>
              </w:tc>
              <w:tc>
                <w:tcPr>
                  <w:tcW w:w="1156" w:type="dxa"/>
                  <w:tcBorders>
                    <w:tl2br w:val="nil"/>
                    <w:tr2bl w:val="nil"/>
                  </w:tcBorders>
                  <w:shd w:val="clear" w:color="auto" w:fill="auto"/>
                  <w:vAlign w:val="center"/>
                </w:tcPr>
                <w:p w14:paraId="777B82F3">
                  <w:pPr>
                    <w:pStyle w:val="61"/>
                    <w:shd w:val="clear" w:color="auto" w:fill="FFFFFF"/>
                    <w:spacing w:before="0" w:beforeAutospacing="0" w:after="0" w:afterAutospacing="0"/>
                    <w:jc w:val="center"/>
                    <w:rPr>
                      <w:rFonts w:hint="eastAsia" w:ascii="Times New Roman" w:hAnsi="Times New Roman" w:eastAsia="宋体" w:cs="Times New Roman"/>
                      <w:bCs/>
                      <w:color w:val="auto"/>
                      <w:kern w:val="0"/>
                      <w:sz w:val="21"/>
                      <w:szCs w:val="21"/>
                      <w:highlight w:val="none"/>
                      <w:lang w:val="en-US" w:eastAsia="zh-CN" w:bidi="ar-SA"/>
                    </w:rPr>
                  </w:pPr>
                  <w:r>
                    <w:rPr>
                      <w:rFonts w:ascii="Times New Roman" w:hAnsi="Times New Roman" w:cs="Times New Roman"/>
                      <w:bCs/>
                      <w:color w:val="auto"/>
                      <w:sz w:val="21"/>
                      <w:szCs w:val="21"/>
                      <w:highlight w:val="none"/>
                    </w:rPr>
                    <w:t>废试剂</w:t>
                  </w:r>
                  <w:r>
                    <w:rPr>
                      <w:rFonts w:hint="eastAsia" w:ascii="Times New Roman" w:hAnsi="Times New Roman" w:cs="Times New Roman"/>
                      <w:bCs/>
                      <w:color w:val="auto"/>
                      <w:sz w:val="21"/>
                      <w:szCs w:val="21"/>
                      <w:highlight w:val="none"/>
                      <w:lang w:val="en-US" w:eastAsia="zh-CN"/>
                    </w:rPr>
                    <w:t>瓶</w:t>
                  </w:r>
                </w:p>
              </w:tc>
              <w:tc>
                <w:tcPr>
                  <w:tcW w:w="1331" w:type="dxa"/>
                  <w:tcBorders>
                    <w:tl2br w:val="nil"/>
                    <w:tr2bl w:val="nil"/>
                  </w:tcBorders>
                  <w:shd w:val="clear" w:color="auto" w:fill="auto"/>
                  <w:vAlign w:val="center"/>
                </w:tcPr>
                <w:p w14:paraId="7A79AD18">
                  <w:pPr>
                    <w:pStyle w:val="61"/>
                    <w:shd w:val="clear" w:color="auto" w:fill="FFFFFF"/>
                    <w:spacing w:before="0" w:beforeAutospacing="0" w:after="0" w:afterAutospacing="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cs="Times New Roman"/>
                      <w:bCs/>
                      <w:color w:val="auto"/>
                      <w:sz w:val="21"/>
                      <w:szCs w:val="21"/>
                      <w:highlight w:val="none"/>
                    </w:rPr>
                    <w:t>HW49其他废物</w:t>
                  </w:r>
                </w:p>
              </w:tc>
              <w:tc>
                <w:tcPr>
                  <w:tcW w:w="993" w:type="dxa"/>
                  <w:tcBorders>
                    <w:tl2br w:val="nil"/>
                    <w:tr2bl w:val="nil"/>
                  </w:tcBorders>
                  <w:vAlign w:val="center"/>
                </w:tcPr>
                <w:p w14:paraId="034D2F58">
                  <w:pPr>
                    <w:widowControl/>
                    <w:spacing w:line="240" w:lineRule="auto"/>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0.3</w:t>
                  </w:r>
                </w:p>
              </w:tc>
              <w:tc>
                <w:tcPr>
                  <w:tcW w:w="1134" w:type="dxa"/>
                  <w:tcBorders>
                    <w:tl2br w:val="nil"/>
                    <w:tr2bl w:val="nil"/>
                  </w:tcBorders>
                  <w:shd w:val="clear" w:color="auto" w:fill="auto"/>
                  <w:vAlign w:val="center"/>
                </w:tcPr>
                <w:p w14:paraId="4A8AF2E7">
                  <w:pPr>
                    <w:pStyle w:val="61"/>
                    <w:shd w:val="clear" w:color="auto" w:fill="FFFFFF"/>
                    <w:spacing w:before="0" w:beforeAutospacing="0" w:after="0" w:afterAutospacing="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cs="Times New Roman"/>
                      <w:bCs/>
                      <w:color w:val="auto"/>
                      <w:sz w:val="21"/>
                      <w:szCs w:val="21"/>
                      <w:highlight w:val="none"/>
                    </w:rPr>
                    <w:t>实验过程</w:t>
                  </w:r>
                </w:p>
              </w:tc>
              <w:tc>
                <w:tcPr>
                  <w:tcW w:w="971" w:type="dxa"/>
                  <w:tcBorders>
                    <w:tl2br w:val="nil"/>
                    <w:tr2bl w:val="nil"/>
                  </w:tcBorders>
                  <w:shd w:val="clear" w:color="auto" w:fill="auto"/>
                  <w:vAlign w:val="center"/>
                </w:tcPr>
                <w:p w14:paraId="7F87EFF3">
                  <w:pPr>
                    <w:pStyle w:val="61"/>
                    <w:shd w:val="clear" w:color="auto" w:fill="FFFFFF"/>
                    <w:spacing w:before="0" w:beforeAutospacing="0" w:after="0" w:afterAutospacing="0"/>
                    <w:jc w:val="center"/>
                    <w:rPr>
                      <w:rFonts w:hint="eastAsia"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每天</w:t>
                  </w:r>
                </w:p>
              </w:tc>
              <w:tc>
                <w:tcPr>
                  <w:tcW w:w="1703" w:type="dxa"/>
                  <w:vMerge w:val="continue"/>
                  <w:tcBorders>
                    <w:tl2br w:val="nil"/>
                    <w:tr2bl w:val="nil"/>
                  </w:tcBorders>
                  <w:vAlign w:val="center"/>
                </w:tcPr>
                <w:p w14:paraId="0BEE1B7A">
                  <w:pPr>
                    <w:widowControl/>
                    <w:spacing w:line="240" w:lineRule="auto"/>
                    <w:jc w:val="center"/>
                    <w:rPr>
                      <w:rFonts w:hint="default" w:cs="Times New Roman"/>
                      <w:b w:val="0"/>
                      <w:bCs w:val="0"/>
                      <w:color w:val="auto"/>
                      <w:sz w:val="21"/>
                      <w:szCs w:val="21"/>
                      <w:highlight w:val="none"/>
                      <w:vertAlign w:val="baseline"/>
                      <w:lang w:val="en-US" w:eastAsia="zh-CN"/>
                    </w:rPr>
                  </w:pPr>
                </w:p>
              </w:tc>
            </w:tr>
            <w:tr w14:paraId="7FB0FA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39" w:type="dxa"/>
                  <w:tcBorders>
                    <w:tl2br w:val="nil"/>
                    <w:tr2bl w:val="nil"/>
                  </w:tcBorders>
                  <w:vAlign w:val="center"/>
                </w:tcPr>
                <w:p w14:paraId="32978BA4">
                  <w:pPr>
                    <w:widowControl/>
                    <w:spacing w:line="240" w:lineRule="auto"/>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3</w:t>
                  </w:r>
                </w:p>
              </w:tc>
              <w:tc>
                <w:tcPr>
                  <w:tcW w:w="1156" w:type="dxa"/>
                  <w:tcBorders>
                    <w:tl2br w:val="nil"/>
                    <w:tr2bl w:val="nil"/>
                  </w:tcBorders>
                  <w:shd w:val="clear" w:color="auto" w:fill="auto"/>
                  <w:vAlign w:val="center"/>
                </w:tcPr>
                <w:p w14:paraId="3D73582B">
                  <w:pPr>
                    <w:pStyle w:val="61"/>
                    <w:shd w:val="clear" w:color="auto" w:fill="FFFFFF"/>
                    <w:spacing w:before="0" w:beforeAutospacing="0" w:after="0" w:afterAutospacing="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cs="Times New Roman"/>
                      <w:bCs/>
                      <w:color w:val="auto"/>
                      <w:sz w:val="21"/>
                      <w:szCs w:val="21"/>
                      <w:highlight w:val="none"/>
                    </w:rPr>
                    <w:t>废活性炭</w:t>
                  </w:r>
                </w:p>
              </w:tc>
              <w:tc>
                <w:tcPr>
                  <w:tcW w:w="1331" w:type="dxa"/>
                  <w:tcBorders>
                    <w:tl2br w:val="nil"/>
                    <w:tr2bl w:val="nil"/>
                  </w:tcBorders>
                  <w:shd w:val="clear" w:color="auto" w:fill="auto"/>
                  <w:vAlign w:val="center"/>
                </w:tcPr>
                <w:p w14:paraId="1A9CB1D2">
                  <w:pPr>
                    <w:pStyle w:val="61"/>
                    <w:shd w:val="clear" w:color="auto" w:fill="FFFFFF"/>
                    <w:spacing w:before="0" w:beforeAutospacing="0" w:after="0" w:afterAutospacing="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cs="Times New Roman"/>
                      <w:bCs/>
                      <w:color w:val="auto"/>
                      <w:sz w:val="21"/>
                      <w:szCs w:val="21"/>
                      <w:highlight w:val="none"/>
                    </w:rPr>
                    <w:t>HW49其他废物</w:t>
                  </w:r>
                </w:p>
              </w:tc>
              <w:tc>
                <w:tcPr>
                  <w:tcW w:w="993" w:type="dxa"/>
                  <w:tcBorders>
                    <w:tl2br w:val="nil"/>
                    <w:tr2bl w:val="nil"/>
                  </w:tcBorders>
                  <w:vAlign w:val="center"/>
                </w:tcPr>
                <w:p w14:paraId="2DACDC6A">
                  <w:pPr>
                    <w:widowControl/>
                    <w:spacing w:line="240" w:lineRule="auto"/>
                    <w:jc w:val="center"/>
                    <w:rPr>
                      <w:rFonts w:hint="default"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0.5</w:t>
                  </w:r>
                </w:p>
              </w:tc>
              <w:tc>
                <w:tcPr>
                  <w:tcW w:w="1134" w:type="dxa"/>
                  <w:tcBorders>
                    <w:tl2br w:val="nil"/>
                    <w:tr2bl w:val="nil"/>
                  </w:tcBorders>
                  <w:shd w:val="clear" w:color="auto" w:fill="auto"/>
                  <w:vAlign w:val="center"/>
                </w:tcPr>
                <w:p w14:paraId="42C1EBD6">
                  <w:pPr>
                    <w:pStyle w:val="61"/>
                    <w:shd w:val="clear" w:color="auto" w:fill="FFFFFF"/>
                    <w:spacing w:before="0" w:beforeAutospacing="0" w:after="0" w:afterAutospacing="0"/>
                    <w:jc w:val="center"/>
                    <w:rPr>
                      <w:rFonts w:hint="default" w:ascii="Times New Roman" w:hAnsi="Times New Roman" w:eastAsia="宋体" w:cs="Times New Roman"/>
                      <w:bCs/>
                      <w:color w:val="auto"/>
                      <w:kern w:val="0"/>
                      <w:sz w:val="21"/>
                      <w:szCs w:val="21"/>
                      <w:highlight w:val="none"/>
                      <w:lang w:val="en-US" w:eastAsia="zh-CN" w:bidi="ar-SA"/>
                    </w:rPr>
                  </w:pPr>
                  <w:r>
                    <w:rPr>
                      <w:rFonts w:ascii="Times New Roman" w:hAnsi="Times New Roman" w:cs="Times New Roman"/>
                      <w:bCs/>
                      <w:color w:val="auto"/>
                      <w:sz w:val="21"/>
                      <w:szCs w:val="21"/>
                      <w:highlight w:val="none"/>
                    </w:rPr>
                    <w:t>废气处理</w:t>
                  </w:r>
                </w:p>
              </w:tc>
              <w:tc>
                <w:tcPr>
                  <w:tcW w:w="971" w:type="dxa"/>
                  <w:tcBorders>
                    <w:tl2br w:val="nil"/>
                    <w:tr2bl w:val="nil"/>
                  </w:tcBorders>
                  <w:shd w:val="clear" w:color="auto" w:fill="auto"/>
                  <w:vAlign w:val="center"/>
                </w:tcPr>
                <w:p w14:paraId="44220FB0">
                  <w:pPr>
                    <w:pStyle w:val="61"/>
                    <w:shd w:val="clear" w:color="auto" w:fill="FFFFFF"/>
                    <w:spacing w:before="0" w:beforeAutospacing="0" w:after="0" w:afterAutospacing="0"/>
                    <w:jc w:val="center"/>
                    <w:rPr>
                      <w:rFonts w:hint="default" w:ascii="Times New Roman" w:hAnsi="Times New Roman" w:eastAsia="宋体" w:cs="Times New Roman"/>
                      <w:bCs/>
                      <w:color w:val="auto"/>
                      <w:kern w:val="0"/>
                      <w:sz w:val="21"/>
                      <w:szCs w:val="21"/>
                      <w:highlight w:val="none"/>
                      <w:lang w:val="en-US" w:eastAsia="zh-CN" w:bidi="ar-SA"/>
                    </w:rPr>
                  </w:pPr>
                  <w:r>
                    <w:rPr>
                      <w:rFonts w:hint="eastAsia" w:ascii="Times New Roman" w:hAnsi="Times New Roman" w:cs="Times New Roman"/>
                      <w:bCs/>
                      <w:color w:val="auto"/>
                      <w:sz w:val="21"/>
                      <w:szCs w:val="21"/>
                      <w:highlight w:val="none"/>
                      <w:lang w:val="en-US" w:eastAsia="zh-CN"/>
                    </w:rPr>
                    <w:t>每半年</w:t>
                  </w:r>
                </w:p>
              </w:tc>
              <w:tc>
                <w:tcPr>
                  <w:tcW w:w="1703" w:type="dxa"/>
                  <w:vMerge w:val="continue"/>
                  <w:tcBorders>
                    <w:tl2br w:val="nil"/>
                    <w:tr2bl w:val="nil"/>
                  </w:tcBorders>
                  <w:vAlign w:val="center"/>
                </w:tcPr>
                <w:p w14:paraId="44E19236">
                  <w:pPr>
                    <w:widowControl/>
                    <w:spacing w:line="240" w:lineRule="auto"/>
                    <w:jc w:val="center"/>
                    <w:rPr>
                      <w:rFonts w:hint="default" w:cs="Times New Roman"/>
                      <w:b w:val="0"/>
                      <w:bCs w:val="0"/>
                      <w:color w:val="auto"/>
                      <w:sz w:val="21"/>
                      <w:szCs w:val="21"/>
                      <w:highlight w:val="none"/>
                      <w:vertAlign w:val="baseline"/>
                      <w:lang w:val="en-US" w:eastAsia="zh-CN"/>
                    </w:rPr>
                  </w:pPr>
                </w:p>
              </w:tc>
            </w:tr>
          </w:tbl>
          <w:p w14:paraId="23FCE170">
            <w:pPr>
              <w:wordWrap w:val="0"/>
              <w:topLinePunct/>
              <w:spacing w:line="360" w:lineRule="auto"/>
              <w:ind w:firstLine="480" w:firstLineChars="200"/>
              <w:rPr>
                <w:rFonts w:hint="eastAsia"/>
                <w:color w:val="auto"/>
                <w:kern w:val="0"/>
                <w:sz w:val="24"/>
                <w:highlight w:val="none"/>
                <w:lang w:val="en-US" w:eastAsia="zh-CN" w:bidi="ar"/>
              </w:rPr>
            </w:pPr>
            <w:r>
              <w:rPr>
                <w:rFonts w:hint="eastAsia"/>
                <w:color w:val="auto"/>
                <w:kern w:val="0"/>
                <w:sz w:val="24"/>
                <w:highlight w:val="none"/>
                <w:lang w:val="en-US" w:eastAsia="zh-CN" w:bidi="ar"/>
              </w:rPr>
              <w:t>现有项目按标准要求建有一间危险废物暂存间，面积10m</w:t>
            </w:r>
            <w:r>
              <w:rPr>
                <w:rFonts w:hint="eastAsia"/>
                <w:color w:val="auto"/>
                <w:kern w:val="0"/>
                <w:sz w:val="24"/>
                <w:highlight w:val="none"/>
                <w:vertAlign w:val="superscript"/>
                <w:lang w:val="en-US" w:eastAsia="zh-CN" w:bidi="ar"/>
              </w:rPr>
              <w:t>2</w:t>
            </w:r>
            <w:r>
              <w:rPr>
                <w:rFonts w:hint="eastAsia" w:eastAsia="宋体"/>
                <w:color w:val="auto"/>
                <w:kern w:val="0"/>
                <w:sz w:val="24"/>
                <w:highlight w:val="none"/>
                <w:lang w:val="en-US" w:eastAsia="zh-CN" w:bidi="ar"/>
              </w:rPr>
              <w:t>，</w:t>
            </w:r>
            <w:r>
              <w:rPr>
                <w:rFonts w:hint="eastAsia"/>
                <w:color w:val="auto"/>
                <w:kern w:val="0"/>
                <w:sz w:val="24"/>
                <w:highlight w:val="none"/>
                <w:lang w:val="en-US" w:eastAsia="zh-CN" w:bidi="ar"/>
              </w:rPr>
              <w:t>内部放置防溢流托盘，危险废物放置在托盘内。</w:t>
            </w:r>
          </w:p>
          <w:p w14:paraId="20009CEE">
            <w:pPr>
              <w:widowControl/>
              <w:spacing w:line="360" w:lineRule="auto"/>
              <w:ind w:firstLine="482" w:firstLineChars="200"/>
              <w:jc w:val="left"/>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（5）污染物排放总量</w:t>
            </w:r>
          </w:p>
          <w:p w14:paraId="11E73EE5">
            <w:pPr>
              <w:numPr>
                <w:ilvl w:val="0"/>
                <w:numId w:val="23"/>
              </w:numPr>
              <w:wordWrap w:val="0"/>
              <w:topLinePunct/>
              <w:spacing w:line="360" w:lineRule="auto"/>
              <w:ind w:left="0" w:leftChars="0" w:firstLine="480" w:firstLineChars="200"/>
              <w:rPr>
                <w:rFonts w:hint="eastAsia" w:eastAsia="宋体"/>
                <w:color w:val="auto"/>
                <w:kern w:val="0"/>
                <w:sz w:val="24"/>
                <w:highlight w:val="none"/>
                <w:lang w:eastAsia="zh-CN" w:bidi="ar"/>
              </w:rPr>
            </w:pPr>
            <w:r>
              <w:rPr>
                <w:rFonts w:hint="eastAsia" w:eastAsia="宋体"/>
                <w:color w:val="auto"/>
                <w:kern w:val="0"/>
                <w:sz w:val="24"/>
                <w:highlight w:val="none"/>
                <w:lang w:eastAsia="zh-CN" w:bidi="ar"/>
              </w:rPr>
              <w:t>非甲烷总烃</w:t>
            </w:r>
          </w:p>
          <w:p w14:paraId="4657671A">
            <w:pPr>
              <w:wordWrap w:val="0"/>
              <w:topLinePunct/>
              <w:spacing w:line="360" w:lineRule="auto"/>
              <w:ind w:firstLine="480" w:firstLineChars="200"/>
              <w:rPr>
                <w:rFonts w:hint="eastAsia"/>
                <w:color w:val="auto"/>
                <w:kern w:val="0"/>
                <w:sz w:val="24"/>
                <w:highlight w:val="none"/>
                <w:lang w:eastAsia="zh-CN" w:bidi="ar"/>
              </w:rPr>
            </w:pPr>
            <w:r>
              <w:rPr>
                <w:rFonts w:hint="eastAsia" w:eastAsia="宋体"/>
                <w:color w:val="auto"/>
                <w:kern w:val="0"/>
                <w:sz w:val="24"/>
                <w:highlight w:val="none"/>
                <w:lang w:eastAsia="zh-CN" w:bidi="ar"/>
              </w:rPr>
              <w:t>现有项目</w:t>
            </w:r>
            <w:r>
              <w:rPr>
                <w:rFonts w:hint="eastAsia"/>
                <w:color w:val="auto"/>
                <w:kern w:val="0"/>
                <w:sz w:val="24"/>
                <w:highlight w:val="none"/>
                <w:lang w:val="en-US" w:eastAsia="zh-CN" w:bidi="ar"/>
              </w:rPr>
              <w:t>3根排气筒</w:t>
            </w:r>
            <w:r>
              <w:rPr>
                <w:rFonts w:eastAsia="宋体"/>
                <w:color w:val="auto"/>
                <w:kern w:val="0"/>
                <w:sz w:val="24"/>
                <w:highlight w:val="none"/>
                <w:lang w:bidi="ar"/>
              </w:rPr>
              <w:t>非甲烷总烃</w:t>
            </w:r>
            <w:r>
              <w:rPr>
                <w:rFonts w:hint="eastAsia" w:eastAsia="宋体"/>
                <w:color w:val="auto"/>
                <w:kern w:val="0"/>
                <w:sz w:val="24"/>
                <w:highlight w:val="none"/>
                <w:lang w:eastAsia="zh-CN" w:bidi="ar"/>
              </w:rPr>
              <w:t>实测</w:t>
            </w:r>
            <w:r>
              <w:rPr>
                <w:rFonts w:hint="eastAsia"/>
                <w:color w:val="auto"/>
                <w:kern w:val="0"/>
                <w:sz w:val="24"/>
                <w:highlight w:val="none"/>
                <w:lang w:val="en-US" w:eastAsia="zh-CN" w:bidi="ar"/>
              </w:rPr>
              <w:t>最大</w:t>
            </w:r>
            <w:r>
              <w:rPr>
                <w:rFonts w:eastAsia="宋体"/>
                <w:color w:val="auto"/>
                <w:kern w:val="0"/>
                <w:sz w:val="24"/>
                <w:highlight w:val="none"/>
                <w:lang w:bidi="ar"/>
              </w:rPr>
              <w:t>排放速率</w:t>
            </w:r>
            <w:r>
              <w:rPr>
                <w:rFonts w:hint="eastAsia"/>
                <w:color w:val="auto"/>
                <w:kern w:val="0"/>
                <w:sz w:val="24"/>
                <w:highlight w:val="none"/>
                <w:lang w:val="en-US" w:eastAsia="zh-CN" w:bidi="ar"/>
              </w:rPr>
              <w:t>分别</w:t>
            </w:r>
            <w:r>
              <w:rPr>
                <w:rFonts w:eastAsia="宋体"/>
                <w:color w:val="auto"/>
                <w:kern w:val="0"/>
                <w:sz w:val="24"/>
                <w:highlight w:val="none"/>
                <w:lang w:bidi="ar"/>
              </w:rPr>
              <w:t>为</w:t>
            </w:r>
            <w:r>
              <w:rPr>
                <w:rFonts w:hint="eastAsia"/>
                <w:color w:val="auto"/>
                <w:kern w:val="0"/>
                <w:sz w:val="24"/>
                <w:highlight w:val="none"/>
                <w:lang w:eastAsia="zh-CN" w:bidi="ar"/>
              </w:rPr>
              <w:t>：</w:t>
            </w:r>
            <w:r>
              <w:rPr>
                <w:rFonts w:hint="eastAsia"/>
                <w:color w:val="auto"/>
                <w:kern w:val="0"/>
                <w:sz w:val="24"/>
                <w:highlight w:val="none"/>
                <w:lang w:val="en-US" w:eastAsia="zh-CN" w:bidi="ar"/>
              </w:rPr>
              <w:t>4.93</w:t>
            </w:r>
            <w:r>
              <w:rPr>
                <w:rFonts w:hint="default"/>
                <w:color w:val="auto"/>
                <w:kern w:val="0"/>
                <w:sz w:val="24"/>
                <w:highlight w:val="none"/>
                <w:lang w:val="en-US" w:eastAsia="zh-CN" w:bidi="ar"/>
              </w:rPr>
              <w:t>×</w:t>
            </w:r>
            <w:r>
              <w:rPr>
                <w:rFonts w:hint="eastAsia"/>
                <w:color w:val="auto"/>
                <w:kern w:val="0"/>
                <w:sz w:val="24"/>
                <w:highlight w:val="none"/>
                <w:lang w:val="en-US" w:eastAsia="zh-CN" w:bidi="ar"/>
              </w:rPr>
              <w:t>10</w:t>
            </w:r>
            <w:r>
              <w:rPr>
                <w:rFonts w:hint="eastAsia"/>
                <w:color w:val="auto"/>
                <w:kern w:val="0"/>
                <w:sz w:val="24"/>
                <w:highlight w:val="none"/>
                <w:vertAlign w:val="superscript"/>
                <w:lang w:val="en-US" w:eastAsia="zh-CN" w:bidi="ar"/>
              </w:rPr>
              <w:t>-3</w:t>
            </w:r>
            <w:r>
              <w:rPr>
                <w:rFonts w:eastAsia="宋体"/>
                <w:color w:val="auto"/>
                <w:kern w:val="0"/>
                <w:sz w:val="24"/>
                <w:highlight w:val="none"/>
                <w:lang w:bidi="ar"/>
              </w:rPr>
              <w:t>kg/h</w:t>
            </w:r>
            <w:r>
              <w:rPr>
                <w:rFonts w:hint="eastAsia"/>
                <w:color w:val="auto"/>
                <w:kern w:val="0"/>
                <w:sz w:val="24"/>
                <w:highlight w:val="none"/>
                <w:lang w:eastAsia="zh-CN" w:bidi="ar"/>
              </w:rPr>
              <w:t>、</w:t>
            </w:r>
            <w:r>
              <w:rPr>
                <w:rFonts w:hint="eastAsia"/>
                <w:color w:val="auto"/>
                <w:kern w:val="0"/>
                <w:sz w:val="24"/>
                <w:highlight w:val="none"/>
                <w:lang w:val="en-US" w:eastAsia="zh-CN" w:bidi="ar"/>
              </w:rPr>
              <w:t>5.02</w:t>
            </w:r>
            <w:r>
              <w:rPr>
                <w:rFonts w:hint="default"/>
                <w:color w:val="auto"/>
                <w:kern w:val="0"/>
                <w:sz w:val="24"/>
                <w:highlight w:val="none"/>
                <w:lang w:val="en-US" w:eastAsia="zh-CN" w:bidi="ar"/>
              </w:rPr>
              <w:t>×</w:t>
            </w:r>
            <w:r>
              <w:rPr>
                <w:rFonts w:hint="eastAsia"/>
                <w:color w:val="auto"/>
                <w:kern w:val="0"/>
                <w:sz w:val="24"/>
                <w:highlight w:val="none"/>
                <w:lang w:val="en-US" w:eastAsia="zh-CN" w:bidi="ar"/>
              </w:rPr>
              <w:t>10</w:t>
            </w:r>
            <w:r>
              <w:rPr>
                <w:rFonts w:hint="eastAsia"/>
                <w:color w:val="auto"/>
                <w:kern w:val="0"/>
                <w:sz w:val="24"/>
                <w:highlight w:val="none"/>
                <w:vertAlign w:val="superscript"/>
                <w:lang w:val="en-US" w:eastAsia="zh-CN" w:bidi="ar"/>
              </w:rPr>
              <w:t>-3</w:t>
            </w:r>
            <w:r>
              <w:rPr>
                <w:rFonts w:eastAsia="宋体"/>
                <w:color w:val="auto"/>
                <w:kern w:val="0"/>
                <w:sz w:val="24"/>
                <w:highlight w:val="none"/>
                <w:lang w:bidi="ar"/>
              </w:rPr>
              <w:t>kg/h</w:t>
            </w:r>
            <w:r>
              <w:rPr>
                <w:rFonts w:hint="eastAsia"/>
                <w:color w:val="auto"/>
                <w:kern w:val="0"/>
                <w:sz w:val="24"/>
                <w:highlight w:val="none"/>
                <w:lang w:val="en-US" w:eastAsia="zh-CN" w:bidi="ar"/>
              </w:rPr>
              <w:t>、6.97</w:t>
            </w:r>
            <w:r>
              <w:rPr>
                <w:rFonts w:hint="default"/>
                <w:color w:val="auto"/>
                <w:kern w:val="0"/>
                <w:sz w:val="24"/>
                <w:highlight w:val="none"/>
                <w:lang w:val="en-US" w:eastAsia="zh-CN" w:bidi="ar"/>
              </w:rPr>
              <w:t>×</w:t>
            </w:r>
            <w:r>
              <w:rPr>
                <w:rFonts w:hint="eastAsia"/>
                <w:color w:val="auto"/>
                <w:kern w:val="0"/>
                <w:sz w:val="24"/>
                <w:highlight w:val="none"/>
                <w:lang w:val="en-US" w:eastAsia="zh-CN" w:bidi="ar"/>
              </w:rPr>
              <w:t>10</w:t>
            </w:r>
            <w:r>
              <w:rPr>
                <w:rFonts w:hint="eastAsia"/>
                <w:color w:val="auto"/>
                <w:kern w:val="0"/>
                <w:sz w:val="24"/>
                <w:highlight w:val="none"/>
                <w:vertAlign w:val="superscript"/>
                <w:lang w:val="en-US" w:eastAsia="zh-CN" w:bidi="ar"/>
              </w:rPr>
              <w:t>-3</w:t>
            </w:r>
            <w:r>
              <w:rPr>
                <w:rFonts w:eastAsia="宋体"/>
                <w:color w:val="auto"/>
                <w:kern w:val="0"/>
                <w:sz w:val="24"/>
                <w:highlight w:val="none"/>
                <w:lang w:bidi="ar"/>
              </w:rPr>
              <w:t>kg/h</w:t>
            </w:r>
            <w:r>
              <w:rPr>
                <w:rFonts w:hint="eastAsia" w:eastAsia="宋体"/>
                <w:color w:val="auto"/>
                <w:kern w:val="0"/>
                <w:sz w:val="24"/>
                <w:highlight w:val="none"/>
                <w:lang w:bidi="ar"/>
              </w:rPr>
              <w:t>，</w:t>
            </w:r>
            <w:r>
              <w:rPr>
                <w:rFonts w:hint="eastAsia" w:eastAsia="宋体"/>
                <w:color w:val="auto"/>
                <w:kern w:val="0"/>
                <w:sz w:val="24"/>
                <w:highlight w:val="none"/>
                <w:lang w:val="en-US" w:eastAsia="zh-CN" w:bidi="ar"/>
              </w:rPr>
              <w:t>根据建设单位提供的资料，</w:t>
            </w:r>
            <w:r>
              <w:rPr>
                <w:rFonts w:eastAsia="宋体"/>
                <w:color w:val="auto"/>
                <w:kern w:val="0"/>
                <w:sz w:val="24"/>
                <w:highlight w:val="none"/>
                <w:lang w:bidi="ar"/>
              </w:rPr>
              <w:t>年使用挥发性有机</w:t>
            </w:r>
            <w:r>
              <w:rPr>
                <w:rFonts w:hint="eastAsia" w:eastAsia="宋体"/>
                <w:color w:val="auto"/>
                <w:kern w:val="0"/>
                <w:sz w:val="24"/>
                <w:highlight w:val="none"/>
                <w:lang w:eastAsia="zh-CN" w:bidi="ar"/>
              </w:rPr>
              <w:t>物质</w:t>
            </w:r>
            <w:r>
              <w:rPr>
                <w:rFonts w:hint="eastAsia"/>
                <w:color w:val="auto"/>
                <w:kern w:val="0"/>
                <w:sz w:val="24"/>
                <w:highlight w:val="none"/>
                <w:lang w:val="en-US" w:eastAsia="zh-CN" w:bidi="ar"/>
              </w:rPr>
              <w:t>80</w:t>
            </w:r>
            <w:r>
              <w:rPr>
                <w:rFonts w:eastAsia="宋体"/>
                <w:color w:val="auto"/>
                <w:kern w:val="0"/>
                <w:sz w:val="24"/>
                <w:highlight w:val="none"/>
                <w:lang w:bidi="ar"/>
              </w:rPr>
              <w:t>h。有组织挥发性有机物排放</w:t>
            </w:r>
            <w:r>
              <w:rPr>
                <w:color w:val="auto"/>
                <w:kern w:val="0"/>
                <w:sz w:val="24"/>
                <w:highlight w:val="none"/>
                <w:lang w:bidi="ar"/>
              </w:rPr>
              <w:t>量</w:t>
            </w:r>
            <w:r>
              <w:rPr>
                <w:rFonts w:hint="eastAsia"/>
                <w:color w:val="auto"/>
                <w:kern w:val="0"/>
                <w:sz w:val="24"/>
                <w:highlight w:val="none"/>
                <w:lang w:val="en-US" w:eastAsia="zh-CN" w:bidi="ar"/>
              </w:rPr>
              <w:t>0.0014</w:t>
            </w:r>
            <w:r>
              <w:rPr>
                <w:color w:val="auto"/>
                <w:kern w:val="0"/>
                <w:sz w:val="24"/>
                <w:highlight w:val="none"/>
                <w:lang w:bidi="ar"/>
              </w:rPr>
              <w:t>t/a</w:t>
            </w:r>
            <w:r>
              <w:rPr>
                <w:rFonts w:hint="eastAsia"/>
                <w:color w:val="auto"/>
                <w:kern w:val="0"/>
                <w:sz w:val="24"/>
                <w:highlight w:val="none"/>
                <w:lang w:eastAsia="zh-CN" w:bidi="ar"/>
              </w:rPr>
              <w:t>。</w:t>
            </w:r>
          </w:p>
          <w:p w14:paraId="3E301D85">
            <w:pPr>
              <w:numPr>
                <w:ilvl w:val="0"/>
                <w:numId w:val="23"/>
              </w:numPr>
              <w:wordWrap w:val="0"/>
              <w:topLinePunct/>
              <w:spacing w:line="360" w:lineRule="auto"/>
              <w:ind w:left="0" w:leftChars="0" w:firstLine="480" w:firstLineChars="200"/>
              <w:rPr>
                <w:color w:val="auto"/>
                <w:kern w:val="0"/>
                <w:sz w:val="24"/>
                <w:szCs w:val="24"/>
                <w:highlight w:val="none"/>
                <w:lang w:bidi="ar"/>
              </w:rPr>
            </w:pPr>
            <w:r>
              <w:rPr>
                <w:bCs/>
                <w:color w:val="auto"/>
                <w:sz w:val="24"/>
                <w:szCs w:val="24"/>
                <w:highlight w:val="none"/>
              </w:rPr>
              <w:t>COD</w:t>
            </w:r>
            <w:r>
              <w:rPr>
                <w:rFonts w:hint="eastAsia"/>
                <w:bCs/>
                <w:color w:val="auto"/>
                <w:sz w:val="24"/>
                <w:szCs w:val="24"/>
                <w:highlight w:val="none"/>
                <w:vertAlign w:val="subscript"/>
              </w:rPr>
              <w:t>C</w:t>
            </w:r>
            <w:r>
              <w:rPr>
                <w:bCs/>
                <w:color w:val="auto"/>
                <w:sz w:val="24"/>
                <w:szCs w:val="24"/>
                <w:highlight w:val="none"/>
                <w:vertAlign w:val="subscript"/>
              </w:rPr>
              <w:t>r</w:t>
            </w:r>
          </w:p>
          <w:p w14:paraId="61BE49B0">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textAlignment w:val="auto"/>
              <w:rPr>
                <w:rFonts w:hint="eastAsia"/>
                <w:color w:val="auto"/>
                <w:kern w:val="0"/>
                <w:sz w:val="24"/>
                <w:highlight w:val="none"/>
                <w:lang w:eastAsia="zh-CN" w:bidi="ar"/>
              </w:rPr>
            </w:pPr>
            <w:r>
              <w:rPr>
                <w:rFonts w:hint="eastAsia"/>
                <w:color w:val="auto"/>
                <w:kern w:val="0"/>
                <w:sz w:val="24"/>
                <w:highlight w:val="none"/>
                <w:lang w:val="en-US" w:eastAsia="zh-CN" w:bidi="ar"/>
              </w:rPr>
              <w:t>现有项目</w:t>
            </w:r>
            <w:r>
              <w:rPr>
                <w:bCs/>
                <w:color w:val="auto"/>
                <w:sz w:val="24"/>
                <w:szCs w:val="24"/>
                <w:highlight w:val="none"/>
              </w:rPr>
              <w:t>COD</w:t>
            </w:r>
            <w:r>
              <w:rPr>
                <w:rFonts w:hint="eastAsia"/>
                <w:bCs/>
                <w:color w:val="auto"/>
                <w:sz w:val="24"/>
                <w:szCs w:val="24"/>
                <w:highlight w:val="none"/>
                <w:vertAlign w:val="subscript"/>
              </w:rPr>
              <w:t>C</w:t>
            </w:r>
            <w:r>
              <w:rPr>
                <w:bCs/>
                <w:color w:val="auto"/>
                <w:sz w:val="24"/>
                <w:szCs w:val="24"/>
                <w:highlight w:val="none"/>
                <w:vertAlign w:val="subscript"/>
              </w:rPr>
              <w:t>r</w:t>
            </w:r>
            <w:r>
              <w:rPr>
                <w:color w:val="auto"/>
                <w:kern w:val="0"/>
                <w:sz w:val="24"/>
                <w:highlight w:val="none"/>
                <w:lang w:bidi="ar"/>
              </w:rPr>
              <w:t>实际排放</w:t>
            </w:r>
            <w:r>
              <w:rPr>
                <w:rFonts w:hint="eastAsia"/>
                <w:color w:val="auto"/>
                <w:kern w:val="0"/>
                <w:sz w:val="24"/>
                <w:highlight w:val="none"/>
                <w:lang w:val="en-US" w:eastAsia="zh-CN" w:bidi="ar"/>
              </w:rPr>
              <w:t>浓度</w:t>
            </w:r>
            <w:r>
              <w:rPr>
                <w:color w:val="auto"/>
                <w:kern w:val="0"/>
                <w:sz w:val="24"/>
                <w:highlight w:val="none"/>
                <w:lang w:bidi="ar"/>
              </w:rPr>
              <w:t>为</w:t>
            </w:r>
            <w:r>
              <w:rPr>
                <w:rFonts w:hint="eastAsia"/>
                <w:color w:val="auto"/>
                <w:kern w:val="0"/>
                <w:sz w:val="24"/>
                <w:highlight w:val="none"/>
                <w:lang w:val="en-US" w:eastAsia="zh-CN" w:bidi="ar"/>
              </w:rPr>
              <w:t>84</w:t>
            </w:r>
            <w:r>
              <w:rPr>
                <w:rFonts w:hint="eastAsia"/>
                <w:color w:val="auto"/>
                <w:kern w:val="0"/>
                <w:sz w:val="24"/>
                <w:highlight w:val="none"/>
                <w:lang w:bidi="ar"/>
              </w:rPr>
              <w:t>mg/L</w:t>
            </w:r>
            <w:r>
              <w:rPr>
                <w:rFonts w:hint="eastAsia"/>
                <w:color w:val="auto"/>
                <w:kern w:val="0"/>
                <w:sz w:val="24"/>
                <w:highlight w:val="none"/>
                <w:lang w:eastAsia="zh-CN" w:bidi="ar"/>
              </w:rPr>
              <w:t>，</w:t>
            </w:r>
            <w:r>
              <w:rPr>
                <w:rFonts w:hint="eastAsia"/>
                <w:color w:val="auto"/>
                <w:kern w:val="0"/>
                <w:sz w:val="24"/>
                <w:highlight w:val="none"/>
                <w:lang w:val="en-US" w:eastAsia="zh-CN" w:bidi="ar"/>
              </w:rPr>
              <w:t>废水排放量377.2</w:t>
            </w:r>
            <w:r>
              <w:rPr>
                <w:color w:val="auto"/>
                <w:kern w:val="0"/>
                <w:sz w:val="24"/>
                <w:highlight w:val="none"/>
                <w:lang w:bidi="ar"/>
              </w:rPr>
              <w:t>m</w:t>
            </w:r>
            <w:r>
              <w:rPr>
                <w:rFonts w:hint="eastAsia"/>
                <w:color w:val="auto"/>
                <w:kern w:val="0"/>
                <w:sz w:val="24"/>
                <w:highlight w:val="none"/>
                <w:vertAlign w:val="superscript"/>
                <w:lang w:bidi="ar"/>
              </w:rPr>
              <w:t>3</w:t>
            </w:r>
            <w:r>
              <w:rPr>
                <w:color w:val="auto"/>
                <w:kern w:val="0"/>
                <w:sz w:val="24"/>
                <w:highlight w:val="none"/>
                <w:lang w:bidi="ar"/>
              </w:rPr>
              <w:t>/a</w:t>
            </w:r>
            <w:r>
              <w:rPr>
                <w:rFonts w:hint="eastAsia"/>
                <w:color w:val="auto"/>
                <w:kern w:val="0"/>
                <w:sz w:val="24"/>
                <w:highlight w:val="none"/>
                <w:lang w:eastAsia="zh-CN" w:bidi="ar"/>
              </w:rPr>
              <w:t>，</w:t>
            </w:r>
            <w:r>
              <w:rPr>
                <w:bCs/>
                <w:color w:val="auto"/>
                <w:sz w:val="24"/>
                <w:szCs w:val="24"/>
                <w:highlight w:val="none"/>
              </w:rPr>
              <w:t>COD</w:t>
            </w:r>
            <w:r>
              <w:rPr>
                <w:rFonts w:hint="eastAsia"/>
                <w:bCs/>
                <w:color w:val="auto"/>
                <w:sz w:val="24"/>
                <w:szCs w:val="24"/>
                <w:highlight w:val="none"/>
                <w:vertAlign w:val="subscript"/>
              </w:rPr>
              <w:t>C</w:t>
            </w:r>
            <w:r>
              <w:rPr>
                <w:bCs/>
                <w:color w:val="auto"/>
                <w:sz w:val="24"/>
                <w:szCs w:val="24"/>
                <w:highlight w:val="none"/>
                <w:vertAlign w:val="subscript"/>
              </w:rPr>
              <w:t>r</w:t>
            </w:r>
            <w:r>
              <w:rPr>
                <w:rFonts w:hint="eastAsia"/>
                <w:bCs/>
                <w:color w:val="auto"/>
                <w:sz w:val="24"/>
                <w:szCs w:val="24"/>
                <w:highlight w:val="none"/>
                <w:vertAlign w:val="baseline"/>
                <w:lang w:val="en-US" w:eastAsia="zh-CN"/>
              </w:rPr>
              <w:t>排放量为0.0317</w:t>
            </w:r>
            <w:r>
              <w:rPr>
                <w:color w:val="auto"/>
                <w:kern w:val="0"/>
                <w:sz w:val="24"/>
                <w:highlight w:val="none"/>
                <w:lang w:bidi="ar"/>
              </w:rPr>
              <w:t>t/a</w:t>
            </w:r>
            <w:r>
              <w:rPr>
                <w:rFonts w:hint="eastAsia"/>
                <w:color w:val="auto"/>
                <w:kern w:val="0"/>
                <w:sz w:val="24"/>
                <w:highlight w:val="none"/>
                <w:lang w:eastAsia="zh-CN" w:bidi="ar"/>
              </w:rPr>
              <w:t>。</w:t>
            </w:r>
          </w:p>
          <w:p w14:paraId="4611C770">
            <w:pPr>
              <w:numPr>
                <w:ilvl w:val="0"/>
                <w:numId w:val="23"/>
              </w:numPr>
              <w:wordWrap w:val="0"/>
              <w:topLinePunct/>
              <w:spacing w:line="360" w:lineRule="auto"/>
              <w:ind w:left="0" w:leftChars="0" w:firstLine="480" w:firstLineChars="200"/>
              <w:rPr>
                <w:rFonts w:hint="eastAsia" w:eastAsia="宋体"/>
                <w:color w:val="auto"/>
                <w:kern w:val="0"/>
                <w:sz w:val="24"/>
                <w:highlight w:val="none"/>
                <w:lang w:val="en-US" w:eastAsia="zh-CN" w:bidi="ar"/>
              </w:rPr>
            </w:pPr>
            <w:r>
              <w:rPr>
                <w:rFonts w:hint="eastAsia" w:eastAsia="宋体"/>
                <w:color w:val="auto"/>
                <w:kern w:val="0"/>
                <w:sz w:val="24"/>
                <w:highlight w:val="none"/>
                <w:lang w:val="en-US" w:eastAsia="zh-CN" w:bidi="ar"/>
              </w:rPr>
              <w:t>NH</w:t>
            </w:r>
            <w:r>
              <w:rPr>
                <w:rFonts w:hint="eastAsia"/>
                <w:color w:val="auto"/>
                <w:kern w:val="0"/>
                <w:sz w:val="24"/>
                <w:highlight w:val="none"/>
                <w:vertAlign w:val="subscript"/>
                <w:lang w:val="en-US" w:eastAsia="zh-CN" w:bidi="ar"/>
              </w:rPr>
              <w:t>4</w:t>
            </w:r>
            <w:r>
              <w:rPr>
                <w:rFonts w:hint="eastAsia" w:eastAsia="宋体"/>
                <w:color w:val="auto"/>
                <w:kern w:val="0"/>
                <w:sz w:val="24"/>
                <w:highlight w:val="none"/>
                <w:lang w:val="en-US" w:eastAsia="zh-CN" w:bidi="ar"/>
              </w:rPr>
              <w:t>-N</w:t>
            </w:r>
          </w:p>
          <w:p w14:paraId="5607A30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color w:val="auto"/>
                <w:kern w:val="0"/>
                <w:sz w:val="24"/>
                <w:highlight w:val="none"/>
                <w:lang w:val="en-US" w:eastAsia="zh-CN" w:bidi="ar"/>
              </w:rPr>
            </w:pPr>
            <w:r>
              <w:rPr>
                <w:rFonts w:hint="eastAsia"/>
                <w:color w:val="auto"/>
                <w:kern w:val="0"/>
                <w:sz w:val="24"/>
                <w:highlight w:val="none"/>
                <w:lang w:val="en-US" w:eastAsia="zh-CN" w:bidi="ar"/>
              </w:rPr>
              <w:t>现有项目NH</w:t>
            </w:r>
            <w:r>
              <w:rPr>
                <w:rFonts w:hint="eastAsia"/>
                <w:color w:val="auto"/>
                <w:kern w:val="0"/>
                <w:sz w:val="24"/>
                <w:highlight w:val="none"/>
                <w:vertAlign w:val="subscript"/>
                <w:lang w:val="en-US" w:eastAsia="zh-CN" w:bidi="ar"/>
              </w:rPr>
              <w:t>3</w:t>
            </w:r>
            <w:r>
              <w:rPr>
                <w:rFonts w:hint="eastAsia"/>
                <w:color w:val="auto"/>
                <w:kern w:val="0"/>
                <w:sz w:val="24"/>
                <w:highlight w:val="none"/>
                <w:lang w:val="en-US" w:eastAsia="zh-CN" w:bidi="ar"/>
              </w:rPr>
              <w:t>-N实际排放浓度为1.66mg/L，废水排放量377.2m</w:t>
            </w:r>
            <w:r>
              <w:rPr>
                <w:rFonts w:hint="eastAsia"/>
                <w:color w:val="auto"/>
                <w:kern w:val="0"/>
                <w:sz w:val="24"/>
                <w:highlight w:val="none"/>
                <w:vertAlign w:val="superscript"/>
                <w:lang w:val="en-US" w:eastAsia="zh-CN" w:bidi="ar"/>
              </w:rPr>
              <w:t>3</w:t>
            </w:r>
            <w:r>
              <w:rPr>
                <w:rFonts w:hint="eastAsia"/>
                <w:color w:val="auto"/>
                <w:kern w:val="0"/>
                <w:sz w:val="24"/>
                <w:highlight w:val="none"/>
                <w:lang w:val="en-US" w:eastAsia="zh-CN" w:bidi="ar"/>
              </w:rPr>
              <w:t>/a，NH</w:t>
            </w:r>
            <w:r>
              <w:rPr>
                <w:rFonts w:hint="eastAsia"/>
                <w:color w:val="auto"/>
                <w:kern w:val="0"/>
                <w:sz w:val="24"/>
                <w:highlight w:val="none"/>
                <w:vertAlign w:val="subscript"/>
                <w:lang w:val="en-US" w:eastAsia="zh-CN" w:bidi="ar"/>
              </w:rPr>
              <w:t>3</w:t>
            </w:r>
            <w:r>
              <w:rPr>
                <w:rFonts w:hint="eastAsia"/>
                <w:color w:val="auto"/>
                <w:kern w:val="0"/>
                <w:sz w:val="24"/>
                <w:highlight w:val="none"/>
                <w:lang w:val="en-US" w:eastAsia="zh-CN" w:bidi="ar"/>
              </w:rPr>
              <w:t>-N排放量为0.0317t/a。</w:t>
            </w:r>
          </w:p>
          <w:p w14:paraId="080D381C">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80" w:firstLineChars="200"/>
              <w:textAlignment w:val="auto"/>
              <w:rPr>
                <w:rFonts w:hint="eastAsia"/>
                <w:color w:val="auto"/>
                <w:kern w:val="0"/>
                <w:sz w:val="24"/>
                <w:highlight w:val="none"/>
                <w:lang w:eastAsia="zh-CN" w:bidi="ar"/>
              </w:rPr>
            </w:pPr>
            <w:r>
              <w:rPr>
                <w:rFonts w:hint="eastAsia" w:eastAsia="宋体"/>
                <w:color w:val="auto"/>
                <w:kern w:val="0"/>
                <w:sz w:val="24"/>
                <w:highlight w:val="none"/>
                <w:lang w:val="en-US" w:eastAsia="zh-CN" w:bidi="ar"/>
              </w:rPr>
              <w:t>现有工</w:t>
            </w:r>
            <w:r>
              <w:rPr>
                <w:rFonts w:hint="eastAsia"/>
                <w:color w:val="auto"/>
                <w:kern w:val="0"/>
                <w:sz w:val="24"/>
                <w:highlight w:val="none"/>
                <w:lang w:eastAsia="zh-CN" w:bidi="ar"/>
              </w:rPr>
              <w:t>程污染物实际排放量情况见下表。</w:t>
            </w:r>
          </w:p>
          <w:p w14:paraId="13BE24A4">
            <w:pPr>
              <w:numPr>
                <w:ilvl w:val="0"/>
                <w:numId w:val="12"/>
              </w:numPr>
              <w:adjustRightInd w:val="0"/>
              <w:snapToGrid w:val="0"/>
              <w:spacing w:line="360" w:lineRule="auto"/>
              <w:jc w:val="center"/>
              <w:rPr>
                <w:rFonts w:hint="eastAsia"/>
                <w:b/>
                <w:bCs/>
                <w:color w:val="auto"/>
                <w:kern w:val="0"/>
                <w:sz w:val="24"/>
                <w:highlight w:val="none"/>
                <w:lang w:eastAsia="zh-CN" w:bidi="ar"/>
              </w:rPr>
            </w:pPr>
            <w:r>
              <w:rPr>
                <w:rFonts w:hint="eastAsia"/>
                <w:b/>
                <w:bCs/>
                <w:color w:val="auto"/>
                <w:kern w:val="0"/>
                <w:sz w:val="24"/>
                <w:highlight w:val="none"/>
                <w:lang w:eastAsia="zh-CN" w:bidi="ar"/>
              </w:rPr>
              <w:t>现有工程污染物排放量情况表</w:t>
            </w:r>
          </w:p>
          <w:tbl>
            <w:tblPr>
              <w:tblStyle w:val="24"/>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200"/>
              <w:gridCol w:w="1815"/>
              <w:gridCol w:w="2280"/>
              <w:gridCol w:w="1847"/>
            </w:tblGrid>
            <w:tr w14:paraId="21BB6B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785" w:type="dxa"/>
                  <w:tcBorders>
                    <w:tl2br w:val="nil"/>
                    <w:tr2bl w:val="nil"/>
                  </w:tcBorders>
                  <w:vAlign w:val="center"/>
                </w:tcPr>
                <w:p w14:paraId="2DB41468">
                  <w:pPr>
                    <w:spacing w:line="240" w:lineRule="auto"/>
                    <w:jc w:val="center"/>
                    <w:rPr>
                      <w:rFonts w:hint="default"/>
                      <w:b/>
                      <w:bCs/>
                      <w:color w:val="auto"/>
                      <w:kern w:val="0"/>
                      <w:sz w:val="21"/>
                      <w:szCs w:val="21"/>
                      <w:highlight w:val="none"/>
                      <w:vertAlign w:val="baseline"/>
                      <w:lang w:val="en-US" w:eastAsia="zh-CN" w:bidi="ar"/>
                    </w:rPr>
                  </w:pPr>
                  <w:r>
                    <w:rPr>
                      <w:rFonts w:hint="eastAsia"/>
                      <w:b/>
                      <w:bCs/>
                      <w:color w:val="auto"/>
                      <w:kern w:val="0"/>
                      <w:sz w:val="21"/>
                      <w:szCs w:val="21"/>
                      <w:highlight w:val="none"/>
                      <w:vertAlign w:val="baseline"/>
                      <w:lang w:val="en-US" w:eastAsia="zh-CN" w:bidi="ar"/>
                    </w:rPr>
                    <w:t>序号</w:t>
                  </w:r>
                </w:p>
              </w:tc>
              <w:tc>
                <w:tcPr>
                  <w:tcW w:w="1200" w:type="dxa"/>
                  <w:tcBorders>
                    <w:tl2br w:val="nil"/>
                    <w:tr2bl w:val="nil"/>
                  </w:tcBorders>
                  <w:shd w:val="clear" w:color="auto" w:fill="auto"/>
                  <w:vAlign w:val="center"/>
                </w:tcPr>
                <w:p w14:paraId="1076E85F">
                  <w:pPr>
                    <w:spacing w:line="240" w:lineRule="auto"/>
                    <w:jc w:val="center"/>
                    <w:rPr>
                      <w:rFonts w:hint="eastAsia" w:eastAsia="宋体"/>
                      <w:b/>
                      <w:bCs/>
                      <w:color w:val="auto"/>
                      <w:kern w:val="0"/>
                      <w:sz w:val="21"/>
                      <w:szCs w:val="21"/>
                      <w:highlight w:val="none"/>
                      <w:vertAlign w:val="baseline"/>
                      <w:lang w:val="en-US" w:eastAsia="zh-CN" w:bidi="ar"/>
                    </w:rPr>
                  </w:pPr>
                  <w:r>
                    <w:rPr>
                      <w:rFonts w:hint="eastAsia" w:eastAsia="宋体"/>
                      <w:b/>
                      <w:bCs/>
                      <w:color w:val="auto"/>
                      <w:kern w:val="0"/>
                      <w:sz w:val="21"/>
                      <w:szCs w:val="21"/>
                      <w:highlight w:val="none"/>
                      <w:vertAlign w:val="baseline"/>
                      <w:lang w:val="en-US" w:eastAsia="zh-CN" w:bidi="ar"/>
                    </w:rPr>
                    <w:t>种类</w:t>
                  </w:r>
                </w:p>
              </w:tc>
              <w:tc>
                <w:tcPr>
                  <w:tcW w:w="1815" w:type="dxa"/>
                  <w:tcBorders>
                    <w:tl2br w:val="nil"/>
                    <w:tr2bl w:val="nil"/>
                  </w:tcBorders>
                  <w:shd w:val="clear" w:color="auto" w:fill="auto"/>
                  <w:vAlign w:val="center"/>
                </w:tcPr>
                <w:p w14:paraId="5C704FA9">
                  <w:pPr>
                    <w:spacing w:line="240" w:lineRule="auto"/>
                    <w:jc w:val="center"/>
                    <w:rPr>
                      <w:rFonts w:hint="eastAsia" w:eastAsia="宋体"/>
                      <w:b/>
                      <w:bCs/>
                      <w:color w:val="auto"/>
                      <w:kern w:val="0"/>
                      <w:sz w:val="21"/>
                      <w:szCs w:val="21"/>
                      <w:highlight w:val="none"/>
                      <w:vertAlign w:val="baseline"/>
                      <w:lang w:val="en-US" w:eastAsia="zh-CN" w:bidi="ar"/>
                    </w:rPr>
                  </w:pPr>
                  <w:r>
                    <w:rPr>
                      <w:rFonts w:hint="eastAsia" w:eastAsia="宋体"/>
                      <w:b/>
                      <w:bCs/>
                      <w:color w:val="auto"/>
                      <w:kern w:val="0"/>
                      <w:sz w:val="21"/>
                      <w:szCs w:val="21"/>
                      <w:highlight w:val="none"/>
                      <w:vertAlign w:val="baseline"/>
                      <w:lang w:val="en-US" w:eastAsia="zh-CN" w:bidi="ar"/>
                    </w:rPr>
                    <w:t>污染物名称</w:t>
                  </w:r>
                </w:p>
              </w:tc>
              <w:tc>
                <w:tcPr>
                  <w:tcW w:w="2280" w:type="dxa"/>
                  <w:tcBorders>
                    <w:tl2br w:val="nil"/>
                    <w:tr2bl w:val="nil"/>
                  </w:tcBorders>
                  <w:shd w:val="clear" w:color="auto" w:fill="auto"/>
                  <w:vAlign w:val="center"/>
                </w:tcPr>
                <w:p w14:paraId="4632D162">
                  <w:pPr>
                    <w:spacing w:line="240" w:lineRule="auto"/>
                    <w:jc w:val="center"/>
                    <w:rPr>
                      <w:rFonts w:hint="default" w:eastAsia="宋体"/>
                      <w:b/>
                      <w:bCs/>
                      <w:color w:val="auto"/>
                      <w:kern w:val="0"/>
                      <w:sz w:val="21"/>
                      <w:szCs w:val="21"/>
                      <w:highlight w:val="none"/>
                      <w:vertAlign w:val="baseline"/>
                      <w:lang w:val="en-US" w:eastAsia="zh-CN" w:bidi="ar"/>
                    </w:rPr>
                  </w:pPr>
                  <w:r>
                    <w:rPr>
                      <w:rFonts w:hint="eastAsia" w:eastAsia="宋体"/>
                      <w:b/>
                      <w:bCs/>
                      <w:color w:val="auto"/>
                      <w:kern w:val="0"/>
                      <w:sz w:val="21"/>
                      <w:szCs w:val="21"/>
                      <w:highlight w:val="none"/>
                      <w:vertAlign w:val="baseline"/>
                      <w:lang w:val="en-US" w:eastAsia="zh-CN" w:bidi="ar"/>
                    </w:rPr>
                    <w:t>环评批复排放量，t/a</w:t>
                  </w:r>
                </w:p>
              </w:tc>
              <w:tc>
                <w:tcPr>
                  <w:tcW w:w="1847" w:type="dxa"/>
                  <w:tcBorders>
                    <w:tl2br w:val="nil"/>
                    <w:tr2bl w:val="nil"/>
                  </w:tcBorders>
                  <w:vAlign w:val="center"/>
                </w:tcPr>
                <w:p w14:paraId="6FA37CCE">
                  <w:pPr>
                    <w:spacing w:line="240" w:lineRule="auto"/>
                    <w:jc w:val="center"/>
                    <w:rPr>
                      <w:rFonts w:hint="eastAsia" w:eastAsia="宋体"/>
                      <w:b/>
                      <w:bCs/>
                      <w:color w:val="auto"/>
                      <w:kern w:val="0"/>
                      <w:sz w:val="21"/>
                      <w:szCs w:val="21"/>
                      <w:highlight w:val="none"/>
                      <w:vertAlign w:val="baseline"/>
                      <w:lang w:val="en-US" w:eastAsia="zh-CN" w:bidi="ar"/>
                    </w:rPr>
                  </w:pPr>
                  <w:r>
                    <w:rPr>
                      <w:rFonts w:hint="eastAsia" w:eastAsia="宋体"/>
                      <w:b/>
                      <w:bCs/>
                      <w:color w:val="auto"/>
                      <w:kern w:val="0"/>
                      <w:sz w:val="21"/>
                      <w:szCs w:val="21"/>
                      <w:highlight w:val="none"/>
                      <w:vertAlign w:val="baseline"/>
                      <w:lang w:val="en-US" w:eastAsia="zh-CN" w:bidi="ar"/>
                    </w:rPr>
                    <w:t>实际排放量，t/a</w:t>
                  </w:r>
                </w:p>
              </w:tc>
            </w:tr>
            <w:tr w14:paraId="43002B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2FDE84F7">
                  <w:pPr>
                    <w:spacing w:line="240" w:lineRule="auto"/>
                    <w:jc w:val="center"/>
                    <w:rPr>
                      <w:rFonts w:hint="default"/>
                      <w:color w:val="auto"/>
                      <w:kern w:val="0"/>
                      <w:sz w:val="21"/>
                      <w:szCs w:val="21"/>
                      <w:highlight w:val="none"/>
                      <w:vertAlign w:val="baseline"/>
                      <w:lang w:val="en-US" w:eastAsia="zh-CN" w:bidi="ar"/>
                    </w:rPr>
                  </w:pPr>
                  <w:r>
                    <w:rPr>
                      <w:rFonts w:hint="eastAsia"/>
                      <w:color w:val="auto"/>
                      <w:kern w:val="0"/>
                      <w:sz w:val="21"/>
                      <w:szCs w:val="21"/>
                      <w:highlight w:val="none"/>
                      <w:vertAlign w:val="baseline"/>
                      <w:lang w:val="en-US" w:eastAsia="zh-CN" w:bidi="ar"/>
                    </w:rPr>
                    <w:t>1</w:t>
                  </w:r>
                </w:p>
              </w:tc>
              <w:tc>
                <w:tcPr>
                  <w:tcW w:w="1200" w:type="dxa"/>
                  <w:tcBorders>
                    <w:tl2br w:val="nil"/>
                    <w:tr2bl w:val="nil"/>
                  </w:tcBorders>
                  <w:shd w:val="clear" w:color="auto" w:fill="auto"/>
                  <w:vAlign w:val="center"/>
                </w:tcPr>
                <w:p w14:paraId="4BA64050">
                  <w:pPr>
                    <w:spacing w:line="240" w:lineRule="auto"/>
                    <w:jc w:val="center"/>
                    <w:rPr>
                      <w:rFonts w:hint="eastAsia" w:eastAsia="宋体"/>
                      <w:color w:val="auto"/>
                      <w:kern w:val="0"/>
                      <w:sz w:val="21"/>
                      <w:szCs w:val="21"/>
                      <w:highlight w:val="none"/>
                      <w:vertAlign w:val="baseline"/>
                      <w:lang w:val="en-US" w:eastAsia="zh-CN" w:bidi="ar"/>
                    </w:rPr>
                  </w:pPr>
                  <w:r>
                    <w:rPr>
                      <w:rFonts w:hint="eastAsia" w:eastAsia="宋体"/>
                      <w:color w:val="auto"/>
                      <w:kern w:val="0"/>
                      <w:sz w:val="21"/>
                      <w:szCs w:val="21"/>
                      <w:highlight w:val="none"/>
                      <w:vertAlign w:val="baseline"/>
                      <w:lang w:val="en-US" w:eastAsia="zh-CN" w:bidi="ar"/>
                    </w:rPr>
                    <w:t>废气</w:t>
                  </w:r>
                </w:p>
              </w:tc>
              <w:tc>
                <w:tcPr>
                  <w:tcW w:w="1815" w:type="dxa"/>
                  <w:tcBorders>
                    <w:tl2br w:val="nil"/>
                    <w:tr2bl w:val="nil"/>
                  </w:tcBorders>
                  <w:shd w:val="clear" w:color="auto" w:fill="auto"/>
                  <w:vAlign w:val="center"/>
                </w:tcPr>
                <w:p w14:paraId="4CC0C243">
                  <w:pPr>
                    <w:spacing w:line="240" w:lineRule="auto"/>
                    <w:jc w:val="center"/>
                    <w:rPr>
                      <w:rFonts w:hint="eastAsia" w:eastAsia="宋体"/>
                      <w:color w:val="auto"/>
                      <w:kern w:val="0"/>
                      <w:sz w:val="21"/>
                      <w:szCs w:val="21"/>
                      <w:highlight w:val="none"/>
                      <w:vertAlign w:val="baseline"/>
                      <w:lang w:val="en-US" w:eastAsia="zh-CN" w:bidi="ar"/>
                    </w:rPr>
                  </w:pPr>
                  <w:r>
                    <w:rPr>
                      <w:rFonts w:hint="eastAsia" w:eastAsia="宋体"/>
                      <w:color w:val="auto"/>
                      <w:kern w:val="0"/>
                      <w:sz w:val="21"/>
                      <w:szCs w:val="21"/>
                      <w:highlight w:val="none"/>
                      <w:vertAlign w:val="baseline"/>
                      <w:lang w:val="en-US" w:eastAsia="zh-CN" w:bidi="ar"/>
                    </w:rPr>
                    <w:t>挥发性有机物</w:t>
                  </w:r>
                </w:p>
              </w:tc>
              <w:tc>
                <w:tcPr>
                  <w:tcW w:w="2280" w:type="dxa"/>
                  <w:tcBorders>
                    <w:tl2br w:val="nil"/>
                    <w:tr2bl w:val="nil"/>
                  </w:tcBorders>
                  <w:shd w:val="clear" w:color="auto" w:fill="auto"/>
                  <w:vAlign w:val="center"/>
                </w:tcPr>
                <w:p w14:paraId="6FDB9901">
                  <w:pPr>
                    <w:spacing w:line="240" w:lineRule="auto"/>
                    <w:jc w:val="center"/>
                    <w:rPr>
                      <w:rFonts w:hint="default" w:eastAsia="宋体"/>
                      <w:color w:val="auto"/>
                      <w:kern w:val="0"/>
                      <w:sz w:val="21"/>
                      <w:szCs w:val="21"/>
                      <w:highlight w:val="none"/>
                      <w:vertAlign w:val="baseline"/>
                      <w:lang w:val="en-US" w:eastAsia="zh-CN" w:bidi="ar"/>
                    </w:rPr>
                  </w:pPr>
                  <w:r>
                    <w:rPr>
                      <w:rFonts w:hint="eastAsia"/>
                      <w:color w:val="auto"/>
                      <w:kern w:val="0"/>
                      <w:sz w:val="21"/>
                      <w:szCs w:val="21"/>
                      <w:highlight w:val="none"/>
                      <w:vertAlign w:val="baseline"/>
                      <w:lang w:val="en-US" w:eastAsia="zh-CN" w:bidi="ar"/>
                    </w:rPr>
                    <w:t>0.007</w:t>
                  </w:r>
                </w:p>
              </w:tc>
              <w:tc>
                <w:tcPr>
                  <w:tcW w:w="1847" w:type="dxa"/>
                  <w:tcBorders>
                    <w:tl2br w:val="nil"/>
                    <w:tr2bl w:val="nil"/>
                  </w:tcBorders>
                  <w:vAlign w:val="center"/>
                </w:tcPr>
                <w:p w14:paraId="69BAACD9">
                  <w:pPr>
                    <w:spacing w:line="240" w:lineRule="auto"/>
                    <w:jc w:val="center"/>
                    <w:rPr>
                      <w:rFonts w:hint="default" w:eastAsia="宋体"/>
                      <w:color w:val="auto"/>
                      <w:kern w:val="0"/>
                      <w:sz w:val="21"/>
                      <w:szCs w:val="21"/>
                      <w:highlight w:val="none"/>
                      <w:vertAlign w:val="baseline"/>
                      <w:lang w:val="en-US" w:eastAsia="zh-CN" w:bidi="ar"/>
                    </w:rPr>
                  </w:pPr>
                  <w:r>
                    <w:rPr>
                      <w:rFonts w:hint="eastAsia"/>
                      <w:color w:val="auto"/>
                      <w:kern w:val="0"/>
                      <w:sz w:val="21"/>
                      <w:szCs w:val="21"/>
                      <w:highlight w:val="none"/>
                      <w:vertAlign w:val="baseline"/>
                      <w:lang w:val="en-US" w:eastAsia="zh-CN" w:bidi="ar"/>
                    </w:rPr>
                    <w:t>0.0014</w:t>
                  </w:r>
                </w:p>
              </w:tc>
            </w:tr>
            <w:tr w14:paraId="5EFB2C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4B46E385">
                  <w:pPr>
                    <w:spacing w:line="240" w:lineRule="auto"/>
                    <w:jc w:val="center"/>
                    <w:rPr>
                      <w:rFonts w:hint="default"/>
                      <w:color w:val="auto"/>
                      <w:kern w:val="0"/>
                      <w:sz w:val="21"/>
                      <w:szCs w:val="21"/>
                      <w:highlight w:val="none"/>
                      <w:vertAlign w:val="baseline"/>
                      <w:lang w:val="en-US" w:eastAsia="zh-CN" w:bidi="ar"/>
                    </w:rPr>
                  </w:pPr>
                  <w:r>
                    <w:rPr>
                      <w:rFonts w:hint="eastAsia"/>
                      <w:color w:val="auto"/>
                      <w:kern w:val="0"/>
                      <w:sz w:val="21"/>
                      <w:szCs w:val="21"/>
                      <w:highlight w:val="none"/>
                      <w:vertAlign w:val="baseline"/>
                      <w:lang w:val="en-US" w:eastAsia="zh-CN" w:bidi="ar"/>
                    </w:rPr>
                    <w:t>2</w:t>
                  </w:r>
                </w:p>
              </w:tc>
              <w:tc>
                <w:tcPr>
                  <w:tcW w:w="1200" w:type="dxa"/>
                  <w:vMerge w:val="restart"/>
                  <w:tcBorders>
                    <w:tl2br w:val="nil"/>
                    <w:tr2bl w:val="nil"/>
                  </w:tcBorders>
                  <w:shd w:val="clear" w:color="auto" w:fill="auto"/>
                  <w:vAlign w:val="center"/>
                </w:tcPr>
                <w:p w14:paraId="4FA3CAC2">
                  <w:pPr>
                    <w:spacing w:line="240" w:lineRule="auto"/>
                    <w:jc w:val="center"/>
                    <w:rPr>
                      <w:rFonts w:hint="eastAsia" w:eastAsia="宋体"/>
                      <w:color w:val="auto"/>
                      <w:kern w:val="0"/>
                      <w:sz w:val="21"/>
                      <w:szCs w:val="21"/>
                      <w:highlight w:val="none"/>
                      <w:vertAlign w:val="baseline"/>
                      <w:lang w:val="en-US" w:eastAsia="zh-CN" w:bidi="ar"/>
                    </w:rPr>
                  </w:pPr>
                  <w:r>
                    <w:rPr>
                      <w:rFonts w:hint="eastAsia" w:eastAsia="宋体"/>
                      <w:color w:val="auto"/>
                      <w:kern w:val="0"/>
                      <w:sz w:val="21"/>
                      <w:szCs w:val="21"/>
                      <w:highlight w:val="none"/>
                      <w:vertAlign w:val="baseline"/>
                      <w:lang w:val="en-US" w:eastAsia="zh-CN" w:bidi="ar"/>
                    </w:rPr>
                    <w:t>废水</w:t>
                  </w:r>
                </w:p>
              </w:tc>
              <w:tc>
                <w:tcPr>
                  <w:tcW w:w="1815" w:type="dxa"/>
                  <w:tcBorders>
                    <w:tl2br w:val="nil"/>
                    <w:tr2bl w:val="nil"/>
                  </w:tcBorders>
                  <w:shd w:val="clear" w:color="auto" w:fill="auto"/>
                  <w:vAlign w:val="center"/>
                </w:tcPr>
                <w:p w14:paraId="4E0674FF">
                  <w:pPr>
                    <w:spacing w:line="240" w:lineRule="auto"/>
                    <w:jc w:val="center"/>
                    <w:rPr>
                      <w:rFonts w:hint="eastAsia" w:eastAsia="宋体"/>
                      <w:color w:val="auto"/>
                      <w:kern w:val="0"/>
                      <w:sz w:val="21"/>
                      <w:szCs w:val="21"/>
                      <w:highlight w:val="none"/>
                      <w:vertAlign w:val="baseline"/>
                      <w:lang w:val="en-US" w:eastAsia="zh-CN" w:bidi="ar"/>
                    </w:rPr>
                  </w:pPr>
                  <w:r>
                    <w:rPr>
                      <w:rFonts w:hint="eastAsia" w:eastAsia="宋体"/>
                      <w:color w:val="auto"/>
                      <w:kern w:val="0"/>
                      <w:sz w:val="21"/>
                      <w:szCs w:val="21"/>
                      <w:highlight w:val="none"/>
                      <w:vertAlign w:val="baseline"/>
                      <w:lang w:val="en-US" w:eastAsia="zh-CN" w:bidi="ar"/>
                    </w:rPr>
                    <w:t>COD</w:t>
                  </w:r>
                  <w:r>
                    <w:rPr>
                      <w:rFonts w:hint="eastAsia" w:eastAsia="宋体"/>
                      <w:color w:val="auto"/>
                      <w:kern w:val="0"/>
                      <w:sz w:val="21"/>
                      <w:szCs w:val="21"/>
                      <w:highlight w:val="none"/>
                      <w:vertAlign w:val="subscript"/>
                      <w:lang w:val="en-US" w:eastAsia="zh-CN" w:bidi="ar"/>
                    </w:rPr>
                    <w:t>Cr</w:t>
                  </w:r>
                </w:p>
              </w:tc>
              <w:tc>
                <w:tcPr>
                  <w:tcW w:w="2280" w:type="dxa"/>
                  <w:tcBorders>
                    <w:tl2br w:val="nil"/>
                    <w:tr2bl w:val="nil"/>
                  </w:tcBorders>
                  <w:shd w:val="clear" w:color="auto" w:fill="auto"/>
                  <w:vAlign w:val="center"/>
                </w:tcPr>
                <w:p w14:paraId="4E308F68">
                  <w:pPr>
                    <w:spacing w:line="240" w:lineRule="auto"/>
                    <w:jc w:val="center"/>
                    <w:rPr>
                      <w:rFonts w:hint="default" w:eastAsia="宋体"/>
                      <w:color w:val="auto"/>
                      <w:kern w:val="0"/>
                      <w:sz w:val="21"/>
                      <w:szCs w:val="21"/>
                      <w:highlight w:val="none"/>
                      <w:vertAlign w:val="baseline"/>
                      <w:lang w:val="en-US" w:eastAsia="zh-CN" w:bidi="ar"/>
                    </w:rPr>
                  </w:pPr>
                  <w:r>
                    <w:rPr>
                      <w:rFonts w:hint="eastAsia"/>
                      <w:color w:val="auto"/>
                      <w:kern w:val="0"/>
                      <w:sz w:val="21"/>
                      <w:szCs w:val="21"/>
                      <w:highlight w:val="none"/>
                      <w:vertAlign w:val="baseline"/>
                      <w:lang w:val="en-US" w:eastAsia="zh-CN" w:bidi="ar"/>
                    </w:rPr>
                    <w:t>0.1282</w:t>
                  </w:r>
                </w:p>
              </w:tc>
              <w:tc>
                <w:tcPr>
                  <w:tcW w:w="1847" w:type="dxa"/>
                  <w:tcBorders>
                    <w:tl2br w:val="nil"/>
                    <w:tr2bl w:val="nil"/>
                  </w:tcBorders>
                  <w:vAlign w:val="center"/>
                </w:tcPr>
                <w:p w14:paraId="54BCC2AE">
                  <w:pPr>
                    <w:spacing w:line="240" w:lineRule="auto"/>
                    <w:jc w:val="center"/>
                    <w:rPr>
                      <w:rFonts w:hint="default" w:eastAsia="宋体"/>
                      <w:color w:val="auto"/>
                      <w:kern w:val="0"/>
                      <w:sz w:val="21"/>
                      <w:szCs w:val="21"/>
                      <w:highlight w:val="none"/>
                      <w:vertAlign w:val="baseline"/>
                      <w:lang w:val="en-US" w:eastAsia="zh-CN" w:bidi="ar"/>
                    </w:rPr>
                  </w:pPr>
                  <w:r>
                    <w:rPr>
                      <w:rFonts w:hint="eastAsia"/>
                      <w:color w:val="auto"/>
                      <w:kern w:val="0"/>
                      <w:sz w:val="21"/>
                      <w:szCs w:val="21"/>
                      <w:highlight w:val="none"/>
                      <w:vertAlign w:val="baseline"/>
                      <w:lang w:val="en-US" w:eastAsia="zh-CN" w:bidi="ar"/>
                    </w:rPr>
                    <w:t>0.0317</w:t>
                  </w:r>
                </w:p>
              </w:tc>
            </w:tr>
            <w:tr w14:paraId="0FA17B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85" w:type="dxa"/>
                  <w:tcBorders>
                    <w:tl2br w:val="nil"/>
                    <w:tr2bl w:val="nil"/>
                  </w:tcBorders>
                  <w:vAlign w:val="center"/>
                </w:tcPr>
                <w:p w14:paraId="232B4697">
                  <w:pPr>
                    <w:spacing w:line="240" w:lineRule="auto"/>
                    <w:jc w:val="center"/>
                    <w:rPr>
                      <w:rFonts w:hint="default"/>
                      <w:color w:val="auto"/>
                      <w:kern w:val="0"/>
                      <w:sz w:val="21"/>
                      <w:szCs w:val="21"/>
                      <w:highlight w:val="none"/>
                      <w:vertAlign w:val="baseline"/>
                      <w:lang w:val="en-US" w:eastAsia="zh-CN" w:bidi="ar"/>
                    </w:rPr>
                  </w:pPr>
                  <w:r>
                    <w:rPr>
                      <w:rFonts w:hint="eastAsia"/>
                      <w:color w:val="auto"/>
                      <w:kern w:val="0"/>
                      <w:sz w:val="21"/>
                      <w:szCs w:val="21"/>
                      <w:highlight w:val="none"/>
                      <w:vertAlign w:val="baseline"/>
                      <w:lang w:val="en-US" w:eastAsia="zh-CN" w:bidi="ar"/>
                    </w:rPr>
                    <w:t>3</w:t>
                  </w:r>
                </w:p>
              </w:tc>
              <w:tc>
                <w:tcPr>
                  <w:tcW w:w="1200" w:type="dxa"/>
                  <w:vMerge w:val="continue"/>
                  <w:tcBorders>
                    <w:tl2br w:val="nil"/>
                    <w:tr2bl w:val="nil"/>
                  </w:tcBorders>
                  <w:shd w:val="clear" w:color="auto" w:fill="auto"/>
                  <w:vAlign w:val="center"/>
                </w:tcPr>
                <w:p w14:paraId="439220CE">
                  <w:pPr>
                    <w:spacing w:line="240" w:lineRule="auto"/>
                    <w:jc w:val="center"/>
                    <w:rPr>
                      <w:rFonts w:hint="eastAsia" w:eastAsia="宋体"/>
                      <w:color w:val="auto"/>
                      <w:kern w:val="0"/>
                      <w:sz w:val="21"/>
                      <w:szCs w:val="21"/>
                      <w:highlight w:val="none"/>
                      <w:vertAlign w:val="baseline"/>
                      <w:lang w:val="en-US" w:eastAsia="zh-CN" w:bidi="ar"/>
                    </w:rPr>
                  </w:pPr>
                </w:p>
              </w:tc>
              <w:tc>
                <w:tcPr>
                  <w:tcW w:w="1815" w:type="dxa"/>
                  <w:tcBorders>
                    <w:tl2br w:val="nil"/>
                    <w:tr2bl w:val="nil"/>
                  </w:tcBorders>
                  <w:shd w:val="clear" w:color="auto" w:fill="auto"/>
                  <w:vAlign w:val="center"/>
                </w:tcPr>
                <w:p w14:paraId="3E553C9A">
                  <w:pPr>
                    <w:spacing w:line="240" w:lineRule="auto"/>
                    <w:jc w:val="center"/>
                    <w:rPr>
                      <w:rFonts w:hint="eastAsia" w:eastAsia="宋体"/>
                      <w:color w:val="auto"/>
                      <w:kern w:val="0"/>
                      <w:sz w:val="21"/>
                      <w:szCs w:val="21"/>
                      <w:highlight w:val="none"/>
                      <w:vertAlign w:val="baseline"/>
                      <w:lang w:val="en-US" w:eastAsia="zh-CN" w:bidi="ar"/>
                    </w:rPr>
                  </w:pPr>
                  <w:r>
                    <w:rPr>
                      <w:rFonts w:hint="eastAsia" w:eastAsia="宋体"/>
                      <w:color w:val="auto"/>
                      <w:kern w:val="0"/>
                      <w:sz w:val="21"/>
                      <w:szCs w:val="21"/>
                      <w:highlight w:val="none"/>
                      <w:vertAlign w:val="baseline"/>
                      <w:lang w:val="en-US" w:eastAsia="zh-CN" w:bidi="ar"/>
                    </w:rPr>
                    <w:t>NH</w:t>
                  </w:r>
                  <w:r>
                    <w:rPr>
                      <w:rFonts w:hint="eastAsia" w:eastAsia="宋体"/>
                      <w:color w:val="auto"/>
                      <w:kern w:val="0"/>
                      <w:sz w:val="21"/>
                      <w:szCs w:val="21"/>
                      <w:highlight w:val="none"/>
                      <w:vertAlign w:val="subscript"/>
                      <w:lang w:val="en-US" w:eastAsia="zh-CN" w:bidi="ar"/>
                    </w:rPr>
                    <w:t>3</w:t>
                  </w:r>
                  <w:r>
                    <w:rPr>
                      <w:rFonts w:hint="eastAsia" w:eastAsia="宋体"/>
                      <w:color w:val="auto"/>
                      <w:kern w:val="0"/>
                      <w:sz w:val="21"/>
                      <w:szCs w:val="21"/>
                      <w:highlight w:val="none"/>
                      <w:vertAlign w:val="baseline"/>
                      <w:lang w:val="en-US" w:eastAsia="zh-CN" w:bidi="ar"/>
                    </w:rPr>
                    <w:t>-N</w:t>
                  </w:r>
                </w:p>
              </w:tc>
              <w:tc>
                <w:tcPr>
                  <w:tcW w:w="2280" w:type="dxa"/>
                  <w:tcBorders>
                    <w:tl2br w:val="nil"/>
                    <w:tr2bl w:val="nil"/>
                  </w:tcBorders>
                  <w:shd w:val="clear" w:color="auto" w:fill="auto"/>
                  <w:vAlign w:val="center"/>
                </w:tcPr>
                <w:p w14:paraId="12E04FC1">
                  <w:pPr>
                    <w:spacing w:line="240" w:lineRule="auto"/>
                    <w:jc w:val="center"/>
                    <w:rPr>
                      <w:rFonts w:hint="default" w:eastAsia="宋体"/>
                      <w:color w:val="auto"/>
                      <w:kern w:val="0"/>
                      <w:sz w:val="21"/>
                      <w:szCs w:val="21"/>
                      <w:highlight w:val="none"/>
                      <w:vertAlign w:val="baseline"/>
                      <w:lang w:val="en-US" w:eastAsia="zh-CN" w:bidi="ar"/>
                    </w:rPr>
                  </w:pPr>
                  <w:r>
                    <w:rPr>
                      <w:rFonts w:hint="eastAsia"/>
                      <w:color w:val="auto"/>
                      <w:kern w:val="0"/>
                      <w:sz w:val="21"/>
                      <w:szCs w:val="21"/>
                      <w:highlight w:val="none"/>
                      <w:vertAlign w:val="baseline"/>
                      <w:lang w:val="en-US" w:eastAsia="zh-CN" w:bidi="ar"/>
                    </w:rPr>
                    <w:t>0.0165</w:t>
                  </w:r>
                </w:p>
              </w:tc>
              <w:tc>
                <w:tcPr>
                  <w:tcW w:w="1847" w:type="dxa"/>
                  <w:tcBorders>
                    <w:tl2br w:val="nil"/>
                    <w:tr2bl w:val="nil"/>
                  </w:tcBorders>
                  <w:vAlign w:val="center"/>
                </w:tcPr>
                <w:p w14:paraId="2499310B">
                  <w:pPr>
                    <w:spacing w:line="240" w:lineRule="auto"/>
                    <w:jc w:val="center"/>
                    <w:rPr>
                      <w:rFonts w:hint="default" w:eastAsia="宋体"/>
                      <w:color w:val="auto"/>
                      <w:kern w:val="0"/>
                      <w:sz w:val="21"/>
                      <w:szCs w:val="21"/>
                      <w:highlight w:val="none"/>
                      <w:vertAlign w:val="baseline"/>
                      <w:lang w:val="en-US" w:eastAsia="zh-CN" w:bidi="ar"/>
                    </w:rPr>
                  </w:pPr>
                  <w:r>
                    <w:rPr>
                      <w:rFonts w:hint="eastAsia"/>
                      <w:color w:val="auto"/>
                      <w:kern w:val="0"/>
                      <w:sz w:val="21"/>
                      <w:szCs w:val="21"/>
                      <w:highlight w:val="none"/>
                      <w:vertAlign w:val="baseline"/>
                      <w:lang w:val="en-US" w:eastAsia="zh-CN" w:bidi="ar"/>
                    </w:rPr>
                    <w:t>0.0007</w:t>
                  </w:r>
                </w:p>
              </w:tc>
            </w:tr>
          </w:tbl>
          <w:p w14:paraId="592049D0">
            <w:pPr>
              <w:numPr>
                <w:ilvl w:val="0"/>
                <w:numId w:val="0"/>
              </w:numPr>
              <w:adjustRightInd w:val="0"/>
              <w:spacing w:line="360" w:lineRule="auto"/>
              <w:ind w:firstLine="480" w:firstLineChars="200"/>
              <w:jc w:val="both"/>
              <w:rPr>
                <w:rFonts w:hint="eastAsia" w:cs="Times New Roman"/>
                <w:color w:val="auto"/>
                <w:sz w:val="24"/>
                <w:highlight w:val="none"/>
                <w:lang w:val="en-US" w:eastAsia="zh-CN"/>
              </w:rPr>
            </w:pPr>
            <w:r>
              <w:rPr>
                <w:rFonts w:hint="eastAsia" w:cs="Times New Roman"/>
                <w:color w:val="auto"/>
                <w:sz w:val="24"/>
                <w:highlight w:val="none"/>
                <w:lang w:val="en-US" w:eastAsia="zh-CN"/>
              </w:rPr>
              <w:t>综上，企业现状各项污染物排放量未超过环评报告及批复的总量。</w:t>
            </w:r>
          </w:p>
          <w:p w14:paraId="17FA3B9B">
            <w:pPr>
              <w:numPr>
                <w:ilvl w:val="0"/>
                <w:numId w:val="0"/>
              </w:numPr>
              <w:adjustRightInd w:val="0"/>
              <w:spacing w:line="360" w:lineRule="auto"/>
              <w:ind w:leftChars="0"/>
              <w:jc w:val="both"/>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四、本项目现场照片</w:t>
            </w:r>
          </w:p>
          <w:tbl>
            <w:tblPr>
              <w:tblStyle w:val="24"/>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86"/>
              <w:gridCol w:w="3987"/>
            </w:tblGrid>
            <w:tr w14:paraId="6FF7B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6" w:type="dxa"/>
                  <w:tcBorders>
                    <w:tl2br w:val="nil"/>
                    <w:tr2bl w:val="nil"/>
                  </w:tcBorders>
                  <w:vAlign w:val="center"/>
                </w:tcPr>
                <w:p w14:paraId="02AF5D5A">
                  <w:pPr>
                    <w:numPr>
                      <w:ilvl w:val="0"/>
                      <w:numId w:val="0"/>
                    </w:numPr>
                    <w:adjustRightInd w:val="0"/>
                    <w:spacing w:line="360" w:lineRule="auto"/>
                    <w:jc w:val="center"/>
                    <w:rPr>
                      <w:rFonts w:hint="default" w:cs="Times New Roman"/>
                      <w:b w:val="0"/>
                      <w:bCs w:val="0"/>
                      <w:color w:val="auto"/>
                      <w:sz w:val="24"/>
                      <w:highlight w:val="none"/>
                      <w:vertAlign w:val="baseline"/>
                      <w:lang w:val="en-US" w:eastAsia="zh-CN"/>
                    </w:rPr>
                  </w:pPr>
                  <w:r>
                    <w:rPr>
                      <w:rFonts w:hint="default" w:cs="Times New Roman"/>
                      <w:b w:val="0"/>
                      <w:bCs w:val="0"/>
                      <w:color w:val="auto"/>
                      <w:sz w:val="24"/>
                      <w:highlight w:val="none"/>
                      <w:vertAlign w:val="baseline"/>
                      <w:lang w:val="en-US" w:eastAsia="zh-CN"/>
                    </w:rPr>
                    <w:drawing>
                      <wp:inline distT="0" distB="0" distL="114300" distR="114300">
                        <wp:extent cx="2389505" cy="3054985"/>
                        <wp:effectExtent l="0" t="0" r="3175" b="8255"/>
                        <wp:docPr id="29" name="图片 29" descr="微信图片_20251113114945_79_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51113114945_79_171"/>
                                <pic:cNvPicPr>
                                  <a:picLocks noChangeAspect="1"/>
                                </pic:cNvPicPr>
                              </pic:nvPicPr>
                              <pic:blipFill>
                                <a:blip r:embed="rId21"/>
                                <a:stretch>
                                  <a:fillRect/>
                                </a:stretch>
                              </pic:blipFill>
                              <pic:spPr>
                                <a:xfrm>
                                  <a:off x="0" y="0"/>
                                  <a:ext cx="2389505" cy="3054985"/>
                                </a:xfrm>
                                <a:prstGeom prst="rect">
                                  <a:avLst/>
                                </a:prstGeom>
                              </pic:spPr>
                            </pic:pic>
                          </a:graphicData>
                        </a:graphic>
                      </wp:inline>
                    </w:drawing>
                  </w:r>
                </w:p>
              </w:tc>
              <w:tc>
                <w:tcPr>
                  <w:tcW w:w="3987" w:type="dxa"/>
                  <w:tcBorders>
                    <w:tl2br w:val="nil"/>
                    <w:tr2bl w:val="nil"/>
                  </w:tcBorders>
                  <w:vAlign w:val="center"/>
                </w:tcPr>
                <w:p w14:paraId="68983995">
                  <w:pPr>
                    <w:numPr>
                      <w:ilvl w:val="0"/>
                      <w:numId w:val="0"/>
                    </w:numPr>
                    <w:adjustRightInd w:val="0"/>
                    <w:spacing w:line="360" w:lineRule="auto"/>
                    <w:jc w:val="center"/>
                    <w:rPr>
                      <w:rFonts w:hint="default" w:cs="Times New Roman"/>
                      <w:b w:val="0"/>
                      <w:bCs w:val="0"/>
                      <w:color w:val="auto"/>
                      <w:sz w:val="24"/>
                      <w:highlight w:val="none"/>
                      <w:vertAlign w:val="baseline"/>
                      <w:lang w:val="en-US" w:eastAsia="zh-CN"/>
                    </w:rPr>
                  </w:pPr>
                  <w:r>
                    <w:rPr>
                      <w:rFonts w:hint="default" w:cs="Times New Roman"/>
                      <w:b w:val="0"/>
                      <w:bCs w:val="0"/>
                      <w:color w:val="auto"/>
                      <w:sz w:val="24"/>
                      <w:highlight w:val="none"/>
                      <w:vertAlign w:val="baseline"/>
                      <w:lang w:val="en-US" w:eastAsia="zh-CN"/>
                    </w:rPr>
                    <w:drawing>
                      <wp:inline distT="0" distB="0" distL="114300" distR="114300">
                        <wp:extent cx="2389505" cy="3060700"/>
                        <wp:effectExtent l="0" t="0" r="3175" b="2540"/>
                        <wp:docPr id="32" name="图片 32" descr="微信图片_20251113114950_84_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51113114950_84_171"/>
                                <pic:cNvPicPr>
                                  <a:picLocks noChangeAspect="1"/>
                                </pic:cNvPicPr>
                              </pic:nvPicPr>
                              <pic:blipFill>
                                <a:blip r:embed="rId22"/>
                                <a:stretch>
                                  <a:fillRect/>
                                </a:stretch>
                              </pic:blipFill>
                              <pic:spPr>
                                <a:xfrm>
                                  <a:off x="0" y="0"/>
                                  <a:ext cx="2389505" cy="3060700"/>
                                </a:xfrm>
                                <a:prstGeom prst="rect">
                                  <a:avLst/>
                                </a:prstGeom>
                              </pic:spPr>
                            </pic:pic>
                          </a:graphicData>
                        </a:graphic>
                      </wp:inline>
                    </w:drawing>
                  </w:r>
                </w:p>
              </w:tc>
            </w:tr>
            <w:tr w14:paraId="284F0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6" w:type="dxa"/>
                  <w:tcBorders>
                    <w:tl2br w:val="nil"/>
                    <w:tr2bl w:val="nil"/>
                  </w:tcBorders>
                  <w:vAlign w:val="center"/>
                </w:tcPr>
                <w:p w14:paraId="6562351D">
                  <w:pPr>
                    <w:numPr>
                      <w:ilvl w:val="0"/>
                      <w:numId w:val="0"/>
                    </w:numPr>
                    <w:adjustRightInd w:val="0"/>
                    <w:spacing w:line="360" w:lineRule="auto"/>
                    <w:jc w:val="center"/>
                    <w:rPr>
                      <w:rFonts w:hint="default" w:cs="Times New Roman"/>
                      <w:b w:val="0"/>
                      <w:bCs w:val="0"/>
                      <w:color w:val="auto"/>
                      <w:sz w:val="24"/>
                      <w:highlight w:val="none"/>
                      <w:vertAlign w:val="baseline"/>
                      <w:lang w:val="en-US" w:eastAsia="zh-CN"/>
                    </w:rPr>
                  </w:pPr>
                  <w:r>
                    <w:rPr>
                      <w:rFonts w:hint="eastAsia" w:cs="Times New Roman"/>
                      <w:b w:val="0"/>
                      <w:bCs w:val="0"/>
                      <w:color w:val="auto"/>
                      <w:sz w:val="24"/>
                      <w:highlight w:val="none"/>
                      <w:vertAlign w:val="baseline"/>
                      <w:lang w:val="en-US" w:eastAsia="zh-CN"/>
                    </w:rPr>
                    <w:t>一层照片</w:t>
                  </w:r>
                </w:p>
              </w:tc>
              <w:tc>
                <w:tcPr>
                  <w:tcW w:w="3987" w:type="dxa"/>
                  <w:tcBorders>
                    <w:tl2br w:val="nil"/>
                    <w:tr2bl w:val="nil"/>
                  </w:tcBorders>
                  <w:vAlign w:val="center"/>
                </w:tcPr>
                <w:p w14:paraId="0852BDAC">
                  <w:pPr>
                    <w:numPr>
                      <w:ilvl w:val="0"/>
                      <w:numId w:val="0"/>
                    </w:numPr>
                    <w:adjustRightInd w:val="0"/>
                    <w:spacing w:line="360" w:lineRule="auto"/>
                    <w:jc w:val="center"/>
                    <w:rPr>
                      <w:rFonts w:hint="default" w:cs="Times New Roman"/>
                      <w:b w:val="0"/>
                      <w:bCs w:val="0"/>
                      <w:color w:val="auto"/>
                      <w:sz w:val="24"/>
                      <w:highlight w:val="none"/>
                      <w:vertAlign w:val="baseline"/>
                      <w:lang w:val="en-US" w:eastAsia="zh-CN"/>
                    </w:rPr>
                  </w:pPr>
                  <w:r>
                    <w:rPr>
                      <w:rFonts w:hint="eastAsia" w:cs="Times New Roman"/>
                      <w:b w:val="0"/>
                      <w:bCs w:val="0"/>
                      <w:color w:val="auto"/>
                      <w:sz w:val="24"/>
                      <w:highlight w:val="none"/>
                      <w:vertAlign w:val="baseline"/>
                      <w:lang w:val="en-US" w:eastAsia="zh-CN"/>
                    </w:rPr>
                    <w:t>二层照片</w:t>
                  </w:r>
                </w:p>
              </w:tc>
            </w:tr>
            <w:tr w14:paraId="33FF9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986" w:type="dxa"/>
                  <w:tcBorders>
                    <w:tl2br w:val="nil"/>
                    <w:tr2bl w:val="nil"/>
                  </w:tcBorders>
                  <w:vAlign w:val="center"/>
                </w:tcPr>
                <w:p w14:paraId="6874C5DC">
                  <w:pPr>
                    <w:numPr>
                      <w:ilvl w:val="0"/>
                      <w:numId w:val="0"/>
                    </w:numPr>
                    <w:adjustRightInd w:val="0"/>
                    <w:spacing w:line="360" w:lineRule="auto"/>
                    <w:jc w:val="center"/>
                    <w:rPr>
                      <w:rFonts w:hint="default" w:cs="Times New Roman"/>
                      <w:b w:val="0"/>
                      <w:bCs w:val="0"/>
                      <w:color w:val="auto"/>
                      <w:sz w:val="24"/>
                      <w:highlight w:val="none"/>
                      <w:vertAlign w:val="baseline"/>
                      <w:lang w:val="en-US" w:eastAsia="zh-CN"/>
                    </w:rPr>
                  </w:pPr>
                  <w:r>
                    <w:rPr>
                      <w:rFonts w:hint="default" w:cs="Times New Roman"/>
                      <w:b w:val="0"/>
                      <w:bCs w:val="0"/>
                      <w:color w:val="auto"/>
                      <w:sz w:val="24"/>
                      <w:highlight w:val="none"/>
                      <w:vertAlign w:val="baseline"/>
                      <w:lang w:val="en-US" w:eastAsia="zh-CN"/>
                    </w:rPr>
                    <w:drawing>
                      <wp:inline distT="0" distB="0" distL="114300" distR="114300">
                        <wp:extent cx="2389505" cy="3187065"/>
                        <wp:effectExtent l="0" t="0" r="3175" b="13335"/>
                        <wp:docPr id="33" name="图片 33" descr="微信图片_20251113114954_89_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51113114954_89_171"/>
                                <pic:cNvPicPr>
                                  <a:picLocks noChangeAspect="1"/>
                                </pic:cNvPicPr>
                              </pic:nvPicPr>
                              <pic:blipFill>
                                <a:blip r:embed="rId23"/>
                                <a:stretch>
                                  <a:fillRect/>
                                </a:stretch>
                              </pic:blipFill>
                              <pic:spPr>
                                <a:xfrm>
                                  <a:off x="0" y="0"/>
                                  <a:ext cx="2389505" cy="3187065"/>
                                </a:xfrm>
                                <a:prstGeom prst="rect">
                                  <a:avLst/>
                                </a:prstGeom>
                              </pic:spPr>
                            </pic:pic>
                          </a:graphicData>
                        </a:graphic>
                      </wp:inline>
                    </w:drawing>
                  </w:r>
                </w:p>
              </w:tc>
              <w:tc>
                <w:tcPr>
                  <w:tcW w:w="3987" w:type="dxa"/>
                  <w:tcBorders>
                    <w:tl2br w:val="nil"/>
                    <w:tr2bl w:val="nil"/>
                  </w:tcBorders>
                  <w:vAlign w:val="center"/>
                </w:tcPr>
                <w:p w14:paraId="0E9049D7">
                  <w:pPr>
                    <w:numPr>
                      <w:ilvl w:val="0"/>
                      <w:numId w:val="0"/>
                    </w:numPr>
                    <w:adjustRightInd w:val="0"/>
                    <w:spacing w:line="360" w:lineRule="auto"/>
                    <w:jc w:val="center"/>
                    <w:rPr>
                      <w:rFonts w:hint="default" w:cs="Times New Roman"/>
                      <w:b w:val="0"/>
                      <w:bCs w:val="0"/>
                      <w:color w:val="auto"/>
                      <w:sz w:val="24"/>
                      <w:highlight w:val="none"/>
                      <w:vertAlign w:val="baseline"/>
                      <w:lang w:val="en-US" w:eastAsia="zh-CN"/>
                    </w:rPr>
                  </w:pPr>
                  <w:r>
                    <w:rPr>
                      <w:rFonts w:hint="default" w:cs="Times New Roman"/>
                      <w:b w:val="0"/>
                      <w:bCs w:val="0"/>
                      <w:color w:val="auto"/>
                      <w:sz w:val="24"/>
                      <w:highlight w:val="none"/>
                      <w:vertAlign w:val="baseline"/>
                      <w:lang w:val="en-US" w:eastAsia="zh-CN"/>
                    </w:rPr>
                    <w:drawing>
                      <wp:inline distT="0" distB="0" distL="114300" distR="114300">
                        <wp:extent cx="2389505" cy="3187065"/>
                        <wp:effectExtent l="0" t="0" r="3175" b="13335"/>
                        <wp:docPr id="35" name="图片 35" descr="微信图片_20251113115002_99_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51113115002_99_171"/>
                                <pic:cNvPicPr>
                                  <a:picLocks noChangeAspect="1"/>
                                </pic:cNvPicPr>
                              </pic:nvPicPr>
                              <pic:blipFill>
                                <a:blip r:embed="rId24"/>
                                <a:stretch>
                                  <a:fillRect/>
                                </a:stretch>
                              </pic:blipFill>
                              <pic:spPr>
                                <a:xfrm>
                                  <a:off x="0" y="0"/>
                                  <a:ext cx="2389505" cy="3187065"/>
                                </a:xfrm>
                                <a:prstGeom prst="rect">
                                  <a:avLst/>
                                </a:prstGeom>
                              </pic:spPr>
                            </pic:pic>
                          </a:graphicData>
                        </a:graphic>
                      </wp:inline>
                    </w:drawing>
                  </w:r>
                </w:p>
              </w:tc>
            </w:tr>
            <w:tr w14:paraId="6F2B6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986" w:type="dxa"/>
                  <w:tcBorders>
                    <w:tl2br w:val="nil"/>
                    <w:tr2bl w:val="nil"/>
                  </w:tcBorders>
                  <w:vAlign w:val="center"/>
                </w:tcPr>
                <w:p w14:paraId="6A599B67">
                  <w:pPr>
                    <w:numPr>
                      <w:ilvl w:val="0"/>
                      <w:numId w:val="0"/>
                    </w:numPr>
                    <w:adjustRightInd w:val="0"/>
                    <w:spacing w:line="360" w:lineRule="auto"/>
                    <w:jc w:val="center"/>
                    <w:rPr>
                      <w:rFonts w:hint="default" w:cs="Times New Roman"/>
                      <w:b w:val="0"/>
                      <w:bCs w:val="0"/>
                      <w:color w:val="auto"/>
                      <w:sz w:val="24"/>
                      <w:highlight w:val="none"/>
                      <w:vertAlign w:val="baseline"/>
                      <w:lang w:val="en-US" w:eastAsia="zh-CN"/>
                    </w:rPr>
                  </w:pPr>
                  <w:r>
                    <w:rPr>
                      <w:rFonts w:hint="eastAsia" w:cs="Times New Roman"/>
                      <w:b w:val="0"/>
                      <w:bCs w:val="0"/>
                      <w:color w:val="auto"/>
                      <w:sz w:val="24"/>
                      <w:highlight w:val="none"/>
                      <w:vertAlign w:val="baseline"/>
                      <w:lang w:val="en-US" w:eastAsia="zh-CN"/>
                    </w:rPr>
                    <w:t>三层照片</w:t>
                  </w:r>
                </w:p>
              </w:tc>
              <w:tc>
                <w:tcPr>
                  <w:tcW w:w="3987" w:type="dxa"/>
                  <w:tcBorders>
                    <w:tl2br w:val="nil"/>
                    <w:tr2bl w:val="nil"/>
                  </w:tcBorders>
                  <w:vAlign w:val="center"/>
                </w:tcPr>
                <w:p w14:paraId="484D71A6">
                  <w:pPr>
                    <w:numPr>
                      <w:ilvl w:val="0"/>
                      <w:numId w:val="0"/>
                    </w:numPr>
                    <w:adjustRightInd w:val="0"/>
                    <w:spacing w:line="360" w:lineRule="auto"/>
                    <w:jc w:val="center"/>
                    <w:rPr>
                      <w:rFonts w:hint="default" w:cs="Times New Roman"/>
                      <w:b w:val="0"/>
                      <w:bCs w:val="0"/>
                      <w:color w:val="auto"/>
                      <w:sz w:val="24"/>
                      <w:highlight w:val="none"/>
                      <w:vertAlign w:val="baseline"/>
                      <w:lang w:val="en-US" w:eastAsia="zh-CN"/>
                    </w:rPr>
                  </w:pPr>
                  <w:r>
                    <w:rPr>
                      <w:rFonts w:hint="eastAsia" w:cs="Times New Roman"/>
                      <w:b w:val="0"/>
                      <w:bCs w:val="0"/>
                      <w:color w:val="auto"/>
                      <w:sz w:val="24"/>
                      <w:highlight w:val="none"/>
                      <w:vertAlign w:val="baseline"/>
                      <w:lang w:val="en-US" w:eastAsia="zh-CN"/>
                    </w:rPr>
                    <w:t>四层照片</w:t>
                  </w:r>
                </w:p>
              </w:tc>
            </w:tr>
          </w:tbl>
          <w:p w14:paraId="706B3246">
            <w:pPr>
              <w:numPr>
                <w:ilvl w:val="0"/>
                <w:numId w:val="16"/>
              </w:numPr>
              <w:adjustRightInd w:val="0"/>
              <w:spacing w:line="360" w:lineRule="auto"/>
              <w:ind w:left="425" w:leftChars="0" w:hanging="425" w:firstLineChars="0"/>
              <w:jc w:val="center"/>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项目现场照片</w:t>
            </w:r>
          </w:p>
          <w:p w14:paraId="380156CD">
            <w:pPr>
              <w:numPr>
                <w:ilvl w:val="0"/>
                <w:numId w:val="0"/>
              </w:numPr>
              <w:adjustRightInd w:val="0"/>
              <w:spacing w:line="360" w:lineRule="auto"/>
              <w:ind w:firstLine="480" w:firstLineChars="200"/>
              <w:jc w:val="both"/>
              <w:rPr>
                <w:rFonts w:hint="default" w:cs="Times New Roman"/>
                <w:color w:val="auto"/>
                <w:sz w:val="24"/>
                <w:highlight w:val="none"/>
                <w:lang w:val="en-US" w:eastAsia="zh-CN"/>
              </w:rPr>
            </w:pPr>
          </w:p>
        </w:tc>
      </w:tr>
    </w:tbl>
    <w:p w14:paraId="56BD53D3">
      <w:pPr>
        <w:rPr>
          <w:rFonts w:hint="default" w:ascii="Times New Roman" w:hAnsi="Times New Roman" w:eastAsia="宋体" w:cs="Times New Roman"/>
          <w:color w:val="auto"/>
          <w:highlight w:val="none"/>
        </w:rPr>
        <w:sectPr>
          <w:pgSz w:w="11906" w:h="16838"/>
          <w:pgMar w:top="1701" w:right="1531" w:bottom="1860"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2AD430B">
      <w:pPr>
        <w:pStyle w:val="2"/>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b w:val="0"/>
          <w:bCs w:val="0"/>
          <w:color w:val="auto"/>
          <w:sz w:val="36"/>
          <w:szCs w:val="36"/>
          <w:highlight w:val="none"/>
        </w:rPr>
        <w:t>三、区域环境质量现状、环境保护目标及评价标准</w:t>
      </w:r>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47"/>
      </w:tblGrid>
      <w:tr w14:paraId="2429D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00" w:type="dxa"/>
            <w:vAlign w:val="center"/>
          </w:tcPr>
          <w:p w14:paraId="0BF1D33E">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区域环境质量现状</w:t>
            </w:r>
          </w:p>
        </w:tc>
        <w:tc>
          <w:tcPr>
            <w:tcW w:w="8147" w:type="dxa"/>
            <w:vAlign w:val="center"/>
          </w:tcPr>
          <w:p w14:paraId="5741A79F">
            <w:pPr>
              <w:pStyle w:val="20"/>
              <w:numPr>
                <w:ilvl w:val="0"/>
                <w:numId w:val="0"/>
              </w:numPr>
              <w:adjustRightInd w:val="0"/>
              <w:snapToGrid w:val="0"/>
              <w:spacing w:before="0" w:beforeAutospacing="0" w:after="0" w:afterAutospacing="0" w:line="360" w:lineRule="auto"/>
              <w:jc w:val="both"/>
              <w:rPr>
                <w:rFonts w:hint="default" w:ascii="Times New Roman" w:hAnsi="Times New Roman" w:eastAsia="宋体" w:cs="Times New Roman"/>
                <w:b/>
                <w:bCs/>
                <w:color w:val="auto"/>
                <w:szCs w:val="24"/>
                <w:highlight w:val="none"/>
              </w:rPr>
            </w:pPr>
            <w:r>
              <w:rPr>
                <w:rFonts w:hint="eastAsia" w:ascii="Times New Roman" w:hAnsi="Times New Roman" w:cs="Times New Roman"/>
                <w:b/>
                <w:bCs/>
                <w:color w:val="auto"/>
                <w:szCs w:val="24"/>
                <w:highlight w:val="none"/>
                <w:lang w:val="en-US" w:eastAsia="zh-CN"/>
              </w:rPr>
              <w:t>一、</w:t>
            </w:r>
            <w:r>
              <w:rPr>
                <w:rFonts w:hint="default" w:ascii="Times New Roman" w:hAnsi="Times New Roman" w:eastAsia="宋体" w:cs="Times New Roman"/>
                <w:b/>
                <w:bCs/>
                <w:color w:val="auto"/>
                <w:szCs w:val="24"/>
                <w:highlight w:val="none"/>
              </w:rPr>
              <w:t>大气环境</w:t>
            </w:r>
          </w:p>
          <w:p w14:paraId="0CC85E26">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highlight w:val="none"/>
              </w:rPr>
              <w:t>本项目所在区域为二类环境空气功能区，环境空气质量执行《环境空气质量标准》（GB3095-2012）及其修改单中的二级浓度限值。</w:t>
            </w:r>
          </w:p>
          <w:p w14:paraId="7DD0940B">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根据北京202</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年5月北京市生态环境局发布的《202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年北京市生态环境状况公报》中的空气质量数据，对项目所在区域</w:t>
            </w:r>
            <w:r>
              <w:rPr>
                <w:rFonts w:hint="default" w:ascii="Times New Roman" w:hAnsi="Times New Roman" w:eastAsia="宋体" w:cs="Times New Roman"/>
                <w:color w:val="auto"/>
                <w:sz w:val="24"/>
                <w:highlight w:val="none"/>
                <w:lang w:val="en-US" w:eastAsia="zh-CN"/>
              </w:rPr>
              <w:t>及北京市</w:t>
            </w:r>
            <w:r>
              <w:rPr>
                <w:rFonts w:hint="default" w:ascii="Times New Roman" w:hAnsi="Times New Roman" w:eastAsia="宋体" w:cs="Times New Roman"/>
                <w:color w:val="auto"/>
                <w:sz w:val="24"/>
                <w:highlight w:val="none"/>
              </w:rPr>
              <w:t>空气质量进行评价，统计数据见下表。</w:t>
            </w:r>
          </w:p>
          <w:p w14:paraId="364B4A5E">
            <w:pPr>
              <w:numPr>
                <w:ilvl w:val="0"/>
                <w:numId w:val="24"/>
              </w:numPr>
              <w:spacing w:line="360" w:lineRule="auto"/>
              <w:jc w:val="center"/>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通州</w:t>
            </w:r>
            <w:r>
              <w:rPr>
                <w:rFonts w:hint="default" w:ascii="Times New Roman" w:hAnsi="Times New Roman" w:eastAsia="宋体" w:cs="Times New Roman"/>
                <w:b/>
                <w:bCs/>
                <w:color w:val="auto"/>
                <w:sz w:val="24"/>
                <w:highlight w:val="none"/>
              </w:rPr>
              <w:t>区202</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年环境空气质量数据</w:t>
            </w:r>
          </w:p>
          <w:tbl>
            <w:tblPr>
              <w:tblStyle w:val="50"/>
              <w:tblW w:w="4900" w:type="pct"/>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553"/>
              <w:gridCol w:w="1554"/>
              <w:gridCol w:w="1554"/>
              <w:gridCol w:w="1554"/>
              <w:gridCol w:w="1557"/>
            </w:tblGrid>
            <w:tr w14:paraId="22DDF1F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611" w:type="dxa"/>
                  <w:tcBorders>
                    <w:tl2br w:val="nil"/>
                    <w:tr2bl w:val="nil"/>
                  </w:tcBorders>
                  <w:vAlign w:val="center"/>
                </w:tcPr>
                <w:p w14:paraId="1172D559">
                  <w:pPr>
                    <w:pStyle w:val="49"/>
                    <w:spacing w:before="37" w:line="215"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2"/>
                      <w:sz w:val="21"/>
                      <w:szCs w:val="21"/>
                      <w:highlight w:val="none"/>
                      <w:lang w:eastAsia="zh-CN"/>
                    </w:rPr>
                    <w:t>项目</w:t>
                  </w:r>
                </w:p>
              </w:tc>
              <w:tc>
                <w:tcPr>
                  <w:tcW w:w="1611" w:type="dxa"/>
                  <w:tcBorders>
                    <w:tl2br w:val="nil"/>
                    <w:tr2bl w:val="nil"/>
                  </w:tcBorders>
                  <w:vAlign w:val="center"/>
                </w:tcPr>
                <w:p w14:paraId="7A725BAB">
                  <w:pPr>
                    <w:pStyle w:val="49"/>
                    <w:spacing w:before="37" w:line="215" w:lineRule="auto"/>
                    <w:ind w:left="113"/>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SO</w:t>
                  </w:r>
                  <w:r>
                    <w:rPr>
                      <w:rFonts w:hint="default" w:ascii="Times New Roman" w:hAnsi="Times New Roman" w:eastAsia="宋体" w:cs="Times New Roman"/>
                      <w:b/>
                      <w:bCs/>
                      <w:color w:val="auto"/>
                      <w:spacing w:val="6"/>
                      <w:position w:val="-1"/>
                      <w:sz w:val="21"/>
                      <w:szCs w:val="21"/>
                      <w:highlight w:val="none"/>
                      <w:vertAlign w:val="subscript"/>
                      <w:lang w:eastAsia="zh-CN"/>
                    </w:rPr>
                    <w:t>2</w:t>
                  </w:r>
                  <w:r>
                    <w:rPr>
                      <w:rFonts w:hint="default" w:ascii="Times New Roman" w:hAnsi="Times New Roman" w:eastAsia="宋体" w:cs="Times New Roman"/>
                      <w:b/>
                      <w:bCs/>
                      <w:color w:val="auto"/>
                      <w:spacing w:val="2"/>
                      <w:sz w:val="21"/>
                      <w:szCs w:val="21"/>
                      <w:highlight w:val="none"/>
                      <w:lang w:eastAsia="zh-CN"/>
                    </w:rPr>
                    <w:t>(</w:t>
                  </w:r>
                  <w:r>
                    <w:rPr>
                      <w:rFonts w:hint="default" w:ascii="Times New Roman" w:hAnsi="Times New Roman" w:eastAsia="宋体" w:cs="Times New Roman"/>
                      <w:b/>
                      <w:bCs/>
                      <w:color w:val="auto"/>
                      <w:spacing w:val="2"/>
                      <w:sz w:val="21"/>
                      <w:szCs w:val="21"/>
                      <w:highlight w:val="none"/>
                    </w:rPr>
                    <w:t>μ</w:t>
                  </w:r>
                  <w:r>
                    <w:rPr>
                      <w:rFonts w:hint="default" w:ascii="Times New Roman" w:hAnsi="Times New Roman" w:eastAsia="宋体" w:cs="Times New Roman"/>
                      <w:b/>
                      <w:bCs/>
                      <w:color w:val="auto"/>
                      <w:spacing w:val="2"/>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2"/>
                      <w:sz w:val="21"/>
                      <w:szCs w:val="21"/>
                      <w:highlight w:val="none"/>
                      <w:lang w:eastAsia="zh-CN"/>
                    </w:rPr>
                    <w:t>）</w:t>
                  </w:r>
                </w:p>
              </w:tc>
              <w:tc>
                <w:tcPr>
                  <w:tcW w:w="1611" w:type="dxa"/>
                  <w:tcBorders>
                    <w:tl2br w:val="nil"/>
                    <w:tr2bl w:val="nil"/>
                  </w:tcBorders>
                  <w:vAlign w:val="center"/>
                </w:tcPr>
                <w:p w14:paraId="1DFE62F8">
                  <w:pPr>
                    <w:pStyle w:val="49"/>
                    <w:spacing w:before="37" w:line="215" w:lineRule="auto"/>
                    <w:ind w:left="84"/>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NO</w:t>
                  </w:r>
                  <w:r>
                    <w:rPr>
                      <w:rFonts w:hint="default" w:ascii="Times New Roman" w:hAnsi="Times New Roman" w:eastAsia="宋体" w:cs="Times New Roman"/>
                      <w:b/>
                      <w:bCs/>
                      <w:color w:val="auto"/>
                      <w:spacing w:val="14"/>
                      <w:position w:val="-1"/>
                      <w:sz w:val="21"/>
                      <w:szCs w:val="21"/>
                      <w:highlight w:val="none"/>
                      <w:vertAlign w:val="subscript"/>
                      <w:lang w:eastAsia="zh-CN"/>
                    </w:rPr>
                    <w:t>2</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μ</w:t>
                  </w:r>
                  <w:r>
                    <w:rPr>
                      <w:rFonts w:hint="default" w:ascii="Times New Roman" w:hAnsi="Times New Roman" w:eastAsia="宋体" w:cs="Times New Roman"/>
                      <w:b/>
                      <w:bCs/>
                      <w:color w:val="auto"/>
                      <w:spacing w:val="1"/>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1"/>
                      <w:sz w:val="21"/>
                      <w:szCs w:val="21"/>
                      <w:highlight w:val="none"/>
                      <w:lang w:eastAsia="zh-CN"/>
                    </w:rPr>
                    <w:t>）</w:t>
                  </w:r>
                </w:p>
              </w:tc>
              <w:tc>
                <w:tcPr>
                  <w:tcW w:w="1611" w:type="dxa"/>
                  <w:tcBorders>
                    <w:tl2br w:val="nil"/>
                    <w:tr2bl w:val="nil"/>
                  </w:tcBorders>
                  <w:vAlign w:val="center"/>
                </w:tcPr>
                <w:p w14:paraId="4FC1B28F">
                  <w:pPr>
                    <w:pStyle w:val="49"/>
                    <w:spacing w:before="37" w:line="215" w:lineRule="auto"/>
                    <w:ind w:left="105"/>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PM</w:t>
                  </w:r>
                  <w:r>
                    <w:rPr>
                      <w:rFonts w:hint="default" w:ascii="Times New Roman" w:hAnsi="Times New Roman" w:eastAsia="宋体" w:cs="Times New Roman"/>
                      <w:b/>
                      <w:bCs/>
                      <w:color w:val="auto"/>
                      <w:spacing w:val="3"/>
                      <w:position w:val="-1"/>
                      <w:sz w:val="21"/>
                      <w:szCs w:val="21"/>
                      <w:highlight w:val="none"/>
                      <w:vertAlign w:val="subscript"/>
                      <w:lang w:eastAsia="zh-CN"/>
                    </w:rPr>
                    <w:t>10</w:t>
                  </w:r>
                  <w:r>
                    <w:rPr>
                      <w:rFonts w:hint="default" w:ascii="Times New Roman" w:hAnsi="Times New Roman" w:eastAsia="宋体" w:cs="Times New Roman"/>
                      <w:b/>
                      <w:bCs/>
                      <w:color w:val="auto"/>
                      <w:spacing w:val="3"/>
                      <w:sz w:val="21"/>
                      <w:szCs w:val="21"/>
                      <w:highlight w:val="none"/>
                      <w:lang w:eastAsia="zh-CN"/>
                    </w:rPr>
                    <w:t>(</w:t>
                  </w:r>
                  <w:r>
                    <w:rPr>
                      <w:rFonts w:hint="default" w:ascii="Times New Roman" w:hAnsi="Times New Roman" w:eastAsia="宋体" w:cs="Times New Roman"/>
                      <w:b/>
                      <w:bCs/>
                      <w:color w:val="auto"/>
                      <w:spacing w:val="3"/>
                      <w:sz w:val="21"/>
                      <w:szCs w:val="21"/>
                      <w:highlight w:val="none"/>
                    </w:rPr>
                    <w:t>μ</w:t>
                  </w:r>
                  <w:r>
                    <w:rPr>
                      <w:rFonts w:hint="default" w:ascii="Times New Roman" w:hAnsi="Times New Roman" w:eastAsia="宋体" w:cs="Times New Roman"/>
                      <w:b/>
                      <w:bCs/>
                      <w:color w:val="auto"/>
                      <w:spacing w:val="3"/>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3"/>
                      <w:sz w:val="21"/>
                      <w:szCs w:val="21"/>
                      <w:highlight w:val="none"/>
                      <w:lang w:eastAsia="zh-CN"/>
                    </w:rPr>
                    <w:t>）</w:t>
                  </w:r>
                </w:p>
              </w:tc>
              <w:tc>
                <w:tcPr>
                  <w:tcW w:w="1614" w:type="dxa"/>
                  <w:tcBorders>
                    <w:tl2br w:val="nil"/>
                    <w:tr2bl w:val="nil"/>
                  </w:tcBorders>
                  <w:vAlign w:val="center"/>
                </w:tcPr>
                <w:p w14:paraId="45B1C25A">
                  <w:pPr>
                    <w:pStyle w:val="49"/>
                    <w:spacing w:before="37" w:line="215" w:lineRule="auto"/>
                    <w:ind w:left="86"/>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PM</w:t>
                  </w:r>
                  <w:r>
                    <w:rPr>
                      <w:rFonts w:hint="default" w:ascii="Times New Roman" w:hAnsi="Times New Roman" w:eastAsia="宋体" w:cs="Times New Roman"/>
                      <w:b/>
                      <w:bCs/>
                      <w:color w:val="auto"/>
                      <w:spacing w:val="3"/>
                      <w:position w:val="-1"/>
                      <w:sz w:val="21"/>
                      <w:szCs w:val="21"/>
                      <w:highlight w:val="none"/>
                      <w:vertAlign w:val="subscript"/>
                      <w:lang w:eastAsia="zh-CN"/>
                    </w:rPr>
                    <w:t>2.5</w:t>
                  </w:r>
                  <w:r>
                    <w:rPr>
                      <w:rFonts w:hint="default" w:ascii="Times New Roman" w:hAnsi="Times New Roman" w:eastAsia="宋体" w:cs="Times New Roman"/>
                      <w:b/>
                      <w:bCs/>
                      <w:color w:val="auto"/>
                      <w:spacing w:val="3"/>
                      <w:sz w:val="21"/>
                      <w:szCs w:val="21"/>
                      <w:highlight w:val="none"/>
                      <w:lang w:eastAsia="zh-CN"/>
                    </w:rPr>
                    <w:t>(</w:t>
                  </w:r>
                  <w:r>
                    <w:rPr>
                      <w:rFonts w:hint="default" w:ascii="Times New Roman" w:hAnsi="Times New Roman" w:eastAsia="宋体" w:cs="Times New Roman"/>
                      <w:b/>
                      <w:bCs/>
                      <w:color w:val="auto"/>
                      <w:spacing w:val="3"/>
                      <w:sz w:val="21"/>
                      <w:szCs w:val="21"/>
                      <w:highlight w:val="none"/>
                    </w:rPr>
                    <w:t>μ</w:t>
                  </w:r>
                  <w:r>
                    <w:rPr>
                      <w:rFonts w:hint="default" w:ascii="Times New Roman" w:hAnsi="Times New Roman" w:eastAsia="宋体" w:cs="Times New Roman"/>
                      <w:b/>
                      <w:bCs/>
                      <w:color w:val="auto"/>
                      <w:spacing w:val="3"/>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3"/>
                      <w:sz w:val="21"/>
                      <w:szCs w:val="21"/>
                      <w:highlight w:val="none"/>
                      <w:lang w:eastAsia="zh-CN"/>
                    </w:rPr>
                    <w:t>）</w:t>
                  </w:r>
                </w:p>
              </w:tc>
            </w:tr>
            <w:tr w14:paraId="27AAE8D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11" w:type="dxa"/>
                  <w:tcBorders>
                    <w:tl2br w:val="nil"/>
                    <w:tr2bl w:val="nil"/>
                  </w:tcBorders>
                  <w:vAlign w:val="center"/>
                </w:tcPr>
                <w:p w14:paraId="37EB2CE6">
                  <w:pPr>
                    <w:pStyle w:val="49"/>
                    <w:spacing w:before="33" w:line="216"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pacing w:val="6"/>
                      <w:sz w:val="21"/>
                      <w:szCs w:val="21"/>
                      <w:highlight w:val="none"/>
                      <w:lang w:val="en-US" w:eastAsia="zh-CN"/>
                    </w:rPr>
                    <w:t>现状</w:t>
                  </w:r>
                  <w:r>
                    <w:rPr>
                      <w:rFonts w:hint="default" w:ascii="Times New Roman" w:hAnsi="Times New Roman" w:eastAsia="宋体" w:cs="Times New Roman"/>
                      <w:b w:val="0"/>
                      <w:bCs w:val="0"/>
                      <w:color w:val="auto"/>
                      <w:spacing w:val="6"/>
                      <w:sz w:val="21"/>
                      <w:szCs w:val="21"/>
                      <w:highlight w:val="none"/>
                      <w:lang w:eastAsia="zh-CN"/>
                    </w:rPr>
                    <w:t>浓度</w:t>
                  </w:r>
                </w:p>
              </w:tc>
              <w:tc>
                <w:tcPr>
                  <w:tcW w:w="1611" w:type="dxa"/>
                  <w:tcBorders>
                    <w:tl2br w:val="nil"/>
                    <w:tr2bl w:val="nil"/>
                  </w:tcBorders>
                  <w:vAlign w:val="center"/>
                </w:tcPr>
                <w:p w14:paraId="6B544503">
                  <w:pPr>
                    <w:spacing w:before="68" w:line="195" w:lineRule="auto"/>
                    <w:jc w:val="center"/>
                    <w:rPr>
                      <w:rFonts w:hint="default" w:ascii="Times New Roman" w:hAnsi="Times New Roman" w:eastAsia="宋体" w:cs="Times New Roman"/>
                      <w:b w:val="0"/>
                      <w:bCs w:val="0"/>
                      <w:color w:val="auto"/>
                      <w:szCs w:val="21"/>
                      <w:highlight w:val="none"/>
                      <w:lang w:eastAsia="zh-CN"/>
                    </w:rPr>
                  </w:pPr>
                  <w:r>
                    <w:rPr>
                      <w:rFonts w:hint="eastAsia" w:cs="Times New Roman"/>
                      <w:b w:val="0"/>
                      <w:bCs w:val="0"/>
                      <w:color w:val="auto"/>
                      <w:szCs w:val="21"/>
                      <w:highlight w:val="none"/>
                      <w:lang w:val="en-US" w:eastAsia="zh-CN"/>
                    </w:rPr>
                    <w:t>3</w:t>
                  </w:r>
                </w:p>
              </w:tc>
              <w:tc>
                <w:tcPr>
                  <w:tcW w:w="1611" w:type="dxa"/>
                  <w:tcBorders>
                    <w:tl2br w:val="nil"/>
                    <w:tr2bl w:val="nil"/>
                  </w:tcBorders>
                  <w:vAlign w:val="center"/>
                </w:tcPr>
                <w:p w14:paraId="6A4EA0E2">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30</w:t>
                  </w:r>
                </w:p>
              </w:tc>
              <w:tc>
                <w:tcPr>
                  <w:tcW w:w="1611" w:type="dxa"/>
                  <w:tcBorders>
                    <w:tl2br w:val="nil"/>
                    <w:tr2bl w:val="nil"/>
                  </w:tcBorders>
                  <w:vAlign w:val="center"/>
                </w:tcPr>
                <w:p w14:paraId="6D6459C7">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60</w:t>
                  </w:r>
                </w:p>
              </w:tc>
              <w:tc>
                <w:tcPr>
                  <w:tcW w:w="1614" w:type="dxa"/>
                  <w:tcBorders>
                    <w:tl2br w:val="nil"/>
                    <w:tr2bl w:val="nil"/>
                  </w:tcBorders>
                  <w:vAlign w:val="center"/>
                </w:tcPr>
                <w:p w14:paraId="4A64486D">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33.9</w:t>
                  </w:r>
                </w:p>
              </w:tc>
            </w:tr>
            <w:tr w14:paraId="6242348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1611" w:type="dxa"/>
                  <w:tcBorders>
                    <w:tl2br w:val="nil"/>
                    <w:tr2bl w:val="nil"/>
                  </w:tcBorders>
                  <w:vAlign w:val="center"/>
                </w:tcPr>
                <w:p w14:paraId="0944C9BD">
                  <w:pPr>
                    <w:pStyle w:val="49"/>
                    <w:spacing w:before="33" w:line="216" w:lineRule="auto"/>
                    <w:jc w:val="center"/>
                    <w:rPr>
                      <w:rFonts w:hint="default" w:ascii="Times New Roman" w:hAnsi="Times New Roman" w:eastAsia="宋体" w:cs="Times New Roman"/>
                      <w:b w:val="0"/>
                      <w:bCs w:val="0"/>
                      <w:color w:val="auto"/>
                      <w:spacing w:val="6"/>
                      <w:sz w:val="21"/>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平均时间</w:t>
                  </w:r>
                </w:p>
              </w:tc>
              <w:tc>
                <w:tcPr>
                  <w:tcW w:w="1611" w:type="dxa"/>
                  <w:tcBorders>
                    <w:tl2br w:val="nil"/>
                    <w:tr2bl w:val="nil"/>
                  </w:tcBorders>
                  <w:vAlign w:val="center"/>
                </w:tcPr>
                <w:p w14:paraId="000ABF8D">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年均值</w:t>
                  </w:r>
                </w:p>
              </w:tc>
              <w:tc>
                <w:tcPr>
                  <w:tcW w:w="1611" w:type="dxa"/>
                  <w:tcBorders>
                    <w:tl2br w:val="nil"/>
                    <w:tr2bl w:val="nil"/>
                  </w:tcBorders>
                  <w:vAlign w:val="center"/>
                </w:tcPr>
                <w:p w14:paraId="756468AB">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年均值</w:t>
                  </w:r>
                </w:p>
              </w:tc>
              <w:tc>
                <w:tcPr>
                  <w:tcW w:w="1611" w:type="dxa"/>
                  <w:tcBorders>
                    <w:tl2br w:val="nil"/>
                    <w:tr2bl w:val="nil"/>
                  </w:tcBorders>
                  <w:vAlign w:val="center"/>
                </w:tcPr>
                <w:p w14:paraId="46919B0B">
                  <w:pPr>
                    <w:spacing w:before="68" w:line="195" w:lineRule="auto"/>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pacing w:val="2"/>
                      <w:szCs w:val="21"/>
                      <w:highlight w:val="none"/>
                      <w:lang w:val="en-US" w:eastAsia="zh-CN"/>
                    </w:rPr>
                    <w:t>24小时平均</w:t>
                  </w:r>
                </w:p>
              </w:tc>
              <w:tc>
                <w:tcPr>
                  <w:tcW w:w="1614" w:type="dxa"/>
                  <w:tcBorders>
                    <w:tl2br w:val="nil"/>
                    <w:tr2bl w:val="nil"/>
                  </w:tcBorders>
                  <w:vAlign w:val="center"/>
                </w:tcPr>
                <w:p w14:paraId="0B9E428A">
                  <w:pPr>
                    <w:spacing w:before="68"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2"/>
                      <w:szCs w:val="21"/>
                      <w:highlight w:val="none"/>
                      <w:lang w:val="en-US" w:eastAsia="zh-CN"/>
                    </w:rPr>
                    <w:t>24小时平均</w:t>
                  </w:r>
                </w:p>
              </w:tc>
            </w:tr>
            <w:tr w14:paraId="4777F29F">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9" w:hRule="atLeast"/>
                <w:jc w:val="center"/>
              </w:trPr>
              <w:tc>
                <w:tcPr>
                  <w:tcW w:w="1611" w:type="dxa"/>
                  <w:tcBorders>
                    <w:tl2br w:val="nil"/>
                    <w:tr2bl w:val="nil"/>
                  </w:tcBorders>
                  <w:vAlign w:val="center"/>
                </w:tcPr>
                <w:p w14:paraId="2948021E">
                  <w:pPr>
                    <w:pStyle w:val="49"/>
                    <w:spacing w:before="34" w:line="214" w:lineRule="auto"/>
                    <w:jc w:val="center"/>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pacing w:val="6"/>
                      <w:sz w:val="21"/>
                      <w:szCs w:val="21"/>
                      <w:highlight w:val="none"/>
                      <w:lang w:eastAsia="zh-CN"/>
                    </w:rPr>
                    <w:t>标准值</w:t>
                  </w:r>
                </w:p>
              </w:tc>
              <w:tc>
                <w:tcPr>
                  <w:tcW w:w="1611" w:type="dxa"/>
                  <w:tcBorders>
                    <w:tl2br w:val="nil"/>
                    <w:tr2bl w:val="nil"/>
                  </w:tcBorders>
                  <w:vAlign w:val="center"/>
                </w:tcPr>
                <w:p w14:paraId="4400BC4D">
                  <w:pPr>
                    <w:spacing w:before="70"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60</w:t>
                  </w:r>
                </w:p>
              </w:tc>
              <w:tc>
                <w:tcPr>
                  <w:tcW w:w="1611" w:type="dxa"/>
                  <w:tcBorders>
                    <w:tl2br w:val="nil"/>
                    <w:tr2bl w:val="nil"/>
                  </w:tcBorders>
                  <w:vAlign w:val="center"/>
                </w:tcPr>
                <w:p w14:paraId="5D89B6AC">
                  <w:pPr>
                    <w:spacing w:before="70"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3"/>
                      <w:szCs w:val="21"/>
                      <w:highlight w:val="none"/>
                    </w:rPr>
                    <w:t>40</w:t>
                  </w:r>
                </w:p>
              </w:tc>
              <w:tc>
                <w:tcPr>
                  <w:tcW w:w="1611" w:type="dxa"/>
                  <w:tcBorders>
                    <w:tl2br w:val="nil"/>
                    <w:tr2bl w:val="nil"/>
                  </w:tcBorders>
                  <w:vAlign w:val="center"/>
                </w:tcPr>
                <w:p w14:paraId="443C8AD5">
                  <w:pPr>
                    <w:spacing w:before="70"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1"/>
                      <w:szCs w:val="21"/>
                      <w:highlight w:val="none"/>
                    </w:rPr>
                    <w:t>70</w:t>
                  </w:r>
                </w:p>
              </w:tc>
              <w:tc>
                <w:tcPr>
                  <w:tcW w:w="1614" w:type="dxa"/>
                  <w:tcBorders>
                    <w:tl2br w:val="nil"/>
                    <w:tr2bl w:val="nil"/>
                  </w:tcBorders>
                  <w:vAlign w:val="center"/>
                </w:tcPr>
                <w:p w14:paraId="49689C3B">
                  <w:pPr>
                    <w:spacing w:before="70" w:line="195" w:lineRule="auto"/>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35</w:t>
                  </w:r>
                </w:p>
              </w:tc>
            </w:tr>
            <w:tr w14:paraId="7087835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611" w:type="dxa"/>
                  <w:tcBorders>
                    <w:tl2br w:val="nil"/>
                    <w:tr2bl w:val="nil"/>
                  </w:tcBorders>
                  <w:vAlign w:val="center"/>
                </w:tcPr>
                <w:p w14:paraId="44D061EA">
                  <w:pPr>
                    <w:pStyle w:val="49"/>
                    <w:spacing w:before="36" w:line="216"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7"/>
                      <w:sz w:val="21"/>
                      <w:szCs w:val="21"/>
                      <w:highlight w:val="none"/>
                      <w:lang w:val="en-US" w:eastAsia="zh-CN"/>
                    </w:rPr>
                    <w:t>达标情况</w:t>
                  </w:r>
                </w:p>
              </w:tc>
              <w:tc>
                <w:tcPr>
                  <w:tcW w:w="1611" w:type="dxa"/>
                  <w:tcBorders>
                    <w:tl2br w:val="nil"/>
                    <w:tr2bl w:val="nil"/>
                  </w:tcBorders>
                  <w:vAlign w:val="center"/>
                </w:tcPr>
                <w:p w14:paraId="2C76A57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611" w:type="dxa"/>
                  <w:tcBorders>
                    <w:tl2br w:val="nil"/>
                    <w:tr2bl w:val="nil"/>
                  </w:tcBorders>
                  <w:vAlign w:val="center"/>
                </w:tcPr>
                <w:p w14:paraId="5C043DE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611" w:type="dxa"/>
                  <w:tcBorders>
                    <w:tl2br w:val="nil"/>
                    <w:tr2bl w:val="nil"/>
                  </w:tcBorders>
                  <w:vAlign w:val="center"/>
                </w:tcPr>
                <w:p w14:paraId="16C9DA6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614" w:type="dxa"/>
                  <w:tcBorders>
                    <w:tl2br w:val="nil"/>
                    <w:tr2bl w:val="nil"/>
                  </w:tcBorders>
                  <w:vAlign w:val="center"/>
                </w:tcPr>
                <w:p w14:paraId="0A242263">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r>
          </w:tbl>
          <w:p w14:paraId="757675FB">
            <w:pPr>
              <w:numPr>
                <w:ilvl w:val="0"/>
                <w:numId w:val="0"/>
              </w:numPr>
              <w:ind w:leftChars="0"/>
              <w:jc w:val="both"/>
              <w:rPr>
                <w:rFonts w:hint="default" w:ascii="Times New Roman" w:hAnsi="Times New Roman" w:eastAsia="宋体" w:cs="Times New Roman"/>
                <w:b/>
                <w:bCs/>
                <w:color w:val="auto"/>
                <w:sz w:val="24"/>
                <w:highlight w:val="none"/>
              </w:rPr>
            </w:pPr>
          </w:p>
          <w:p w14:paraId="45CC6BB2">
            <w:pPr>
              <w:numPr>
                <w:ilvl w:val="0"/>
                <w:numId w:val="24"/>
              </w:num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北京市202</w:t>
            </w: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年环境空气质量数据</w:t>
            </w:r>
          </w:p>
          <w:tbl>
            <w:tblPr>
              <w:tblStyle w:val="50"/>
              <w:tblW w:w="4899" w:type="pct"/>
              <w:tblInd w:w="6" w:type="dxa"/>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990"/>
              <w:gridCol w:w="921"/>
              <w:gridCol w:w="1048"/>
              <w:gridCol w:w="974"/>
              <w:gridCol w:w="1002"/>
              <w:gridCol w:w="1592"/>
              <w:gridCol w:w="1245"/>
            </w:tblGrid>
            <w:tr w14:paraId="6DFCBCDD">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990" w:type="dxa"/>
                  <w:tcBorders>
                    <w:tl2br w:val="nil"/>
                    <w:tr2bl w:val="nil"/>
                  </w:tcBorders>
                  <w:vAlign w:val="center"/>
                </w:tcPr>
                <w:p w14:paraId="4E4C75B0">
                  <w:pPr>
                    <w:pStyle w:val="4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项目</w:t>
                  </w:r>
                </w:p>
              </w:tc>
              <w:tc>
                <w:tcPr>
                  <w:tcW w:w="921" w:type="dxa"/>
                  <w:tcBorders>
                    <w:tl2br w:val="nil"/>
                    <w:tr2bl w:val="nil"/>
                  </w:tcBorders>
                  <w:vAlign w:val="center"/>
                </w:tcPr>
                <w:p w14:paraId="664BBB99">
                  <w:pPr>
                    <w:jc w:val="center"/>
                    <w:rPr>
                      <w:rFonts w:hint="default" w:ascii="Times New Roman" w:hAnsi="Times New Roman" w:eastAsia="宋体" w:cs="Times New Roman"/>
                      <w:b/>
                      <w:bCs/>
                      <w:color w:val="auto"/>
                      <w:spacing w:val="6"/>
                      <w:position w:val="-1"/>
                      <w:szCs w:val="21"/>
                      <w:highlight w:val="none"/>
                    </w:rPr>
                  </w:pPr>
                  <w:r>
                    <w:rPr>
                      <w:rFonts w:hint="default" w:ascii="Times New Roman" w:hAnsi="Times New Roman" w:eastAsia="宋体" w:cs="Times New Roman"/>
                      <w:b/>
                      <w:bCs/>
                      <w:color w:val="auto"/>
                      <w:szCs w:val="21"/>
                      <w:highlight w:val="none"/>
                    </w:rPr>
                    <w:t>SO</w:t>
                  </w:r>
                  <w:r>
                    <w:rPr>
                      <w:rFonts w:hint="default" w:ascii="Times New Roman" w:hAnsi="Times New Roman" w:eastAsia="宋体" w:cs="Times New Roman"/>
                      <w:b/>
                      <w:bCs/>
                      <w:color w:val="auto"/>
                      <w:spacing w:val="6"/>
                      <w:position w:val="-1"/>
                      <w:szCs w:val="21"/>
                      <w:highlight w:val="none"/>
                      <w:vertAlign w:val="subscript"/>
                    </w:rPr>
                    <w:t>2</w:t>
                  </w:r>
                </w:p>
                <w:p w14:paraId="0268D48C">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3"/>
                      <w:szCs w:val="21"/>
                      <w:highlight w:val="none"/>
                    </w:rPr>
                    <w:t>(μg/m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pacing w:val="3"/>
                      <w:szCs w:val="21"/>
                      <w:highlight w:val="none"/>
                    </w:rPr>
                    <w:t>)</w:t>
                  </w:r>
                </w:p>
              </w:tc>
              <w:tc>
                <w:tcPr>
                  <w:tcW w:w="1048" w:type="dxa"/>
                  <w:tcBorders>
                    <w:tl2br w:val="nil"/>
                    <w:tr2bl w:val="nil"/>
                  </w:tcBorders>
                  <w:vAlign w:val="center"/>
                </w:tcPr>
                <w:p w14:paraId="0AAEAAEC">
                  <w:pPr>
                    <w:jc w:val="center"/>
                    <w:rPr>
                      <w:rFonts w:hint="default" w:ascii="Times New Roman" w:hAnsi="Times New Roman" w:eastAsia="宋体" w:cs="Times New Roman"/>
                      <w:b/>
                      <w:bCs/>
                      <w:color w:val="auto"/>
                      <w:spacing w:val="14"/>
                      <w:position w:val="-1"/>
                      <w:szCs w:val="21"/>
                      <w:highlight w:val="none"/>
                    </w:rPr>
                  </w:pPr>
                  <w:r>
                    <w:rPr>
                      <w:rFonts w:hint="default" w:ascii="Times New Roman" w:hAnsi="Times New Roman" w:eastAsia="宋体" w:cs="Times New Roman"/>
                      <w:b/>
                      <w:bCs/>
                      <w:color w:val="auto"/>
                      <w:szCs w:val="21"/>
                      <w:highlight w:val="none"/>
                    </w:rPr>
                    <w:t>NO</w:t>
                  </w:r>
                  <w:r>
                    <w:rPr>
                      <w:rFonts w:hint="default" w:ascii="Times New Roman" w:hAnsi="Times New Roman" w:eastAsia="宋体" w:cs="Times New Roman"/>
                      <w:b/>
                      <w:bCs/>
                      <w:color w:val="auto"/>
                      <w:spacing w:val="14"/>
                      <w:position w:val="-1"/>
                      <w:szCs w:val="21"/>
                      <w:highlight w:val="none"/>
                      <w:vertAlign w:val="subscript"/>
                    </w:rPr>
                    <w:t>2</w:t>
                  </w:r>
                </w:p>
                <w:p w14:paraId="69DFCBB8">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2"/>
                      <w:szCs w:val="21"/>
                      <w:highlight w:val="none"/>
                    </w:rPr>
                    <w:t>(μg/m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pacing w:val="2"/>
                      <w:szCs w:val="21"/>
                      <w:highlight w:val="none"/>
                    </w:rPr>
                    <w:t>)</w:t>
                  </w:r>
                </w:p>
              </w:tc>
              <w:tc>
                <w:tcPr>
                  <w:tcW w:w="974" w:type="dxa"/>
                  <w:tcBorders>
                    <w:tl2br w:val="nil"/>
                    <w:tr2bl w:val="nil"/>
                  </w:tcBorders>
                  <w:vAlign w:val="center"/>
                </w:tcPr>
                <w:p w14:paraId="49973437">
                  <w:pPr>
                    <w:pStyle w:val="49"/>
                    <w:jc w:val="center"/>
                    <w:rPr>
                      <w:rFonts w:hint="default" w:ascii="Times New Roman" w:hAnsi="Times New Roman" w:eastAsia="宋体" w:cs="Times New Roman"/>
                      <w:b/>
                      <w:bCs/>
                      <w:color w:val="auto"/>
                      <w:spacing w:val="9"/>
                      <w:position w:val="-1"/>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pacing w:val="9"/>
                      <w:position w:val="-1"/>
                      <w:sz w:val="21"/>
                      <w:szCs w:val="21"/>
                      <w:highlight w:val="none"/>
                      <w:vertAlign w:val="subscript"/>
                    </w:rPr>
                    <w:t>10</w:t>
                  </w:r>
                </w:p>
                <w:p w14:paraId="48BAFF7E">
                  <w:pPr>
                    <w:pStyle w:val="4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(μg/m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z w:val="21"/>
                      <w:szCs w:val="21"/>
                      <w:highlight w:val="none"/>
                    </w:rPr>
                    <w:t>）</w:t>
                  </w:r>
                </w:p>
              </w:tc>
              <w:tc>
                <w:tcPr>
                  <w:tcW w:w="1002" w:type="dxa"/>
                  <w:tcBorders>
                    <w:tl2br w:val="nil"/>
                    <w:tr2bl w:val="nil"/>
                  </w:tcBorders>
                  <w:vAlign w:val="center"/>
                </w:tcPr>
                <w:p w14:paraId="48E852A0">
                  <w:pPr>
                    <w:pStyle w:val="49"/>
                    <w:jc w:val="center"/>
                    <w:rPr>
                      <w:rFonts w:hint="default" w:ascii="Times New Roman" w:hAnsi="Times New Roman" w:eastAsia="宋体" w:cs="Times New Roman"/>
                      <w:b/>
                      <w:bCs/>
                      <w:color w:val="auto"/>
                      <w:spacing w:val="6"/>
                      <w:position w:val="-1"/>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pacing w:val="6"/>
                      <w:position w:val="-1"/>
                      <w:sz w:val="21"/>
                      <w:szCs w:val="21"/>
                      <w:highlight w:val="none"/>
                      <w:vertAlign w:val="subscript"/>
                    </w:rPr>
                    <w:t>2.5</w:t>
                  </w:r>
                </w:p>
                <w:p w14:paraId="13B69367">
                  <w:pPr>
                    <w:pStyle w:val="49"/>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(μg/m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z w:val="21"/>
                      <w:szCs w:val="21"/>
                      <w:highlight w:val="none"/>
                    </w:rPr>
                    <w:t>）</w:t>
                  </w:r>
                </w:p>
              </w:tc>
              <w:tc>
                <w:tcPr>
                  <w:tcW w:w="1592" w:type="dxa"/>
                  <w:tcBorders>
                    <w:tl2br w:val="nil"/>
                    <w:tr2bl w:val="nil"/>
                  </w:tcBorders>
                  <w:vAlign w:val="center"/>
                </w:tcPr>
                <w:p w14:paraId="5E4190A3">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CO</w:t>
                  </w:r>
                  <w:r>
                    <w:rPr>
                      <w:rFonts w:hint="default" w:ascii="Times New Roman" w:hAnsi="Times New Roman" w:eastAsia="宋体" w:cs="Times New Roman"/>
                      <w:b/>
                      <w:bCs/>
                      <w:color w:val="auto"/>
                      <w:spacing w:val="7"/>
                      <w:szCs w:val="21"/>
                      <w:highlight w:val="none"/>
                    </w:rPr>
                    <w:t>-24h-95</w:t>
                  </w:r>
                  <w:r>
                    <w:rPr>
                      <w:rFonts w:hint="default" w:ascii="Times New Roman" w:hAnsi="Times New Roman" w:eastAsia="宋体" w:cs="Times New Roman"/>
                      <w:b/>
                      <w:bCs/>
                      <w:color w:val="auto"/>
                      <w:szCs w:val="21"/>
                      <w:highlight w:val="none"/>
                    </w:rPr>
                    <w:t>per</w:t>
                  </w:r>
                </w:p>
                <w:p w14:paraId="14569C3A">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pacing w:val="1"/>
                      <w:szCs w:val="21"/>
                      <w:highlight w:val="none"/>
                    </w:rPr>
                    <w:t>(μg/m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pacing w:val="1"/>
                      <w:szCs w:val="21"/>
                      <w:highlight w:val="none"/>
                    </w:rPr>
                    <w:t>）</w:t>
                  </w:r>
                </w:p>
              </w:tc>
              <w:tc>
                <w:tcPr>
                  <w:tcW w:w="1245" w:type="dxa"/>
                  <w:tcBorders>
                    <w:tl2br w:val="nil"/>
                    <w:tr2bl w:val="nil"/>
                  </w:tcBorders>
                  <w:vAlign w:val="center"/>
                </w:tcPr>
                <w:p w14:paraId="59B41CD5">
                  <w:pPr>
                    <w:pStyle w:val="49"/>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5"/>
                      <w:sz w:val="21"/>
                      <w:szCs w:val="21"/>
                      <w:highlight w:val="none"/>
                      <w:lang w:eastAsia="zh-CN"/>
                    </w:rPr>
                    <w:t>O</w:t>
                  </w:r>
                  <w:r>
                    <w:rPr>
                      <w:rFonts w:hint="default" w:ascii="Times New Roman" w:hAnsi="Times New Roman" w:eastAsia="宋体" w:cs="Times New Roman"/>
                      <w:b/>
                      <w:bCs/>
                      <w:color w:val="auto"/>
                      <w:spacing w:val="5"/>
                      <w:sz w:val="21"/>
                      <w:szCs w:val="21"/>
                      <w:highlight w:val="none"/>
                      <w:vertAlign w:val="subscript"/>
                      <w:lang w:eastAsia="zh-CN"/>
                    </w:rPr>
                    <w:t>3</w:t>
                  </w:r>
                  <w:r>
                    <w:rPr>
                      <w:rFonts w:hint="default" w:ascii="Times New Roman" w:hAnsi="Times New Roman" w:eastAsia="宋体" w:cs="Times New Roman"/>
                      <w:b/>
                      <w:bCs/>
                      <w:color w:val="auto"/>
                      <w:spacing w:val="5"/>
                      <w:sz w:val="21"/>
                      <w:szCs w:val="21"/>
                      <w:highlight w:val="none"/>
                      <w:lang w:eastAsia="zh-CN"/>
                    </w:rPr>
                    <w:t>-8h-90</w:t>
                  </w:r>
                  <w:r>
                    <w:rPr>
                      <w:rFonts w:hint="default" w:ascii="Times New Roman" w:hAnsi="Times New Roman" w:eastAsia="宋体" w:cs="Times New Roman"/>
                      <w:b/>
                      <w:bCs/>
                      <w:color w:val="auto"/>
                      <w:sz w:val="21"/>
                      <w:szCs w:val="21"/>
                      <w:highlight w:val="none"/>
                      <w:lang w:eastAsia="zh-CN"/>
                    </w:rPr>
                    <w:t>per</w:t>
                  </w:r>
                </w:p>
                <w:p w14:paraId="6DC30752">
                  <w:pPr>
                    <w:pStyle w:val="49"/>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μ</w:t>
                  </w:r>
                  <w:r>
                    <w:rPr>
                      <w:rFonts w:hint="default" w:ascii="Times New Roman" w:hAnsi="Times New Roman" w:eastAsia="宋体" w:cs="Times New Roman"/>
                      <w:b/>
                      <w:bCs/>
                      <w:color w:val="auto"/>
                      <w:spacing w:val="1"/>
                      <w:sz w:val="21"/>
                      <w:szCs w:val="21"/>
                      <w:highlight w:val="none"/>
                      <w:lang w:eastAsia="zh-CN"/>
                    </w:rPr>
                    <w:t>g/m</w:t>
                  </w:r>
                  <w:r>
                    <w:rPr>
                      <w:rFonts w:hint="default" w:ascii="Times New Roman" w:hAnsi="Times New Roman" w:eastAsia="宋体" w:cs="Times New Roman"/>
                      <w:b/>
                      <w:bCs/>
                      <w:color w:val="auto"/>
                      <w:sz w:val="21"/>
                      <w:szCs w:val="21"/>
                      <w:highlight w:val="none"/>
                      <w:vertAlign w:val="superscript"/>
                      <w:lang w:eastAsia="zh-CN"/>
                    </w:rPr>
                    <w:t>3</w:t>
                  </w:r>
                  <w:r>
                    <w:rPr>
                      <w:rFonts w:hint="default" w:ascii="Times New Roman" w:hAnsi="Times New Roman" w:eastAsia="宋体" w:cs="Times New Roman"/>
                      <w:b/>
                      <w:bCs/>
                      <w:color w:val="auto"/>
                      <w:spacing w:val="1"/>
                      <w:sz w:val="21"/>
                      <w:szCs w:val="21"/>
                      <w:highlight w:val="none"/>
                      <w:lang w:eastAsia="zh-CN"/>
                    </w:rPr>
                    <w:t>）</w:t>
                  </w:r>
                </w:p>
              </w:tc>
            </w:tr>
            <w:tr w14:paraId="5D5C6A5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990" w:type="dxa"/>
                  <w:tcBorders>
                    <w:tl2br w:val="nil"/>
                    <w:tr2bl w:val="nil"/>
                  </w:tcBorders>
                  <w:vAlign w:val="center"/>
                </w:tcPr>
                <w:p w14:paraId="13E64FA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现状浓度</w:t>
                  </w:r>
                </w:p>
              </w:tc>
              <w:tc>
                <w:tcPr>
                  <w:tcW w:w="921" w:type="dxa"/>
                  <w:tcBorders>
                    <w:tl2br w:val="nil"/>
                    <w:tr2bl w:val="nil"/>
                  </w:tcBorders>
                  <w:vAlign w:val="center"/>
                </w:tcPr>
                <w:p w14:paraId="058AFD76">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w:t>
                  </w:r>
                </w:p>
              </w:tc>
              <w:tc>
                <w:tcPr>
                  <w:tcW w:w="1048" w:type="dxa"/>
                  <w:tcBorders>
                    <w:tl2br w:val="nil"/>
                    <w:tr2bl w:val="nil"/>
                  </w:tcBorders>
                  <w:vAlign w:val="center"/>
                </w:tcPr>
                <w:p w14:paraId="402A3D0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pacing w:val="2"/>
                      <w:szCs w:val="21"/>
                      <w:highlight w:val="none"/>
                    </w:rPr>
                    <w:t>2</w:t>
                  </w:r>
                  <w:r>
                    <w:rPr>
                      <w:rFonts w:hint="default" w:ascii="Times New Roman" w:hAnsi="Times New Roman" w:eastAsia="宋体" w:cs="Times New Roman"/>
                      <w:b w:val="0"/>
                      <w:bCs w:val="0"/>
                      <w:color w:val="auto"/>
                      <w:spacing w:val="2"/>
                      <w:szCs w:val="21"/>
                      <w:highlight w:val="none"/>
                      <w:lang w:val="en-US" w:eastAsia="zh-CN"/>
                    </w:rPr>
                    <w:t>4</w:t>
                  </w:r>
                </w:p>
              </w:tc>
              <w:tc>
                <w:tcPr>
                  <w:tcW w:w="974" w:type="dxa"/>
                  <w:tcBorders>
                    <w:tl2br w:val="nil"/>
                    <w:tr2bl w:val="nil"/>
                  </w:tcBorders>
                  <w:vAlign w:val="center"/>
                </w:tcPr>
                <w:p w14:paraId="2F743958">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54</w:t>
                  </w:r>
                </w:p>
              </w:tc>
              <w:tc>
                <w:tcPr>
                  <w:tcW w:w="1002" w:type="dxa"/>
                  <w:tcBorders>
                    <w:tl2br w:val="nil"/>
                    <w:tr2bl w:val="nil"/>
                  </w:tcBorders>
                  <w:vAlign w:val="center"/>
                </w:tcPr>
                <w:p w14:paraId="18C8ABDB">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rPr>
                    <w:t>3</w:t>
                  </w:r>
                  <w:r>
                    <w:rPr>
                      <w:rFonts w:hint="default" w:ascii="Times New Roman" w:hAnsi="Times New Roman" w:eastAsia="宋体" w:cs="Times New Roman"/>
                      <w:b w:val="0"/>
                      <w:bCs w:val="0"/>
                      <w:color w:val="auto"/>
                      <w:szCs w:val="21"/>
                      <w:highlight w:val="none"/>
                      <w:lang w:val="en-US" w:eastAsia="zh-CN"/>
                    </w:rPr>
                    <w:t>0.5</w:t>
                  </w:r>
                </w:p>
              </w:tc>
              <w:tc>
                <w:tcPr>
                  <w:tcW w:w="1592" w:type="dxa"/>
                  <w:tcBorders>
                    <w:tl2br w:val="nil"/>
                    <w:tr2bl w:val="nil"/>
                  </w:tcBorders>
                  <w:vAlign w:val="center"/>
                </w:tcPr>
                <w:p w14:paraId="65759D9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2"/>
                      <w:szCs w:val="21"/>
                      <w:highlight w:val="none"/>
                    </w:rPr>
                    <w:t>900</w:t>
                  </w:r>
                </w:p>
              </w:tc>
              <w:tc>
                <w:tcPr>
                  <w:tcW w:w="1245" w:type="dxa"/>
                  <w:tcBorders>
                    <w:tl2br w:val="nil"/>
                    <w:tr2bl w:val="nil"/>
                  </w:tcBorders>
                  <w:vAlign w:val="center"/>
                </w:tcPr>
                <w:p w14:paraId="6C2B8A10">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pacing w:val="-3"/>
                      <w:szCs w:val="21"/>
                      <w:highlight w:val="none"/>
                    </w:rPr>
                    <w:t>17</w:t>
                  </w:r>
                  <w:r>
                    <w:rPr>
                      <w:rFonts w:hint="default" w:ascii="Times New Roman" w:hAnsi="Times New Roman" w:eastAsia="宋体" w:cs="Times New Roman"/>
                      <w:b w:val="0"/>
                      <w:bCs w:val="0"/>
                      <w:color w:val="auto"/>
                      <w:spacing w:val="-3"/>
                      <w:szCs w:val="21"/>
                      <w:highlight w:val="none"/>
                      <w:lang w:val="en-US" w:eastAsia="zh-CN"/>
                    </w:rPr>
                    <w:t>1</w:t>
                  </w:r>
                </w:p>
              </w:tc>
            </w:tr>
            <w:tr w14:paraId="57E532F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990" w:type="dxa"/>
                  <w:tcBorders>
                    <w:tl2br w:val="nil"/>
                    <w:tr2bl w:val="nil"/>
                  </w:tcBorders>
                  <w:vAlign w:val="center"/>
                </w:tcPr>
                <w:p w14:paraId="10893302">
                  <w:pPr>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平均时间</w:t>
                  </w:r>
                </w:p>
              </w:tc>
              <w:tc>
                <w:tcPr>
                  <w:tcW w:w="1969" w:type="dxa"/>
                  <w:gridSpan w:val="2"/>
                  <w:tcBorders>
                    <w:tl2br w:val="nil"/>
                    <w:tr2bl w:val="nil"/>
                  </w:tcBorders>
                  <w:vAlign w:val="center"/>
                </w:tcPr>
                <w:p w14:paraId="1961369D">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年均值</w:t>
                  </w:r>
                </w:p>
              </w:tc>
              <w:tc>
                <w:tcPr>
                  <w:tcW w:w="1976" w:type="dxa"/>
                  <w:gridSpan w:val="2"/>
                  <w:tcBorders>
                    <w:tl2br w:val="nil"/>
                    <w:tr2bl w:val="nil"/>
                  </w:tcBorders>
                  <w:vAlign w:val="center"/>
                </w:tcPr>
                <w:p w14:paraId="3330F065">
                  <w:pPr>
                    <w:jc w:val="center"/>
                    <w:rPr>
                      <w:rFonts w:hint="default" w:ascii="Times New Roman" w:hAnsi="Times New Roman" w:eastAsia="宋体" w:cs="Times New Roman"/>
                      <w:b w:val="0"/>
                      <w:bCs w:val="0"/>
                      <w:color w:val="auto"/>
                      <w:spacing w:val="2"/>
                      <w:szCs w:val="21"/>
                      <w:highlight w:val="none"/>
                      <w:lang w:val="en-US" w:eastAsia="zh-CN"/>
                    </w:rPr>
                  </w:pPr>
                  <w:r>
                    <w:rPr>
                      <w:rFonts w:hint="default" w:ascii="Times New Roman" w:hAnsi="Times New Roman" w:eastAsia="宋体" w:cs="Times New Roman"/>
                      <w:b w:val="0"/>
                      <w:bCs w:val="0"/>
                      <w:color w:val="auto"/>
                      <w:spacing w:val="2"/>
                      <w:szCs w:val="21"/>
                      <w:highlight w:val="none"/>
                      <w:lang w:val="en-US" w:eastAsia="zh-CN"/>
                    </w:rPr>
                    <w:t>24小时平均</w:t>
                  </w:r>
                </w:p>
              </w:tc>
              <w:tc>
                <w:tcPr>
                  <w:tcW w:w="2837" w:type="dxa"/>
                  <w:gridSpan w:val="2"/>
                  <w:tcBorders>
                    <w:tl2br w:val="nil"/>
                    <w:tr2bl w:val="nil"/>
                  </w:tcBorders>
                  <w:vAlign w:val="center"/>
                </w:tcPr>
                <w:p w14:paraId="0C8A87C9">
                  <w:pPr>
                    <w:jc w:val="center"/>
                    <w:rPr>
                      <w:rFonts w:hint="default" w:ascii="Times New Roman" w:hAnsi="Times New Roman" w:eastAsia="宋体" w:cs="Times New Roman"/>
                      <w:b w:val="0"/>
                      <w:bCs w:val="0"/>
                      <w:color w:val="auto"/>
                      <w:spacing w:val="-3"/>
                      <w:szCs w:val="21"/>
                      <w:highlight w:val="none"/>
                      <w:lang w:val="en-US" w:eastAsia="zh-CN"/>
                    </w:rPr>
                  </w:pPr>
                  <w:r>
                    <w:rPr>
                      <w:rFonts w:hint="default" w:ascii="Times New Roman" w:hAnsi="Times New Roman" w:eastAsia="宋体" w:cs="Times New Roman"/>
                      <w:b w:val="0"/>
                      <w:bCs w:val="0"/>
                      <w:color w:val="auto"/>
                      <w:spacing w:val="-3"/>
                      <w:szCs w:val="21"/>
                      <w:highlight w:val="none"/>
                      <w:lang w:val="en-US" w:eastAsia="zh-CN"/>
                    </w:rPr>
                    <w:t>日最大8小时平均</w:t>
                  </w:r>
                </w:p>
              </w:tc>
            </w:tr>
            <w:tr w14:paraId="1F60BB4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990" w:type="dxa"/>
                  <w:tcBorders>
                    <w:tl2br w:val="nil"/>
                    <w:tr2bl w:val="nil"/>
                  </w:tcBorders>
                  <w:vAlign w:val="center"/>
                </w:tcPr>
                <w:p w14:paraId="3D68866A">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标准值</w:t>
                  </w:r>
                </w:p>
              </w:tc>
              <w:tc>
                <w:tcPr>
                  <w:tcW w:w="921" w:type="dxa"/>
                  <w:tcBorders>
                    <w:tl2br w:val="nil"/>
                    <w:tr2bl w:val="nil"/>
                  </w:tcBorders>
                  <w:vAlign w:val="center"/>
                </w:tcPr>
                <w:p w14:paraId="6DF95F2E">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60</w:t>
                  </w:r>
                </w:p>
              </w:tc>
              <w:tc>
                <w:tcPr>
                  <w:tcW w:w="1048" w:type="dxa"/>
                  <w:tcBorders>
                    <w:tl2br w:val="nil"/>
                    <w:tr2bl w:val="nil"/>
                  </w:tcBorders>
                  <w:vAlign w:val="center"/>
                </w:tcPr>
                <w:p w14:paraId="12C55D4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3"/>
                      <w:szCs w:val="21"/>
                      <w:highlight w:val="none"/>
                    </w:rPr>
                    <w:t>40</w:t>
                  </w:r>
                </w:p>
              </w:tc>
              <w:tc>
                <w:tcPr>
                  <w:tcW w:w="974" w:type="dxa"/>
                  <w:tcBorders>
                    <w:tl2br w:val="nil"/>
                    <w:tr2bl w:val="nil"/>
                  </w:tcBorders>
                  <w:vAlign w:val="center"/>
                </w:tcPr>
                <w:p w14:paraId="3898201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1"/>
                      <w:szCs w:val="21"/>
                      <w:highlight w:val="none"/>
                    </w:rPr>
                    <w:t>70</w:t>
                  </w:r>
                </w:p>
              </w:tc>
              <w:tc>
                <w:tcPr>
                  <w:tcW w:w="1002" w:type="dxa"/>
                  <w:tcBorders>
                    <w:tl2br w:val="nil"/>
                    <w:tr2bl w:val="nil"/>
                  </w:tcBorders>
                  <w:vAlign w:val="center"/>
                </w:tcPr>
                <w:p w14:paraId="3F1508F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35</w:t>
                  </w:r>
                </w:p>
              </w:tc>
              <w:tc>
                <w:tcPr>
                  <w:tcW w:w="1592" w:type="dxa"/>
                  <w:tcBorders>
                    <w:tl2br w:val="nil"/>
                    <w:tr2bl w:val="nil"/>
                  </w:tcBorders>
                  <w:vAlign w:val="center"/>
                </w:tcPr>
                <w:p w14:paraId="2507004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4"/>
                      <w:szCs w:val="21"/>
                      <w:highlight w:val="none"/>
                    </w:rPr>
                    <w:t>4000</w:t>
                  </w:r>
                </w:p>
              </w:tc>
              <w:tc>
                <w:tcPr>
                  <w:tcW w:w="1245" w:type="dxa"/>
                  <w:tcBorders>
                    <w:tl2br w:val="nil"/>
                    <w:tr2bl w:val="nil"/>
                  </w:tcBorders>
                  <w:vAlign w:val="center"/>
                </w:tcPr>
                <w:p w14:paraId="18A2248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pacing w:val="-3"/>
                      <w:szCs w:val="21"/>
                      <w:highlight w:val="none"/>
                    </w:rPr>
                    <w:t>160</w:t>
                  </w:r>
                </w:p>
              </w:tc>
            </w:tr>
            <w:tr w14:paraId="4B48F169">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0" w:type="dxa"/>
                  <w:tcBorders>
                    <w:tl2br w:val="nil"/>
                    <w:tr2bl w:val="nil"/>
                  </w:tcBorders>
                  <w:vAlign w:val="center"/>
                </w:tcPr>
                <w:p w14:paraId="093D33FC">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达标情况</w:t>
                  </w:r>
                </w:p>
              </w:tc>
              <w:tc>
                <w:tcPr>
                  <w:tcW w:w="921" w:type="dxa"/>
                  <w:tcBorders>
                    <w:tl2br w:val="nil"/>
                    <w:tr2bl w:val="nil"/>
                  </w:tcBorders>
                  <w:vAlign w:val="center"/>
                </w:tcPr>
                <w:p w14:paraId="0BFFF389">
                  <w:pPr>
                    <w:jc w:val="center"/>
                    <w:rPr>
                      <w:rFonts w:hint="default" w:ascii="Times New Roman" w:hAnsi="Times New Roman" w:eastAsia="宋体" w:cs="Times New Roman"/>
                      <w:b w:val="0"/>
                      <w:bCs w:val="0"/>
                      <w:color w:val="auto"/>
                      <w:szCs w:val="21"/>
                      <w:highlight w:val="none"/>
                      <w:lang w:eastAsia="zh-CN"/>
                    </w:rPr>
                  </w:pPr>
                  <w:r>
                    <w:rPr>
                      <w:rFonts w:hint="default" w:ascii="Times New Roman" w:hAnsi="Times New Roman" w:eastAsia="宋体" w:cs="Times New Roman"/>
                      <w:b w:val="0"/>
                      <w:bCs w:val="0"/>
                      <w:color w:val="auto"/>
                      <w:szCs w:val="21"/>
                      <w:highlight w:val="none"/>
                      <w:lang w:val="en-US" w:eastAsia="zh-CN"/>
                    </w:rPr>
                    <w:t>达标</w:t>
                  </w:r>
                </w:p>
              </w:tc>
              <w:tc>
                <w:tcPr>
                  <w:tcW w:w="1048" w:type="dxa"/>
                  <w:tcBorders>
                    <w:tl2br w:val="nil"/>
                    <w:tr2bl w:val="nil"/>
                  </w:tcBorders>
                  <w:vAlign w:val="center"/>
                </w:tcPr>
                <w:p w14:paraId="752E8FF4">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974" w:type="dxa"/>
                  <w:tcBorders>
                    <w:tl2br w:val="nil"/>
                    <w:tr2bl w:val="nil"/>
                  </w:tcBorders>
                  <w:vAlign w:val="center"/>
                </w:tcPr>
                <w:p w14:paraId="165584E5">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002" w:type="dxa"/>
                  <w:tcBorders>
                    <w:tl2br w:val="nil"/>
                    <w:tr2bl w:val="nil"/>
                  </w:tcBorders>
                  <w:vAlign w:val="center"/>
                </w:tcPr>
                <w:p w14:paraId="69D80567">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592" w:type="dxa"/>
                  <w:tcBorders>
                    <w:tl2br w:val="nil"/>
                    <w:tr2bl w:val="nil"/>
                  </w:tcBorders>
                  <w:vAlign w:val="center"/>
                </w:tcPr>
                <w:p w14:paraId="1F5433CF">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达标</w:t>
                  </w:r>
                </w:p>
              </w:tc>
              <w:tc>
                <w:tcPr>
                  <w:tcW w:w="1245" w:type="dxa"/>
                  <w:tcBorders>
                    <w:tl2br w:val="nil"/>
                    <w:tr2bl w:val="nil"/>
                  </w:tcBorders>
                  <w:vAlign w:val="center"/>
                </w:tcPr>
                <w:p w14:paraId="7C545B8C">
                  <w:pPr>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lang w:val="en-US" w:eastAsia="zh-CN"/>
                    </w:rPr>
                    <w:t>不达标</w:t>
                  </w:r>
                </w:p>
              </w:tc>
            </w:tr>
          </w:tbl>
          <w:p w14:paraId="218031B0">
            <w:pPr>
              <w:pStyle w:val="20"/>
              <w:numPr>
                <w:ilvl w:val="0"/>
                <w:numId w:val="0"/>
              </w:numPr>
              <w:adjustRightInd w:val="0"/>
              <w:snapToGrid w:val="0"/>
              <w:spacing w:before="0" w:beforeAutospacing="0" w:after="0" w:afterAutospacing="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val="en-US" w:eastAsia="zh-CN"/>
              </w:rPr>
              <w:t>以上分析</w:t>
            </w:r>
            <w:r>
              <w:rPr>
                <w:rFonts w:hint="default" w:ascii="Times New Roman" w:hAnsi="Times New Roman" w:eastAsia="宋体" w:cs="Times New Roman"/>
                <w:color w:val="auto"/>
                <w:sz w:val="24"/>
                <w:highlight w:val="none"/>
              </w:rPr>
              <w:t>可知，2024年</w:t>
            </w:r>
            <w:r>
              <w:rPr>
                <w:rFonts w:hint="eastAsia" w:ascii="Times New Roman" w:hAnsi="Times New Roman" w:cs="Times New Roman"/>
                <w:color w:val="auto"/>
                <w:sz w:val="24"/>
                <w:highlight w:val="none"/>
                <w:lang w:val="en-US" w:eastAsia="zh-CN"/>
              </w:rPr>
              <w:t>通州</w:t>
            </w:r>
            <w:r>
              <w:rPr>
                <w:rFonts w:hint="default" w:ascii="Times New Roman" w:hAnsi="Times New Roman" w:eastAsia="宋体" w:cs="Times New Roman"/>
                <w:color w:val="auto"/>
                <w:sz w:val="24"/>
                <w:highlight w:val="none"/>
              </w:rPr>
              <w:t>区各污染物浓度均达到《环境空气质量标准》(GB3095-2012)限值要求，北京市</w:t>
            </w:r>
            <w:r>
              <w:rPr>
                <w:rFonts w:hint="default" w:ascii="Times New Roman" w:hAnsi="Times New Roman" w:eastAsia="宋体" w:cs="Times New Roman"/>
                <w:color w:val="auto"/>
                <w:sz w:val="24"/>
                <w:highlight w:val="none"/>
                <w:lang w:val="en-US" w:eastAsia="zh-CN"/>
              </w:rPr>
              <w:t>O</w:t>
            </w:r>
            <w:r>
              <w:rPr>
                <w:rFonts w:hint="default" w:ascii="Times New Roman" w:hAnsi="Times New Roman" w:eastAsia="宋体" w:cs="Times New Roman"/>
                <w:color w:val="auto"/>
                <w:sz w:val="24"/>
                <w:highlight w:val="none"/>
                <w:vertAlign w:val="subscript"/>
                <w:lang w:val="en-US" w:eastAsia="zh-CN"/>
              </w:rPr>
              <w:t>3</w:t>
            </w:r>
            <w:r>
              <w:rPr>
                <w:rFonts w:hint="default" w:ascii="Times New Roman" w:hAnsi="Times New Roman" w:eastAsia="宋体" w:cs="Times New Roman"/>
                <w:color w:val="auto"/>
                <w:sz w:val="24"/>
                <w:highlight w:val="none"/>
              </w:rPr>
              <w:t>日最大8小时平均浓度未能达到《环境空气质量标准》(GB3095-2012)限值要求，其他污染物现状浓度达到上述标准要求，判定项目</w:t>
            </w:r>
            <w:r>
              <w:rPr>
                <w:rFonts w:hint="default" w:ascii="Times New Roman" w:hAnsi="Times New Roman" w:eastAsia="宋体" w:cs="Times New Roman"/>
                <w:color w:val="auto"/>
                <w:sz w:val="24"/>
                <w:highlight w:val="none"/>
                <w:lang w:val="en-US" w:eastAsia="zh-CN"/>
              </w:rPr>
              <w:t>所在地</w:t>
            </w:r>
            <w:r>
              <w:rPr>
                <w:rFonts w:hint="default" w:ascii="Times New Roman" w:hAnsi="Times New Roman" w:eastAsia="宋体" w:cs="Times New Roman"/>
                <w:color w:val="auto"/>
                <w:sz w:val="24"/>
                <w:highlight w:val="none"/>
              </w:rPr>
              <w:t>为环境空气质量不达标区。</w:t>
            </w:r>
          </w:p>
          <w:p w14:paraId="77D1B795">
            <w:pPr>
              <w:pStyle w:val="20"/>
              <w:numPr>
                <w:ilvl w:val="0"/>
                <w:numId w:val="0"/>
              </w:numPr>
              <w:adjustRightInd w:val="0"/>
              <w:snapToGrid w:val="0"/>
              <w:spacing w:before="0" w:beforeAutospacing="0" w:after="0" w:afterAutospacing="0" w:line="360" w:lineRule="auto"/>
              <w:rPr>
                <w:rFonts w:hint="default" w:ascii="Times New Roman" w:hAnsi="Times New Roman" w:eastAsia="宋体" w:cs="Times New Roman"/>
                <w:b/>
                <w:bCs/>
                <w:color w:val="auto"/>
                <w:szCs w:val="24"/>
                <w:highlight w:val="none"/>
              </w:rPr>
            </w:pPr>
            <w:r>
              <w:rPr>
                <w:rFonts w:hint="eastAsia" w:ascii="Times New Roman" w:hAnsi="Times New Roman" w:cs="Times New Roman"/>
                <w:b/>
                <w:bCs/>
                <w:color w:val="auto"/>
                <w:szCs w:val="24"/>
                <w:highlight w:val="none"/>
                <w:lang w:val="en-US" w:eastAsia="zh-CN"/>
              </w:rPr>
              <w:t>二、</w:t>
            </w:r>
            <w:r>
              <w:rPr>
                <w:rFonts w:hint="default" w:ascii="Times New Roman" w:hAnsi="Times New Roman" w:eastAsia="宋体" w:cs="Times New Roman"/>
                <w:b/>
                <w:bCs/>
                <w:color w:val="auto"/>
                <w:szCs w:val="24"/>
                <w:highlight w:val="none"/>
              </w:rPr>
              <w:t>地表水环境</w:t>
            </w:r>
          </w:p>
          <w:p w14:paraId="7C1BB3A9">
            <w:pPr>
              <w:adjustRightIn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项目所在地附近地表水为</w:t>
            </w:r>
            <w:r>
              <w:rPr>
                <w:rFonts w:hint="eastAsia" w:cs="Times New Roman"/>
                <w:color w:val="auto"/>
                <w:sz w:val="24"/>
                <w:highlight w:val="none"/>
                <w:lang w:eastAsia="zh-CN"/>
              </w:rPr>
              <w:t>新凤河</w:t>
            </w:r>
            <w:r>
              <w:rPr>
                <w:rFonts w:hint="default" w:ascii="Times New Roman" w:hAnsi="Times New Roman" w:eastAsia="宋体" w:cs="Times New Roman"/>
                <w:color w:val="auto"/>
                <w:sz w:val="24"/>
                <w:highlight w:val="none"/>
              </w:rPr>
              <w:t>，位于项目</w:t>
            </w:r>
            <w:r>
              <w:rPr>
                <w:rFonts w:hint="eastAsia" w:cs="Times New Roman"/>
                <w:color w:val="auto"/>
                <w:sz w:val="24"/>
                <w:szCs w:val="32"/>
                <w:highlight w:val="none"/>
                <w:lang w:val="en-US" w:eastAsia="zh-CN"/>
              </w:rPr>
              <w:t>西北</w:t>
            </w:r>
            <w:r>
              <w:rPr>
                <w:rFonts w:hint="default" w:ascii="Times New Roman" w:hAnsi="Times New Roman" w:eastAsia="宋体" w:cs="Times New Roman"/>
                <w:color w:val="auto"/>
                <w:sz w:val="24"/>
                <w:szCs w:val="32"/>
                <w:highlight w:val="none"/>
              </w:rPr>
              <w:t>侧</w:t>
            </w:r>
            <w:r>
              <w:rPr>
                <w:rFonts w:hint="eastAsia" w:cs="Times New Roman"/>
                <w:color w:val="auto"/>
                <w:sz w:val="24"/>
                <w:highlight w:val="none"/>
                <w:lang w:val="en-US" w:eastAsia="zh-CN"/>
              </w:rPr>
              <w:t>2.25</w:t>
            </w:r>
            <w:r>
              <w:rPr>
                <w:rFonts w:hint="default" w:ascii="Times New Roman" w:hAnsi="Times New Roman" w:eastAsia="宋体" w:cs="Times New Roman"/>
                <w:color w:val="auto"/>
                <w:sz w:val="24"/>
                <w:highlight w:val="none"/>
              </w:rPr>
              <w:t>km。根据北京市五大水系各河流、水库水体功能划分与水质分类，</w:t>
            </w:r>
            <w:r>
              <w:rPr>
                <w:rFonts w:hint="eastAsia" w:cs="Times New Roman"/>
                <w:color w:val="auto"/>
                <w:sz w:val="24"/>
                <w:highlight w:val="none"/>
                <w:lang w:eastAsia="zh-CN"/>
              </w:rPr>
              <w:t>新凤河</w:t>
            </w:r>
            <w:r>
              <w:rPr>
                <w:rFonts w:hint="default" w:ascii="Times New Roman" w:hAnsi="Times New Roman" w:eastAsia="宋体" w:cs="Times New Roman"/>
                <w:color w:val="auto"/>
                <w:sz w:val="24"/>
                <w:highlight w:val="none"/>
              </w:rPr>
              <w:t>为Ⅴ类功能水体（农业用水区及一般景观要求水域），执行《地表水环境质量标准》（GB3838-2002）中的Ⅴ类标准。</w:t>
            </w:r>
          </w:p>
          <w:p w14:paraId="24397813">
            <w:pPr>
              <w:adjustRightInd w:val="0"/>
              <w:spacing w:line="360" w:lineRule="auto"/>
              <w:ind w:firstLine="480"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sz w:val="24"/>
                <w:highlight w:val="none"/>
              </w:rPr>
              <w:t>根据北京市生态环境局2024年</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月地表水环境质量月报资料，</w:t>
            </w:r>
            <w:r>
              <w:rPr>
                <w:rFonts w:hint="eastAsia" w:cs="Times New Roman"/>
                <w:color w:val="auto"/>
                <w:sz w:val="24"/>
                <w:highlight w:val="none"/>
                <w:lang w:eastAsia="zh-CN"/>
              </w:rPr>
              <w:t>新凤河</w:t>
            </w:r>
            <w:r>
              <w:rPr>
                <w:rFonts w:hint="default" w:ascii="Times New Roman" w:hAnsi="Times New Roman" w:eastAsia="宋体" w:cs="Times New Roman"/>
                <w:color w:val="auto"/>
                <w:sz w:val="24"/>
                <w:highlight w:val="none"/>
              </w:rPr>
              <w:t>水质均能达到《地表水环境质量标准》（GB3838-2002）中的Ⅴ类水质标准要求。具体统计结果见下表。</w:t>
            </w:r>
          </w:p>
          <w:p w14:paraId="4BC04845">
            <w:pPr>
              <w:numPr>
                <w:ilvl w:val="0"/>
                <w:numId w:val="24"/>
              </w:numPr>
              <w:jc w:val="center"/>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新凤河</w:t>
            </w:r>
            <w:r>
              <w:rPr>
                <w:rFonts w:hint="default" w:ascii="Times New Roman" w:hAnsi="Times New Roman" w:eastAsia="宋体" w:cs="Times New Roman"/>
                <w:b/>
                <w:bCs/>
                <w:color w:val="auto"/>
                <w:sz w:val="24"/>
                <w:highlight w:val="none"/>
              </w:rPr>
              <w:t>水质状况一览表</w:t>
            </w:r>
          </w:p>
          <w:tbl>
            <w:tblPr>
              <w:tblStyle w:val="23"/>
              <w:tblW w:w="498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59"/>
              <w:gridCol w:w="659"/>
              <w:gridCol w:w="659"/>
              <w:gridCol w:w="659"/>
              <w:gridCol w:w="659"/>
              <w:gridCol w:w="659"/>
              <w:gridCol w:w="660"/>
              <w:gridCol w:w="660"/>
              <w:gridCol w:w="660"/>
              <w:gridCol w:w="660"/>
              <w:gridCol w:w="660"/>
              <w:gridCol w:w="660"/>
            </w:tblGrid>
            <w:tr w14:paraId="041E9C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1" w:hRule="atLeast"/>
              </w:trPr>
              <w:tc>
                <w:tcPr>
                  <w:tcW w:w="1977" w:type="dxa"/>
                  <w:gridSpan w:val="3"/>
                  <w:tcBorders>
                    <w:tl2br w:val="nil"/>
                    <w:tr2bl w:val="nil"/>
                  </w:tcBorders>
                  <w:vAlign w:val="center"/>
                </w:tcPr>
                <w:p w14:paraId="2C8905E4">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rPr>
                    <w:t>2024年</w:t>
                  </w:r>
                </w:p>
              </w:tc>
              <w:tc>
                <w:tcPr>
                  <w:tcW w:w="5937" w:type="dxa"/>
                  <w:gridSpan w:val="9"/>
                  <w:tcBorders>
                    <w:tl2br w:val="nil"/>
                    <w:tr2bl w:val="nil"/>
                  </w:tcBorders>
                  <w:vAlign w:val="center"/>
                </w:tcPr>
                <w:p w14:paraId="757FABF4">
                  <w:pPr>
                    <w:adjustRightInd w:val="0"/>
                    <w:snapToGrid w:val="0"/>
                    <w:jc w:val="center"/>
                    <w:rPr>
                      <w:rFonts w:hint="eastAsia" w:cs="Times New Roman"/>
                      <w:b/>
                      <w:color w:val="auto"/>
                      <w:szCs w:val="21"/>
                      <w:highlight w:val="none"/>
                      <w:lang w:val="en-US" w:eastAsia="zh-CN"/>
                    </w:rPr>
                  </w:pPr>
                  <w:r>
                    <w:rPr>
                      <w:rFonts w:hint="eastAsia" w:cs="Times New Roman"/>
                      <w:b/>
                      <w:color w:val="auto"/>
                      <w:szCs w:val="21"/>
                      <w:highlight w:val="none"/>
                      <w:lang w:val="en-US" w:eastAsia="zh-CN"/>
                    </w:rPr>
                    <w:t>2025年</w:t>
                  </w:r>
                </w:p>
              </w:tc>
            </w:tr>
            <w:tr w14:paraId="2F57B2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9" w:type="dxa"/>
                  <w:tcBorders>
                    <w:tl2br w:val="nil"/>
                    <w:tr2bl w:val="nil"/>
                  </w:tcBorders>
                  <w:shd w:val="clear" w:color="auto" w:fill="auto"/>
                  <w:vAlign w:val="center"/>
                </w:tcPr>
                <w:p w14:paraId="424EF3F4">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10</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1DDF8071">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11</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6FC5D15E">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12</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4C29BFDC">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792662AE">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月</w:t>
                  </w:r>
                </w:p>
              </w:tc>
              <w:tc>
                <w:tcPr>
                  <w:tcW w:w="659" w:type="dxa"/>
                  <w:tcBorders>
                    <w:tl2br w:val="nil"/>
                    <w:tr2bl w:val="nil"/>
                  </w:tcBorders>
                  <w:shd w:val="clear" w:color="auto" w:fill="auto"/>
                  <w:vAlign w:val="center"/>
                </w:tcPr>
                <w:p w14:paraId="4C0E12CE">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53B30675">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4</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32825BEF">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41A65D53">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6</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1FFF8270">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7</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539B6A4A">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eastAsia" w:ascii="Times New Roman" w:hAnsi="Times New Roman" w:cs="Times New Roman"/>
                      <w:b/>
                      <w:bCs/>
                      <w:color w:val="auto"/>
                      <w:szCs w:val="21"/>
                      <w:highlight w:val="none"/>
                      <w:lang w:val="en-US" w:eastAsia="zh-CN"/>
                    </w:rPr>
                    <w:t>8</w:t>
                  </w:r>
                  <w:r>
                    <w:rPr>
                      <w:rFonts w:hint="default" w:ascii="Times New Roman" w:hAnsi="Times New Roman" w:eastAsia="宋体" w:cs="Times New Roman"/>
                      <w:b/>
                      <w:bCs/>
                      <w:color w:val="auto"/>
                      <w:szCs w:val="21"/>
                      <w:highlight w:val="none"/>
                    </w:rPr>
                    <w:t>月</w:t>
                  </w:r>
                </w:p>
              </w:tc>
              <w:tc>
                <w:tcPr>
                  <w:tcW w:w="660" w:type="dxa"/>
                  <w:tcBorders>
                    <w:tl2br w:val="nil"/>
                    <w:tr2bl w:val="nil"/>
                  </w:tcBorders>
                  <w:shd w:val="clear" w:color="auto" w:fill="auto"/>
                  <w:vAlign w:val="center"/>
                </w:tcPr>
                <w:p w14:paraId="1C1F5CA4">
                  <w:pPr>
                    <w:adjustRightInd w:val="0"/>
                    <w:snapToGrid w:val="0"/>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val="en-US" w:eastAsia="zh-CN"/>
                    </w:rPr>
                    <w:t>9</w:t>
                  </w:r>
                  <w:r>
                    <w:rPr>
                      <w:rFonts w:hint="default" w:ascii="Times New Roman" w:hAnsi="Times New Roman" w:eastAsia="宋体" w:cs="Times New Roman"/>
                      <w:b/>
                      <w:bCs/>
                      <w:color w:val="auto"/>
                      <w:szCs w:val="21"/>
                      <w:highlight w:val="none"/>
                    </w:rPr>
                    <w:t>月</w:t>
                  </w:r>
                </w:p>
              </w:tc>
            </w:tr>
            <w:tr w14:paraId="4EF08E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59" w:type="dxa"/>
                  <w:tcBorders>
                    <w:tl2br w:val="nil"/>
                    <w:tr2bl w:val="nil"/>
                  </w:tcBorders>
                  <w:shd w:val="clear" w:color="auto" w:fill="auto"/>
                  <w:vAlign w:val="center"/>
                </w:tcPr>
                <w:p w14:paraId="13F2F3A0">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59" w:type="dxa"/>
                  <w:tcBorders>
                    <w:tl2br w:val="nil"/>
                    <w:tr2bl w:val="nil"/>
                  </w:tcBorders>
                  <w:shd w:val="clear" w:color="auto" w:fill="auto"/>
                  <w:vAlign w:val="center"/>
                </w:tcPr>
                <w:p w14:paraId="5594F29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59" w:type="dxa"/>
                  <w:tcBorders>
                    <w:tl2br w:val="nil"/>
                    <w:tr2bl w:val="nil"/>
                  </w:tcBorders>
                  <w:shd w:val="clear" w:color="auto" w:fill="auto"/>
                  <w:vAlign w:val="center"/>
                </w:tcPr>
                <w:p w14:paraId="627B5E5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59" w:type="dxa"/>
                  <w:tcBorders>
                    <w:tl2br w:val="nil"/>
                    <w:tr2bl w:val="nil"/>
                  </w:tcBorders>
                  <w:shd w:val="clear" w:color="auto" w:fill="auto"/>
                  <w:vAlign w:val="center"/>
                </w:tcPr>
                <w:p w14:paraId="5B11D96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59" w:type="dxa"/>
                  <w:tcBorders>
                    <w:tl2br w:val="nil"/>
                    <w:tr2bl w:val="nil"/>
                  </w:tcBorders>
                  <w:shd w:val="clear" w:color="auto" w:fill="auto"/>
                  <w:vAlign w:val="center"/>
                </w:tcPr>
                <w:p w14:paraId="2D2D4051">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59" w:type="dxa"/>
                  <w:tcBorders>
                    <w:tl2br w:val="nil"/>
                    <w:tr2bl w:val="nil"/>
                  </w:tcBorders>
                  <w:shd w:val="clear" w:color="auto" w:fill="auto"/>
                  <w:vAlign w:val="center"/>
                </w:tcPr>
                <w:p w14:paraId="7E241121">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4131B1EF">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318F9768">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1914EA97">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671B8B1E">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7215D355">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Ⅲ</w:t>
                  </w:r>
                </w:p>
              </w:tc>
              <w:tc>
                <w:tcPr>
                  <w:tcW w:w="660" w:type="dxa"/>
                  <w:tcBorders>
                    <w:tl2br w:val="nil"/>
                    <w:tr2bl w:val="nil"/>
                  </w:tcBorders>
                  <w:shd w:val="clear" w:color="auto" w:fill="auto"/>
                  <w:vAlign w:val="center"/>
                </w:tcPr>
                <w:p w14:paraId="0962B97A">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II</w:t>
                  </w:r>
                </w:p>
              </w:tc>
            </w:tr>
          </w:tbl>
          <w:p w14:paraId="1C7633C8">
            <w:pPr>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根据上述分析，2024年</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rPr>
              <w:t>202</w:t>
            </w:r>
            <w:r>
              <w:rPr>
                <w:rFonts w:hint="eastAsia" w:cs="Times New Roman"/>
                <w:color w:val="auto"/>
                <w:sz w:val="24"/>
                <w:highlight w:val="none"/>
                <w:lang w:val="en-US" w:eastAsia="zh-CN"/>
              </w:rPr>
              <w:t>5</w:t>
            </w:r>
            <w:r>
              <w:rPr>
                <w:rFonts w:hint="default" w:ascii="Times New Roman" w:hAnsi="Times New Roman" w:eastAsia="宋体" w:cs="Times New Roman"/>
                <w:color w:val="auto"/>
                <w:sz w:val="24"/>
                <w:highlight w:val="none"/>
              </w:rPr>
              <w:t>年</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rPr>
              <w:t>月</w:t>
            </w:r>
            <w:r>
              <w:rPr>
                <w:rFonts w:hint="eastAsia" w:cs="Times New Roman"/>
                <w:color w:val="auto"/>
                <w:sz w:val="24"/>
                <w:highlight w:val="none"/>
                <w:lang w:eastAsia="zh-CN"/>
              </w:rPr>
              <w:t>新凤河</w:t>
            </w:r>
            <w:r>
              <w:rPr>
                <w:rFonts w:hint="default" w:ascii="Times New Roman" w:hAnsi="Times New Roman" w:eastAsia="宋体" w:cs="Times New Roman"/>
                <w:color w:val="auto"/>
                <w:sz w:val="24"/>
                <w:highlight w:val="none"/>
              </w:rPr>
              <w:t>现状水质均能达到《地表水环境质量标准》（GB3838-2002）中的Ⅴ类水质标准要求。</w:t>
            </w:r>
          </w:p>
          <w:p w14:paraId="7DAD3A8C">
            <w:pPr>
              <w:pStyle w:val="20"/>
              <w:numPr>
                <w:ilvl w:val="0"/>
                <w:numId w:val="0"/>
              </w:numPr>
              <w:adjustRightInd w:val="0"/>
              <w:snapToGrid w:val="0"/>
              <w:spacing w:before="0" w:beforeAutospacing="0" w:after="0" w:afterAutospacing="0" w:line="360" w:lineRule="auto"/>
              <w:rPr>
                <w:rFonts w:hint="default" w:ascii="Times New Roman" w:hAnsi="Times New Roman" w:eastAsia="宋体" w:cs="Times New Roman"/>
                <w:b/>
                <w:color w:val="auto"/>
                <w:szCs w:val="21"/>
                <w:highlight w:val="none"/>
              </w:rPr>
            </w:pPr>
            <w:r>
              <w:rPr>
                <w:rFonts w:hint="eastAsia" w:ascii="Times New Roman" w:hAnsi="Times New Roman" w:cs="Times New Roman"/>
                <w:b/>
                <w:color w:val="auto"/>
                <w:szCs w:val="21"/>
                <w:highlight w:val="none"/>
                <w:lang w:val="en-US" w:eastAsia="zh-CN"/>
              </w:rPr>
              <w:t>三、</w:t>
            </w:r>
            <w:r>
              <w:rPr>
                <w:rFonts w:hint="default" w:ascii="Times New Roman" w:hAnsi="Times New Roman" w:eastAsia="宋体" w:cs="Times New Roman"/>
                <w:b/>
                <w:color w:val="auto"/>
                <w:szCs w:val="21"/>
                <w:highlight w:val="none"/>
              </w:rPr>
              <w:t>声环境</w:t>
            </w:r>
          </w:p>
          <w:p w14:paraId="24547B9D">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w:t>
            </w:r>
            <w:r>
              <w:rPr>
                <w:rFonts w:hint="default" w:ascii="Times New Roman" w:hAnsi="Times New Roman" w:eastAsia="宋体" w:cs="Times New Roman"/>
                <w:color w:val="auto"/>
                <w:sz w:val="24"/>
                <w:highlight w:val="none"/>
                <w:lang w:val="en-US" w:eastAsia="zh-CN"/>
              </w:rPr>
              <w:t>项目位于</w:t>
            </w:r>
            <w:r>
              <w:rPr>
                <w:rFonts w:hint="eastAsia" w:cs="Times New Roman"/>
                <w:color w:val="auto"/>
                <w:sz w:val="24"/>
                <w:highlight w:val="none"/>
                <w:lang w:val="en-US" w:eastAsia="zh-CN"/>
              </w:rPr>
              <w:t>北京经济技术开发区环科中路2号院11号楼B单元</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根据《北京市通州区人民政府关于印发通州区声环境功能区划实施细则的通知》（通政发〔</w:t>
            </w:r>
            <w:r>
              <w:rPr>
                <w:rFonts w:hint="default" w:ascii="Times New Roman" w:hAnsi="Times New Roman" w:eastAsia="宋体" w:cs="Times New Roman"/>
                <w:color w:val="auto"/>
                <w:sz w:val="24"/>
                <w:highlight w:val="none"/>
                <w:lang w:val="en-US" w:eastAsia="zh-CN"/>
              </w:rPr>
              <w:t>2023</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号）中规定，本项目所在区域声环境功能区划为</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类区，声环境质量执行《声环境质量标准》（</w:t>
            </w:r>
            <w:r>
              <w:rPr>
                <w:rFonts w:hint="default" w:ascii="Times New Roman" w:hAnsi="Times New Roman" w:eastAsia="宋体" w:cs="Times New Roman"/>
                <w:color w:val="auto"/>
                <w:sz w:val="24"/>
                <w:highlight w:val="none"/>
                <w:lang w:val="en-US" w:eastAsia="zh-CN"/>
              </w:rPr>
              <w:t>GB3096-2008</w:t>
            </w:r>
            <w:r>
              <w:rPr>
                <w:rFonts w:hint="eastAsia" w:ascii="Times New Roman" w:hAnsi="Times New Roman" w:eastAsia="宋体" w:cs="Times New Roman"/>
                <w:color w:val="auto"/>
                <w:sz w:val="24"/>
                <w:highlight w:val="none"/>
                <w:lang w:val="en-US" w:eastAsia="zh-CN"/>
              </w:rPr>
              <w:t>）中的</w:t>
            </w:r>
            <w:r>
              <w:rPr>
                <w:rFonts w:hint="default" w:ascii="Times New Roman" w:hAnsi="Times New Roman" w:eastAsia="宋体" w:cs="Times New Roman"/>
                <w:color w:val="auto"/>
                <w:sz w:val="24"/>
                <w:highlight w:val="none"/>
                <w:lang w:val="en-US" w:eastAsia="zh-CN"/>
              </w:rPr>
              <w:t>3</w:t>
            </w:r>
            <w:r>
              <w:rPr>
                <w:rFonts w:hint="eastAsia" w:ascii="Times New Roman" w:hAnsi="Times New Roman" w:eastAsia="宋体" w:cs="Times New Roman"/>
                <w:color w:val="auto"/>
                <w:sz w:val="24"/>
                <w:highlight w:val="none"/>
                <w:lang w:val="en-US" w:eastAsia="zh-CN"/>
              </w:rPr>
              <w:t>类标准。</w:t>
            </w:r>
          </w:p>
          <w:p w14:paraId="572ABFD2">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根据《建设项目环境影响报告表编制技术指南（污染影响类）（试行）》，本项目厂界外50m范围内无声环境保护目标，无需开展</w:t>
            </w:r>
            <w:r>
              <w:rPr>
                <w:rFonts w:hint="default" w:ascii="Times New Roman" w:hAnsi="Times New Roman" w:eastAsia="宋体" w:cs="Times New Roman"/>
                <w:color w:val="auto"/>
                <w:sz w:val="24"/>
                <w:highlight w:val="none"/>
              </w:rPr>
              <w:t>声环境质量现状监测。</w:t>
            </w:r>
          </w:p>
          <w:p w14:paraId="410E0BA7">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项目所在通州区声环境功能区位置关系见</w:t>
            </w:r>
            <w:r>
              <w:rPr>
                <w:rFonts w:hint="eastAsia" w:cs="Times New Roman"/>
                <w:color w:val="auto"/>
                <w:sz w:val="24"/>
                <w:highlight w:val="none"/>
                <w:lang w:val="en-US" w:eastAsia="zh-CN"/>
              </w:rPr>
              <w:t>下</w:t>
            </w:r>
            <w:r>
              <w:rPr>
                <w:rFonts w:hint="default" w:ascii="Times New Roman" w:hAnsi="Times New Roman" w:eastAsia="宋体" w:cs="Times New Roman"/>
                <w:color w:val="auto"/>
                <w:sz w:val="24"/>
                <w:highlight w:val="none"/>
              </w:rPr>
              <w:t>图。</w:t>
            </w:r>
          </w:p>
          <w:p w14:paraId="4E808B1A">
            <w:pPr>
              <w:spacing w:line="360" w:lineRule="auto"/>
              <w:ind w:firstLine="420" w:firstLineChars="200"/>
              <w:rPr>
                <w:rFonts w:hint="default" w:ascii="Times New Roman" w:hAnsi="Times New Roman" w:eastAsia="宋体" w:cs="Times New Roman"/>
                <w:color w:val="auto"/>
                <w:sz w:val="24"/>
                <w:highlight w:val="none"/>
              </w:rPr>
            </w:pPr>
            <w:r>
              <w:drawing>
                <wp:inline distT="0" distB="0" distL="114300" distR="114300">
                  <wp:extent cx="3931920" cy="5539740"/>
                  <wp:effectExtent l="0" t="0" r="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tretch>
                            <a:fillRect/>
                          </a:stretch>
                        </pic:blipFill>
                        <pic:spPr>
                          <a:xfrm>
                            <a:off x="0" y="0"/>
                            <a:ext cx="3931920" cy="5539740"/>
                          </a:xfrm>
                          <a:prstGeom prst="rect">
                            <a:avLst/>
                          </a:prstGeom>
                          <a:noFill/>
                          <a:ln>
                            <a:noFill/>
                          </a:ln>
                        </pic:spPr>
                      </pic:pic>
                    </a:graphicData>
                  </a:graphic>
                </wp:inline>
              </w:drawing>
            </w:r>
            <w:r>
              <w:rPr>
                <w:sz w:val="21"/>
              </w:rPr>
              <mc:AlternateContent>
                <mc:Choice Requires="wps">
                  <w:drawing>
                    <wp:anchor distT="0" distB="0" distL="114300" distR="114300" simplePos="0" relativeHeight="251674624" behindDoc="0" locked="0" layoutInCell="1" allowOverlap="1">
                      <wp:simplePos x="0" y="0"/>
                      <wp:positionH relativeFrom="column">
                        <wp:posOffset>1692910</wp:posOffset>
                      </wp:positionH>
                      <wp:positionV relativeFrom="paragraph">
                        <wp:posOffset>2987675</wp:posOffset>
                      </wp:positionV>
                      <wp:extent cx="678815" cy="256540"/>
                      <wp:effectExtent l="836295" t="6350" r="8890" b="346710"/>
                      <wp:wrapNone/>
                      <wp:docPr id="30" name="矩形标注 30"/>
                      <wp:cNvGraphicFramePr/>
                      <a:graphic xmlns:a="http://schemas.openxmlformats.org/drawingml/2006/main">
                        <a:graphicData uri="http://schemas.microsoft.com/office/word/2010/wordprocessingShape">
                          <wps:wsp>
                            <wps:cNvSpPr/>
                            <wps:spPr>
                              <a:xfrm>
                                <a:off x="3104515" y="4100830"/>
                                <a:ext cx="678815" cy="256540"/>
                              </a:xfrm>
                              <a:prstGeom prst="wedgeRectCallout">
                                <a:avLst>
                                  <a:gd name="adj1" fmla="val -165809"/>
                                  <a:gd name="adj2" fmla="val 173267"/>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46936D35">
                                  <w:pPr>
                                    <w:jc w:val="center"/>
                                    <w:rPr>
                                      <w:rFonts w:hint="default" w:eastAsia="宋体"/>
                                      <w:lang w:val="en-US" w:eastAsia="zh-CN"/>
                                    </w:rPr>
                                  </w:pPr>
                                  <w:r>
                                    <w:rPr>
                                      <w:rFonts w:hint="eastAsia"/>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3.3pt;margin-top:235.25pt;height:20.2pt;width:53.45pt;z-index:251674624;v-text-anchor:middle;mso-width-relative:page;mso-height-relative:page;" fillcolor="#5B9BD5 [3204]" filled="t" stroked="t" coordsize="21600,21600" o:gfxdata="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ayihzNsAAAALAQAADwAAAAAAAAABACAAAAAiAAAAZHJzL2Rvd25yZXYueG1sUEsBAhQA&#10;FAAAAAgAh07iQEHSh2jTAgAAlAUAAA4AAAAAAAAAAQAgAAAAKgEAAGRycy9lMm9Eb2MueG1sUEsF&#10;BgAAAAAGAAYAWQEAAG8GAAAAAA==&#10;" adj="-25015,48226">
                      <v:fill on="t" focussize="0,0"/>
                      <v:stroke weight="1pt" color="#2E75B6 [2404]" miterlimit="8" joinstyle="miter"/>
                      <v:imagedata o:title=""/>
                      <o:lock v:ext="edit" aspectratio="f"/>
                      <v:textbox>
                        <w:txbxContent>
                          <w:p w14:paraId="46936D35">
                            <w:pPr>
                              <w:jc w:val="center"/>
                              <w:rPr>
                                <w:rFonts w:hint="default" w:eastAsia="宋体"/>
                                <w:lang w:val="en-US" w:eastAsia="zh-CN"/>
                              </w:rPr>
                            </w:pPr>
                            <w:r>
                              <w:rPr>
                                <w:rFonts w:hint="eastAsia"/>
                                <w:lang w:val="en-US" w:eastAsia="zh-CN"/>
                              </w:rPr>
                              <w:t>本项目</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780415</wp:posOffset>
                      </wp:positionH>
                      <wp:positionV relativeFrom="paragraph">
                        <wp:posOffset>3530600</wp:posOffset>
                      </wp:positionV>
                      <wp:extent cx="75565" cy="75565"/>
                      <wp:effectExtent l="6350" t="6350" r="9525" b="9525"/>
                      <wp:wrapNone/>
                      <wp:docPr id="31" name="椭圆 31"/>
                      <wp:cNvGraphicFramePr/>
                      <a:graphic xmlns:a="http://schemas.openxmlformats.org/drawingml/2006/main">
                        <a:graphicData uri="http://schemas.microsoft.com/office/word/2010/wordprocessingShape">
                          <wps:wsp>
                            <wps:cNvSpPr/>
                            <wps:spPr>
                              <a:xfrm>
                                <a:off x="2245360" y="4655185"/>
                                <a:ext cx="75565" cy="75565"/>
                              </a:xfrm>
                              <a:prstGeom prst="ellipse">
                                <a:avLst/>
                              </a:prstGeom>
                              <a:solidFill>
                                <a:srgbClr val="FF0000"/>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1.45pt;margin-top:278pt;height:5.95pt;width:5.95pt;z-index:251675648;v-text-anchor:middle;mso-width-relative:page;mso-height-relative:page;" fillcolor="#FF0000" filled="t" stroked="t" coordsize="21600,21600" o:gfxdata="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CS8jK1wAAAAsB&#10;AAAPAAAAAAAAAAEAIAAAACIAAABkcnMvZG93bnJldi54bWxQSwECFAAUAAAACACHTuJAeImuR44C&#10;AAAkBQAADgAAAAAAAAABACAAAAAmAQAAZHJzL2Uyb0RvYy54bWxQSwUGAAAAAAYABgBZAQAAJgYA&#10;AAAA&#10;">
                      <v:fill on="t" focussize="0,0"/>
                      <v:stroke weight="1pt" color="#2E75B6 [2404]" miterlimit="8" joinstyle="miter"/>
                      <v:imagedata o:title=""/>
                      <o:lock v:ext="edit" aspectratio="f"/>
                    </v:shape>
                  </w:pict>
                </mc:Fallback>
              </mc:AlternateContent>
            </w:r>
          </w:p>
          <w:p w14:paraId="06F0F744">
            <w:pPr>
              <w:pStyle w:val="20"/>
              <w:numPr>
                <w:ilvl w:val="0"/>
                <w:numId w:val="25"/>
              </w:numPr>
              <w:adjustRightInd w:val="0"/>
              <w:snapToGrid w:val="0"/>
              <w:spacing w:before="0" w:beforeAutospacing="0" w:after="0" w:afterAutospacing="0" w:line="360" w:lineRule="auto"/>
              <w:ind w:left="425" w:leftChars="0" w:hanging="425" w:firstLineChars="0"/>
              <w:jc w:val="center"/>
              <w:rPr>
                <w:rFonts w:hint="eastAsia" w:ascii="Times New Roman" w:hAnsi="Times New Roman" w:cs="Times New Roman"/>
                <w:b/>
                <w:bCs/>
                <w:color w:val="auto"/>
                <w:szCs w:val="24"/>
                <w:highlight w:val="none"/>
                <w:lang w:val="en-US" w:eastAsia="zh-CN"/>
              </w:rPr>
            </w:pPr>
            <w:r>
              <w:rPr>
                <w:rFonts w:hint="default" w:ascii="Times New Roman" w:hAnsi="Times New Roman" w:eastAsia="宋体" w:cs="Times New Roman"/>
                <w:b/>
                <w:bCs/>
                <w:color w:val="auto"/>
                <w:sz w:val="24"/>
                <w:highlight w:val="none"/>
              </w:rPr>
              <w:t>项目所在通州区声环境功能区位置关系图</w:t>
            </w:r>
          </w:p>
          <w:p w14:paraId="1E0DAF49">
            <w:pPr>
              <w:pStyle w:val="20"/>
              <w:numPr>
                <w:ilvl w:val="0"/>
                <w:numId w:val="0"/>
              </w:numPr>
              <w:adjustRightInd w:val="0"/>
              <w:snapToGrid w:val="0"/>
              <w:spacing w:before="0" w:beforeAutospacing="0" w:after="0" w:afterAutospacing="0" w:line="360" w:lineRule="auto"/>
              <w:rPr>
                <w:rFonts w:hint="default" w:ascii="Times New Roman" w:hAnsi="Times New Roman" w:eastAsia="宋体" w:cs="Times New Roman"/>
                <w:b/>
                <w:bCs/>
                <w:color w:val="auto"/>
                <w:szCs w:val="24"/>
                <w:highlight w:val="none"/>
              </w:rPr>
            </w:pPr>
            <w:r>
              <w:rPr>
                <w:rFonts w:hint="eastAsia" w:ascii="Times New Roman" w:hAnsi="Times New Roman" w:cs="Times New Roman"/>
                <w:b/>
                <w:bCs/>
                <w:color w:val="auto"/>
                <w:szCs w:val="24"/>
                <w:highlight w:val="none"/>
                <w:lang w:val="en-US" w:eastAsia="zh-CN"/>
              </w:rPr>
              <w:t>四、</w:t>
            </w:r>
            <w:r>
              <w:rPr>
                <w:rFonts w:hint="default" w:ascii="Times New Roman" w:hAnsi="Times New Roman" w:eastAsia="宋体" w:cs="Times New Roman"/>
                <w:b/>
                <w:bCs/>
                <w:color w:val="auto"/>
                <w:szCs w:val="24"/>
                <w:highlight w:val="none"/>
              </w:rPr>
              <w:t>生态环境</w:t>
            </w:r>
          </w:p>
          <w:p w14:paraId="76E61D6D">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本项目位于现有产业园区内，不新增占地，根据《建设项目环境影响报告表编制技术指南（污染影响类）（试行）》，可不进行生态现状调查。</w:t>
            </w:r>
          </w:p>
          <w:p w14:paraId="7503D6DB">
            <w:pPr>
              <w:pStyle w:val="20"/>
              <w:numPr>
                <w:ilvl w:val="0"/>
                <w:numId w:val="0"/>
              </w:numPr>
              <w:adjustRightInd w:val="0"/>
              <w:snapToGrid w:val="0"/>
              <w:spacing w:before="0" w:beforeAutospacing="0" w:after="0" w:afterAutospacing="0" w:line="360" w:lineRule="auto"/>
              <w:rPr>
                <w:rFonts w:hint="default" w:ascii="Times New Roman" w:hAnsi="Times New Roman" w:eastAsia="宋体" w:cs="Times New Roman"/>
                <w:b/>
                <w:color w:val="auto"/>
                <w:szCs w:val="24"/>
                <w:highlight w:val="none"/>
              </w:rPr>
            </w:pPr>
            <w:r>
              <w:rPr>
                <w:rFonts w:hint="eastAsia" w:ascii="Times New Roman" w:hAnsi="Times New Roman" w:cs="Times New Roman"/>
                <w:b/>
                <w:bCs/>
                <w:color w:val="auto"/>
                <w:szCs w:val="24"/>
                <w:highlight w:val="none"/>
                <w:lang w:val="en-US" w:eastAsia="zh-CN"/>
              </w:rPr>
              <w:t>五、</w:t>
            </w:r>
            <w:r>
              <w:rPr>
                <w:rFonts w:hint="default" w:ascii="Times New Roman" w:hAnsi="Times New Roman" w:eastAsia="宋体" w:cs="Times New Roman"/>
                <w:b/>
                <w:bCs/>
                <w:color w:val="auto"/>
                <w:szCs w:val="24"/>
                <w:highlight w:val="none"/>
              </w:rPr>
              <w:t>地下水</w:t>
            </w:r>
            <w:r>
              <w:rPr>
                <w:rFonts w:hint="default" w:ascii="Times New Roman" w:hAnsi="Times New Roman" w:eastAsia="宋体" w:cs="Times New Roman"/>
                <w:b/>
                <w:color w:val="auto"/>
                <w:szCs w:val="24"/>
                <w:highlight w:val="none"/>
              </w:rPr>
              <w:t>、土壤环境</w:t>
            </w:r>
          </w:p>
          <w:p w14:paraId="2F567DEE">
            <w:pPr>
              <w:adjustRightInd w:val="0"/>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w:t>
            </w:r>
            <w:r>
              <w:rPr>
                <w:rFonts w:hint="eastAsia" w:cs="Times New Roman"/>
                <w:color w:val="auto"/>
                <w:sz w:val="24"/>
                <w:szCs w:val="32"/>
                <w:highlight w:val="none"/>
                <w:lang w:val="en-US" w:eastAsia="zh-CN"/>
              </w:rPr>
              <w:t>利用</w:t>
            </w:r>
            <w:r>
              <w:rPr>
                <w:rFonts w:hint="default" w:ascii="Times New Roman" w:hAnsi="Times New Roman" w:eastAsia="宋体" w:cs="Times New Roman"/>
                <w:color w:val="auto"/>
                <w:sz w:val="24"/>
                <w:szCs w:val="32"/>
                <w:highlight w:val="none"/>
              </w:rPr>
              <w:t>现有房屋进行建设，项目运营后</w:t>
            </w:r>
            <w:r>
              <w:rPr>
                <w:rFonts w:hint="eastAsia" w:ascii="Times New Roman" w:hAnsi="Times New Roman" w:eastAsia="宋体" w:cs="Times New Roman"/>
                <w:color w:val="auto"/>
                <w:sz w:val="24"/>
                <w:szCs w:val="32"/>
                <w:highlight w:val="none"/>
                <w:lang w:val="en-US" w:eastAsia="zh-CN"/>
              </w:rPr>
              <w:t>容器第三遍及以后清洗废水</w:t>
            </w:r>
            <w:r>
              <w:rPr>
                <w:rFonts w:hint="eastAsia"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生活污水、高压蒸汽灭菌废水、地面清洗废水</w:t>
            </w:r>
            <w:r>
              <w:rPr>
                <w:rFonts w:hint="default" w:ascii="Times New Roman" w:hAnsi="Times New Roman" w:eastAsia="宋体" w:cs="Times New Roman"/>
                <w:color w:val="auto"/>
                <w:sz w:val="24"/>
                <w:szCs w:val="32"/>
                <w:highlight w:val="none"/>
              </w:rPr>
              <w:t>一同</w:t>
            </w:r>
            <w:r>
              <w:rPr>
                <w:rFonts w:hint="eastAsia" w:ascii="Times New Roman" w:hAnsi="Times New Roman" w:eastAsia="宋体" w:cs="Times New Roman"/>
                <w:color w:val="auto"/>
                <w:sz w:val="24"/>
                <w:szCs w:val="32"/>
                <w:highlight w:val="none"/>
                <w:lang w:val="en-US" w:eastAsia="zh-CN"/>
              </w:rPr>
              <w:t>进</w:t>
            </w:r>
            <w:r>
              <w:rPr>
                <w:rFonts w:hint="default" w:ascii="Times New Roman" w:hAnsi="Times New Roman" w:eastAsia="宋体" w:cs="Times New Roman"/>
                <w:color w:val="auto"/>
                <w:sz w:val="24"/>
                <w:szCs w:val="32"/>
                <w:highlight w:val="none"/>
              </w:rPr>
              <w:t>园区化粪池处理后排入市政管网</w:t>
            </w:r>
            <w:r>
              <w:rPr>
                <w:rFonts w:hint="eastAsia"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lang w:val="en-US" w:eastAsia="zh-CN"/>
              </w:rPr>
              <w:t>试剂室</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易制毒室、</w:t>
            </w:r>
            <w:r>
              <w:rPr>
                <w:rFonts w:hint="default" w:ascii="Times New Roman" w:hAnsi="Times New Roman" w:eastAsia="宋体" w:cs="Times New Roman"/>
                <w:color w:val="auto"/>
                <w:sz w:val="24"/>
                <w:szCs w:val="32"/>
                <w:highlight w:val="none"/>
                <w:lang w:val="en-US" w:eastAsia="zh-CN"/>
              </w:rPr>
              <w:t>危险废物暂存间、实验室均</w:t>
            </w:r>
            <w:r>
              <w:rPr>
                <w:rFonts w:hint="default" w:ascii="Times New Roman" w:hAnsi="Times New Roman" w:eastAsia="宋体" w:cs="Times New Roman"/>
                <w:color w:val="auto"/>
                <w:sz w:val="24"/>
                <w:szCs w:val="32"/>
                <w:highlight w:val="none"/>
              </w:rPr>
              <w:t>采取分区防渗措施，</w:t>
            </w:r>
            <w:r>
              <w:rPr>
                <w:rFonts w:hint="eastAsia" w:cs="Times New Roman"/>
                <w:color w:val="auto"/>
                <w:sz w:val="24"/>
                <w:szCs w:val="32"/>
                <w:highlight w:val="none"/>
                <w:lang w:val="en-US" w:eastAsia="zh-CN"/>
              </w:rPr>
              <w:t>全部污染源位于2-4层，</w:t>
            </w:r>
            <w:r>
              <w:rPr>
                <w:rFonts w:hint="default" w:ascii="Times New Roman" w:hAnsi="Times New Roman" w:eastAsia="宋体" w:cs="Times New Roman"/>
                <w:color w:val="auto"/>
                <w:sz w:val="24"/>
                <w:szCs w:val="32"/>
                <w:highlight w:val="none"/>
              </w:rPr>
              <w:t>与地下水及土壤环境有物理隔离，可有效阻断地下水环境污染途径；固体废物均得到合理处置，不存在土壤及地下水环境污染途径，无需进行地下水、土壤环境质量现状调查。</w:t>
            </w:r>
          </w:p>
        </w:tc>
      </w:tr>
      <w:tr w14:paraId="1E8E8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74F7D1DF">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环境保护目标</w:t>
            </w:r>
          </w:p>
        </w:tc>
        <w:tc>
          <w:tcPr>
            <w:tcW w:w="8147" w:type="dxa"/>
            <w:vAlign w:val="center"/>
          </w:tcPr>
          <w:p w14:paraId="623B3C0A">
            <w:pPr>
              <w:pStyle w:val="20"/>
              <w:numPr>
                <w:ilvl w:val="0"/>
                <w:numId w:val="26"/>
              </w:numPr>
              <w:adjustRightInd w:val="0"/>
              <w:snapToGrid w:val="0"/>
              <w:spacing w:before="0" w:beforeAutospacing="0" w:after="0" w:afterAutospacing="0" w:line="360" w:lineRule="auto"/>
              <w:rPr>
                <w:rFonts w:hint="default" w:ascii="Times New Roman" w:hAnsi="Times New Roman" w:eastAsia="宋体" w:cs="Times New Roman"/>
                <w:color w:val="auto"/>
                <w:sz w:val="32"/>
                <w:szCs w:val="22"/>
                <w:highlight w:val="none"/>
              </w:rPr>
            </w:pPr>
            <w:r>
              <w:rPr>
                <w:rFonts w:hint="default" w:ascii="Times New Roman" w:hAnsi="Times New Roman" w:eastAsia="宋体" w:cs="Times New Roman"/>
                <w:b/>
                <w:bCs/>
                <w:color w:val="auto"/>
                <w:szCs w:val="24"/>
                <w:highlight w:val="none"/>
              </w:rPr>
              <w:t>大气</w:t>
            </w:r>
            <w:r>
              <w:rPr>
                <w:rFonts w:hint="default" w:ascii="Times New Roman" w:hAnsi="Times New Roman" w:eastAsia="宋体" w:cs="Times New Roman"/>
                <w:b/>
                <w:bCs/>
                <w:color w:val="auto"/>
                <w:sz w:val="22"/>
                <w:szCs w:val="22"/>
                <w:highlight w:val="none"/>
                <w:lang w:bidi="ar"/>
              </w:rPr>
              <w:t>环境</w:t>
            </w:r>
          </w:p>
          <w:p w14:paraId="157B385B">
            <w:pPr>
              <w:adjustRightInd w:val="0"/>
              <w:spacing w:line="360" w:lineRule="auto"/>
              <w:ind w:firstLine="480" w:firstLineChars="200"/>
              <w:rPr>
                <w:rFonts w:hint="default" w:ascii="Times New Roman" w:hAnsi="Times New Roman" w:eastAsia="宋体" w:cs="Times New Roman"/>
                <w:color w:val="auto"/>
                <w:sz w:val="24"/>
                <w:szCs w:val="32"/>
                <w:highlight w:val="none"/>
                <w:lang w:val="en-US"/>
              </w:rPr>
            </w:pPr>
            <w:r>
              <w:rPr>
                <w:rFonts w:hint="eastAsia" w:cs="Times New Roman"/>
                <w:color w:val="auto"/>
                <w:sz w:val="24"/>
                <w:szCs w:val="32"/>
                <w:highlight w:val="none"/>
                <w:lang w:val="en-US" w:eastAsia="zh-CN"/>
              </w:rPr>
              <w:t>本</w:t>
            </w:r>
            <w:r>
              <w:rPr>
                <w:rFonts w:hint="default" w:ascii="Times New Roman" w:hAnsi="Times New Roman" w:eastAsia="宋体" w:cs="Times New Roman"/>
                <w:color w:val="auto"/>
                <w:sz w:val="24"/>
                <w:szCs w:val="32"/>
                <w:highlight w:val="none"/>
                <w:lang w:val="en-US" w:eastAsia="zh-CN"/>
              </w:rPr>
              <w:t>项目厂界外500m范围内无风景名胜区、自然保护区等保护目标，厂界外500m范围内大气环境保护目标为宏仁家园小区</w:t>
            </w:r>
            <w:r>
              <w:rPr>
                <w:rFonts w:hint="eastAsia" w:cs="Times New Roman"/>
                <w:color w:val="auto"/>
                <w:sz w:val="24"/>
                <w:szCs w:val="32"/>
                <w:highlight w:val="none"/>
                <w:lang w:val="en-US" w:eastAsia="zh-CN"/>
              </w:rPr>
              <w:t>、马驹桥镇政府、</w:t>
            </w:r>
            <w:r>
              <w:rPr>
                <w:rFonts w:hint="default" w:ascii="Times New Roman" w:hAnsi="Times New Roman" w:eastAsia="宋体" w:cs="Times New Roman"/>
                <w:color w:val="auto"/>
                <w:sz w:val="24"/>
                <w:szCs w:val="32"/>
                <w:highlight w:val="none"/>
                <w:lang w:val="en-US" w:eastAsia="zh-CN"/>
              </w:rPr>
              <w:t>合生世界花园、晶彩亦庄，大气环境保护目标</w:t>
            </w:r>
            <w:r>
              <w:rPr>
                <w:rFonts w:hint="eastAsia" w:ascii="Times New Roman" w:hAnsi="Times New Roman" w:eastAsia="宋体" w:cs="Times New Roman"/>
                <w:color w:val="auto"/>
                <w:sz w:val="24"/>
                <w:szCs w:val="32"/>
                <w:highlight w:val="none"/>
                <w:lang w:val="en-US" w:eastAsia="zh-CN"/>
              </w:rPr>
              <w:t>具体情况见下表。</w:t>
            </w:r>
          </w:p>
          <w:p w14:paraId="21B0FB3E">
            <w:pPr>
              <w:numPr>
                <w:ilvl w:val="0"/>
                <w:numId w:val="24"/>
              </w:numPr>
              <w:jc w:val="center"/>
              <w:rPr>
                <w:color w:val="auto"/>
              </w:rPr>
            </w:pPr>
            <w:r>
              <w:rPr>
                <w:rFonts w:hint="eastAsia" w:ascii="宋体" w:hAnsi="宋体" w:cs="宋体"/>
                <w:b/>
                <w:bCs/>
                <w:color w:val="auto"/>
                <w:kern w:val="0"/>
                <w:sz w:val="24"/>
                <w:szCs w:val="24"/>
                <w:lang w:val="en-US" w:eastAsia="zh-CN" w:bidi="ar"/>
              </w:rPr>
              <w:t>大气</w:t>
            </w:r>
            <w:r>
              <w:rPr>
                <w:rFonts w:hint="eastAsia" w:ascii="宋体" w:hAnsi="宋体" w:eastAsia="宋体" w:cs="宋体"/>
                <w:b/>
                <w:bCs/>
                <w:color w:val="auto"/>
                <w:kern w:val="0"/>
                <w:sz w:val="24"/>
                <w:szCs w:val="24"/>
                <w:lang w:val="en-US" w:eastAsia="zh-CN" w:bidi="ar"/>
              </w:rPr>
              <w:t>环境保护目标一览表</w:t>
            </w:r>
          </w:p>
          <w:tbl>
            <w:tblPr>
              <w:tblStyle w:val="24"/>
              <w:tblW w:w="7931"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898"/>
              <w:gridCol w:w="796"/>
              <w:gridCol w:w="797"/>
              <w:gridCol w:w="1102"/>
              <w:gridCol w:w="2237"/>
            </w:tblGrid>
            <w:tr w14:paraId="510820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tcBorders>
                    <w:tl2br w:val="nil"/>
                    <w:tr2bl w:val="nil"/>
                  </w:tcBorders>
                  <w:vAlign w:val="center"/>
                </w:tcPr>
                <w:p w14:paraId="1DE658D5">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环境保护</w:t>
                  </w:r>
                </w:p>
                <w:p w14:paraId="1EC81098">
                  <w:pPr>
                    <w:keepNext w:val="0"/>
                    <w:keepLines w:val="0"/>
                    <w:widowControl/>
                    <w:suppressLineNumbers w:val="0"/>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要素</w:t>
                  </w:r>
                </w:p>
              </w:tc>
              <w:tc>
                <w:tcPr>
                  <w:tcW w:w="1898" w:type="dxa"/>
                  <w:tcBorders>
                    <w:tl2br w:val="nil"/>
                    <w:tr2bl w:val="nil"/>
                  </w:tcBorders>
                  <w:vAlign w:val="center"/>
                </w:tcPr>
                <w:p w14:paraId="24161B7F">
                  <w:pPr>
                    <w:numPr>
                      <w:ilvl w:val="0"/>
                      <w:numId w:val="0"/>
                    </w:numPr>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环境保护目标</w:t>
                  </w:r>
                </w:p>
              </w:tc>
              <w:tc>
                <w:tcPr>
                  <w:tcW w:w="796" w:type="dxa"/>
                  <w:tcBorders>
                    <w:tl2br w:val="nil"/>
                    <w:tr2bl w:val="nil"/>
                  </w:tcBorders>
                  <w:vAlign w:val="center"/>
                </w:tcPr>
                <w:p w14:paraId="6CB9A5C6">
                  <w:pPr>
                    <w:numPr>
                      <w:ilvl w:val="0"/>
                      <w:numId w:val="0"/>
                    </w:numPr>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方位</w:t>
                  </w:r>
                </w:p>
              </w:tc>
              <w:tc>
                <w:tcPr>
                  <w:tcW w:w="797" w:type="dxa"/>
                  <w:tcBorders>
                    <w:tl2br w:val="nil"/>
                    <w:tr2bl w:val="nil"/>
                  </w:tcBorders>
                  <w:vAlign w:val="center"/>
                </w:tcPr>
                <w:p w14:paraId="0EDFA6E0">
                  <w:pPr>
                    <w:numPr>
                      <w:ilvl w:val="0"/>
                      <w:numId w:val="0"/>
                    </w:numPr>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距离</w:t>
                  </w:r>
                </w:p>
                <w:p w14:paraId="3E23FBE4">
                  <w:pPr>
                    <w:numPr>
                      <w:ilvl w:val="0"/>
                      <w:numId w:val="0"/>
                    </w:numPr>
                    <w:jc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m</w:t>
                  </w:r>
                </w:p>
              </w:tc>
              <w:tc>
                <w:tcPr>
                  <w:tcW w:w="1102" w:type="dxa"/>
                  <w:tcBorders>
                    <w:tl2br w:val="nil"/>
                    <w:tr2bl w:val="nil"/>
                  </w:tcBorders>
                  <w:vAlign w:val="center"/>
                </w:tcPr>
                <w:p w14:paraId="72E13D4E">
                  <w:pPr>
                    <w:numPr>
                      <w:ilvl w:val="0"/>
                      <w:numId w:val="0"/>
                    </w:numPr>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保护对象</w:t>
                  </w:r>
                </w:p>
              </w:tc>
              <w:tc>
                <w:tcPr>
                  <w:tcW w:w="2237" w:type="dxa"/>
                  <w:tcBorders>
                    <w:tl2br w:val="nil"/>
                    <w:tr2bl w:val="nil"/>
                  </w:tcBorders>
                  <w:vAlign w:val="center"/>
                </w:tcPr>
                <w:p w14:paraId="06042FBB">
                  <w:pPr>
                    <w:keepNext w:val="0"/>
                    <w:keepLines w:val="0"/>
                    <w:widowControl/>
                    <w:suppressLineNumbers w:val="0"/>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保护级别</w:t>
                  </w:r>
                </w:p>
              </w:tc>
            </w:tr>
            <w:tr w14:paraId="2AE77A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vMerge w:val="restart"/>
                  <w:tcBorders>
                    <w:tl2br w:val="nil"/>
                    <w:tr2bl w:val="nil"/>
                  </w:tcBorders>
                  <w:vAlign w:val="center"/>
                </w:tcPr>
                <w:p w14:paraId="6A0C1FF0">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大气环境</w:t>
                  </w:r>
                </w:p>
              </w:tc>
              <w:tc>
                <w:tcPr>
                  <w:tcW w:w="1898" w:type="dxa"/>
                  <w:tcBorders>
                    <w:tl2br w:val="nil"/>
                    <w:tr2bl w:val="nil"/>
                  </w:tcBorders>
                  <w:vAlign w:val="center"/>
                </w:tcPr>
                <w:p w14:paraId="1334DF78">
                  <w:pPr>
                    <w:numPr>
                      <w:ilvl w:val="0"/>
                      <w:numId w:val="0"/>
                    </w:numPr>
                    <w:jc w:val="center"/>
                    <w:rPr>
                      <w:rFonts w:hint="eastAsia"/>
                      <w:b w:val="0"/>
                      <w:bCs w:val="0"/>
                      <w:color w:val="auto"/>
                      <w:sz w:val="21"/>
                      <w:szCs w:val="21"/>
                      <w:vertAlign w:val="baseline"/>
                      <w:lang w:val="en-US" w:eastAsia="zh-CN"/>
                    </w:rPr>
                  </w:pPr>
                  <w:r>
                    <w:rPr>
                      <w:rFonts w:hint="default"/>
                      <w:b w:val="0"/>
                      <w:bCs w:val="0"/>
                      <w:color w:val="auto"/>
                      <w:sz w:val="21"/>
                      <w:szCs w:val="21"/>
                      <w:vertAlign w:val="baseline"/>
                      <w:lang w:val="en-US" w:eastAsia="zh-CN"/>
                    </w:rPr>
                    <w:t>宏仁家园小区</w:t>
                  </w:r>
                </w:p>
              </w:tc>
              <w:tc>
                <w:tcPr>
                  <w:tcW w:w="796" w:type="dxa"/>
                  <w:tcBorders>
                    <w:tl2br w:val="nil"/>
                    <w:tr2bl w:val="nil"/>
                  </w:tcBorders>
                  <w:vAlign w:val="center"/>
                </w:tcPr>
                <w:p w14:paraId="3AA0B39D">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北</w:t>
                  </w:r>
                </w:p>
              </w:tc>
              <w:tc>
                <w:tcPr>
                  <w:tcW w:w="797" w:type="dxa"/>
                  <w:tcBorders>
                    <w:tl2br w:val="nil"/>
                    <w:tr2bl w:val="nil"/>
                  </w:tcBorders>
                  <w:vAlign w:val="center"/>
                </w:tcPr>
                <w:p w14:paraId="3F0BEABE">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约415</w:t>
                  </w:r>
                </w:p>
              </w:tc>
              <w:tc>
                <w:tcPr>
                  <w:tcW w:w="1102" w:type="dxa"/>
                  <w:tcBorders>
                    <w:tl2br w:val="nil"/>
                    <w:tr2bl w:val="nil"/>
                  </w:tcBorders>
                  <w:vAlign w:val="center"/>
                </w:tcPr>
                <w:p w14:paraId="0B76FCE2">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居民</w:t>
                  </w:r>
                </w:p>
              </w:tc>
              <w:tc>
                <w:tcPr>
                  <w:tcW w:w="2237" w:type="dxa"/>
                  <w:vMerge w:val="restart"/>
                  <w:tcBorders>
                    <w:tl2br w:val="nil"/>
                    <w:tr2bl w:val="nil"/>
                  </w:tcBorders>
                  <w:vAlign w:val="center"/>
                </w:tcPr>
                <w:p w14:paraId="4FD20090">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《环境空气质量标准》</w:t>
                  </w:r>
                </w:p>
                <w:p w14:paraId="6712E227">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r>
                    <w:rPr>
                      <w:rFonts w:hint="default"/>
                      <w:b w:val="0"/>
                      <w:bCs w:val="0"/>
                      <w:color w:val="auto"/>
                      <w:sz w:val="21"/>
                      <w:szCs w:val="21"/>
                      <w:vertAlign w:val="baseline"/>
                      <w:lang w:val="en-US" w:eastAsia="zh-CN"/>
                    </w:rPr>
                    <w:t>GB3095-2012</w:t>
                  </w:r>
                  <w:r>
                    <w:rPr>
                      <w:rFonts w:hint="eastAsia"/>
                      <w:b w:val="0"/>
                      <w:bCs w:val="0"/>
                      <w:color w:val="auto"/>
                      <w:sz w:val="21"/>
                      <w:szCs w:val="21"/>
                      <w:vertAlign w:val="baseline"/>
                      <w:lang w:val="en-US" w:eastAsia="zh-CN"/>
                    </w:rPr>
                    <w:t>）及其修改单中的二级标准</w:t>
                  </w:r>
                </w:p>
              </w:tc>
            </w:tr>
            <w:tr w14:paraId="3B9224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vMerge w:val="continue"/>
                  <w:tcBorders>
                    <w:tl2br w:val="nil"/>
                    <w:tr2bl w:val="nil"/>
                  </w:tcBorders>
                  <w:vAlign w:val="center"/>
                </w:tcPr>
                <w:p w14:paraId="440D91F6">
                  <w:pPr>
                    <w:numPr>
                      <w:ilvl w:val="0"/>
                      <w:numId w:val="0"/>
                    </w:numPr>
                    <w:jc w:val="center"/>
                    <w:rPr>
                      <w:b w:val="0"/>
                      <w:bCs w:val="0"/>
                      <w:color w:val="auto"/>
                      <w:sz w:val="21"/>
                      <w:szCs w:val="21"/>
                      <w:vertAlign w:val="baseline"/>
                    </w:rPr>
                  </w:pPr>
                </w:p>
              </w:tc>
              <w:tc>
                <w:tcPr>
                  <w:tcW w:w="1898" w:type="dxa"/>
                  <w:tcBorders>
                    <w:tl2br w:val="nil"/>
                    <w:tr2bl w:val="nil"/>
                  </w:tcBorders>
                  <w:vAlign w:val="center"/>
                </w:tcPr>
                <w:p w14:paraId="7D270B01">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马驹桥镇政府</w:t>
                  </w:r>
                </w:p>
              </w:tc>
              <w:tc>
                <w:tcPr>
                  <w:tcW w:w="796" w:type="dxa"/>
                  <w:tcBorders>
                    <w:tl2br w:val="nil"/>
                    <w:tr2bl w:val="nil"/>
                  </w:tcBorders>
                  <w:vAlign w:val="center"/>
                </w:tcPr>
                <w:p w14:paraId="26C12D4C">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北</w:t>
                  </w:r>
                </w:p>
              </w:tc>
              <w:tc>
                <w:tcPr>
                  <w:tcW w:w="797" w:type="dxa"/>
                  <w:tcBorders>
                    <w:tl2br w:val="nil"/>
                    <w:tr2bl w:val="nil"/>
                  </w:tcBorders>
                  <w:vAlign w:val="center"/>
                </w:tcPr>
                <w:p w14:paraId="638AFD4C">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约468</w:t>
                  </w:r>
                </w:p>
              </w:tc>
              <w:tc>
                <w:tcPr>
                  <w:tcW w:w="1102" w:type="dxa"/>
                  <w:tcBorders>
                    <w:tl2br w:val="nil"/>
                    <w:tr2bl w:val="nil"/>
                  </w:tcBorders>
                  <w:vAlign w:val="center"/>
                </w:tcPr>
                <w:p w14:paraId="66F0FB92">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行政办公</w:t>
                  </w:r>
                </w:p>
              </w:tc>
              <w:tc>
                <w:tcPr>
                  <w:tcW w:w="2237" w:type="dxa"/>
                  <w:vMerge w:val="continue"/>
                  <w:tcBorders>
                    <w:tl2br w:val="nil"/>
                    <w:tr2bl w:val="nil"/>
                  </w:tcBorders>
                  <w:vAlign w:val="center"/>
                </w:tcPr>
                <w:p w14:paraId="0A74D868">
                  <w:pPr>
                    <w:numPr>
                      <w:ilvl w:val="0"/>
                      <w:numId w:val="0"/>
                    </w:numPr>
                    <w:jc w:val="center"/>
                    <w:rPr>
                      <w:b w:val="0"/>
                      <w:bCs w:val="0"/>
                      <w:color w:val="auto"/>
                      <w:sz w:val="21"/>
                      <w:szCs w:val="21"/>
                      <w:vertAlign w:val="baseline"/>
                    </w:rPr>
                  </w:pPr>
                </w:p>
              </w:tc>
            </w:tr>
            <w:tr w14:paraId="77E79C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vMerge w:val="continue"/>
                  <w:tcBorders>
                    <w:tl2br w:val="nil"/>
                    <w:tr2bl w:val="nil"/>
                  </w:tcBorders>
                  <w:vAlign w:val="center"/>
                </w:tcPr>
                <w:p w14:paraId="206794F8">
                  <w:pPr>
                    <w:numPr>
                      <w:ilvl w:val="0"/>
                      <w:numId w:val="0"/>
                    </w:numPr>
                    <w:jc w:val="center"/>
                    <w:rPr>
                      <w:b w:val="0"/>
                      <w:bCs w:val="0"/>
                      <w:color w:val="auto"/>
                      <w:sz w:val="21"/>
                      <w:szCs w:val="21"/>
                      <w:vertAlign w:val="baseline"/>
                    </w:rPr>
                  </w:pPr>
                </w:p>
              </w:tc>
              <w:tc>
                <w:tcPr>
                  <w:tcW w:w="1898" w:type="dxa"/>
                  <w:tcBorders>
                    <w:tl2br w:val="nil"/>
                    <w:tr2bl w:val="nil"/>
                  </w:tcBorders>
                  <w:vAlign w:val="center"/>
                </w:tcPr>
                <w:p w14:paraId="5C65EC30">
                  <w:pPr>
                    <w:numPr>
                      <w:ilvl w:val="0"/>
                      <w:numId w:val="0"/>
                    </w:numPr>
                    <w:jc w:val="center"/>
                    <w:rPr>
                      <w:rFonts w:hint="eastAsia"/>
                      <w:b w:val="0"/>
                      <w:bCs w:val="0"/>
                      <w:color w:val="auto"/>
                      <w:sz w:val="21"/>
                      <w:szCs w:val="21"/>
                      <w:vertAlign w:val="baseline"/>
                      <w:lang w:val="en-US" w:eastAsia="zh-CN"/>
                    </w:rPr>
                  </w:pPr>
                  <w:r>
                    <w:rPr>
                      <w:rFonts w:hint="default"/>
                      <w:b w:val="0"/>
                      <w:bCs w:val="0"/>
                      <w:color w:val="auto"/>
                      <w:sz w:val="21"/>
                      <w:szCs w:val="21"/>
                      <w:vertAlign w:val="baseline"/>
                      <w:lang w:val="en-US" w:eastAsia="zh-CN"/>
                    </w:rPr>
                    <w:t>合生世界花园</w:t>
                  </w:r>
                </w:p>
              </w:tc>
              <w:tc>
                <w:tcPr>
                  <w:tcW w:w="796" w:type="dxa"/>
                  <w:tcBorders>
                    <w:tl2br w:val="nil"/>
                    <w:tr2bl w:val="nil"/>
                  </w:tcBorders>
                  <w:vAlign w:val="center"/>
                </w:tcPr>
                <w:p w14:paraId="5CD1755A">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西南</w:t>
                  </w:r>
                </w:p>
              </w:tc>
              <w:tc>
                <w:tcPr>
                  <w:tcW w:w="797" w:type="dxa"/>
                  <w:tcBorders>
                    <w:tl2br w:val="nil"/>
                    <w:tr2bl w:val="nil"/>
                  </w:tcBorders>
                  <w:vAlign w:val="center"/>
                </w:tcPr>
                <w:p w14:paraId="780BB717">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约475</w:t>
                  </w:r>
                </w:p>
              </w:tc>
              <w:tc>
                <w:tcPr>
                  <w:tcW w:w="1102" w:type="dxa"/>
                  <w:tcBorders>
                    <w:tl2br w:val="nil"/>
                    <w:tr2bl w:val="nil"/>
                  </w:tcBorders>
                  <w:vAlign w:val="center"/>
                </w:tcPr>
                <w:p w14:paraId="0AD47451">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居民</w:t>
                  </w:r>
                </w:p>
              </w:tc>
              <w:tc>
                <w:tcPr>
                  <w:tcW w:w="2237" w:type="dxa"/>
                  <w:vMerge w:val="continue"/>
                  <w:tcBorders>
                    <w:tl2br w:val="nil"/>
                    <w:tr2bl w:val="nil"/>
                  </w:tcBorders>
                  <w:vAlign w:val="center"/>
                </w:tcPr>
                <w:p w14:paraId="04A09530">
                  <w:pPr>
                    <w:numPr>
                      <w:ilvl w:val="0"/>
                      <w:numId w:val="0"/>
                    </w:numPr>
                    <w:jc w:val="center"/>
                    <w:rPr>
                      <w:b w:val="0"/>
                      <w:bCs w:val="0"/>
                      <w:color w:val="auto"/>
                      <w:sz w:val="21"/>
                      <w:szCs w:val="21"/>
                      <w:vertAlign w:val="baseline"/>
                    </w:rPr>
                  </w:pPr>
                </w:p>
              </w:tc>
            </w:tr>
            <w:tr w14:paraId="0EF05E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01" w:type="dxa"/>
                  <w:vMerge w:val="continue"/>
                  <w:tcBorders>
                    <w:tl2br w:val="nil"/>
                    <w:tr2bl w:val="nil"/>
                  </w:tcBorders>
                  <w:vAlign w:val="center"/>
                </w:tcPr>
                <w:p w14:paraId="59FD74D4">
                  <w:pPr>
                    <w:numPr>
                      <w:ilvl w:val="0"/>
                      <w:numId w:val="0"/>
                    </w:numPr>
                    <w:jc w:val="center"/>
                    <w:rPr>
                      <w:b w:val="0"/>
                      <w:bCs w:val="0"/>
                      <w:color w:val="auto"/>
                      <w:sz w:val="21"/>
                      <w:szCs w:val="21"/>
                      <w:vertAlign w:val="baseline"/>
                    </w:rPr>
                  </w:pPr>
                </w:p>
              </w:tc>
              <w:tc>
                <w:tcPr>
                  <w:tcW w:w="1898" w:type="dxa"/>
                  <w:tcBorders>
                    <w:tl2br w:val="nil"/>
                    <w:tr2bl w:val="nil"/>
                  </w:tcBorders>
                  <w:vAlign w:val="center"/>
                </w:tcPr>
                <w:p w14:paraId="01D2F1A3">
                  <w:pPr>
                    <w:numPr>
                      <w:ilvl w:val="0"/>
                      <w:numId w:val="0"/>
                    </w:numPr>
                    <w:jc w:val="center"/>
                    <w:rPr>
                      <w:rFonts w:hint="eastAsia"/>
                      <w:b w:val="0"/>
                      <w:bCs w:val="0"/>
                      <w:color w:val="auto"/>
                      <w:sz w:val="21"/>
                      <w:szCs w:val="21"/>
                      <w:vertAlign w:val="baseline"/>
                      <w:lang w:val="en-US" w:eastAsia="zh-CN"/>
                    </w:rPr>
                  </w:pPr>
                  <w:r>
                    <w:rPr>
                      <w:rFonts w:hint="default"/>
                      <w:b w:val="0"/>
                      <w:bCs w:val="0"/>
                      <w:color w:val="auto"/>
                      <w:sz w:val="21"/>
                      <w:szCs w:val="21"/>
                      <w:vertAlign w:val="baseline"/>
                      <w:lang w:val="en-US" w:eastAsia="zh-CN"/>
                    </w:rPr>
                    <w:t>晶彩亦庄</w:t>
                  </w:r>
                </w:p>
              </w:tc>
              <w:tc>
                <w:tcPr>
                  <w:tcW w:w="796" w:type="dxa"/>
                  <w:tcBorders>
                    <w:tl2br w:val="nil"/>
                    <w:tr2bl w:val="nil"/>
                  </w:tcBorders>
                  <w:vAlign w:val="center"/>
                </w:tcPr>
                <w:p w14:paraId="54907F5A">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西南</w:t>
                  </w:r>
                </w:p>
              </w:tc>
              <w:tc>
                <w:tcPr>
                  <w:tcW w:w="797" w:type="dxa"/>
                  <w:tcBorders>
                    <w:tl2br w:val="nil"/>
                    <w:tr2bl w:val="nil"/>
                  </w:tcBorders>
                  <w:vAlign w:val="center"/>
                </w:tcPr>
                <w:p w14:paraId="360BAAA6">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约473</w:t>
                  </w:r>
                </w:p>
              </w:tc>
              <w:tc>
                <w:tcPr>
                  <w:tcW w:w="1102" w:type="dxa"/>
                  <w:tcBorders>
                    <w:tl2br w:val="nil"/>
                    <w:tr2bl w:val="nil"/>
                  </w:tcBorders>
                  <w:vAlign w:val="center"/>
                </w:tcPr>
                <w:p w14:paraId="05A0E25D">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居民</w:t>
                  </w:r>
                </w:p>
              </w:tc>
              <w:tc>
                <w:tcPr>
                  <w:tcW w:w="2237" w:type="dxa"/>
                  <w:vMerge w:val="continue"/>
                  <w:tcBorders>
                    <w:tl2br w:val="nil"/>
                    <w:tr2bl w:val="nil"/>
                  </w:tcBorders>
                  <w:vAlign w:val="center"/>
                </w:tcPr>
                <w:p w14:paraId="508361E4">
                  <w:pPr>
                    <w:numPr>
                      <w:ilvl w:val="0"/>
                      <w:numId w:val="0"/>
                    </w:numPr>
                    <w:jc w:val="center"/>
                    <w:rPr>
                      <w:b w:val="0"/>
                      <w:bCs w:val="0"/>
                      <w:color w:val="auto"/>
                      <w:sz w:val="21"/>
                      <w:szCs w:val="21"/>
                      <w:vertAlign w:val="baseline"/>
                    </w:rPr>
                  </w:pPr>
                </w:p>
              </w:tc>
            </w:tr>
          </w:tbl>
          <w:p w14:paraId="332DC40A">
            <w:pPr>
              <w:pStyle w:val="20"/>
              <w:numPr>
                <w:ilvl w:val="0"/>
                <w:numId w:val="26"/>
              </w:numPr>
              <w:adjustRightInd w:val="0"/>
              <w:snapToGrid w:val="0"/>
              <w:spacing w:before="0" w:beforeAutospacing="0" w:after="0" w:afterAutospacing="0" w:line="360" w:lineRule="auto"/>
              <w:rPr>
                <w:rFonts w:hint="default" w:ascii="Times New Roman" w:hAnsi="Times New Roman" w:eastAsia="宋体" w:cs="Times New Roman"/>
                <w:b/>
                <w:bCs/>
                <w:color w:val="auto"/>
                <w:sz w:val="22"/>
                <w:szCs w:val="22"/>
                <w:highlight w:val="none"/>
                <w:lang w:bidi="ar"/>
              </w:rPr>
            </w:pPr>
            <w:r>
              <w:rPr>
                <w:rFonts w:hint="default" w:ascii="Times New Roman" w:hAnsi="Times New Roman" w:eastAsia="宋体" w:cs="Times New Roman"/>
                <w:b/>
                <w:bCs/>
                <w:color w:val="auto"/>
                <w:sz w:val="22"/>
                <w:szCs w:val="22"/>
                <w:highlight w:val="none"/>
                <w:lang w:bidi="ar"/>
              </w:rPr>
              <w:t>声环境</w:t>
            </w:r>
          </w:p>
          <w:p w14:paraId="5842A38F">
            <w:pPr>
              <w:autoSpaceDE w:val="0"/>
              <w:autoSpaceDN w:val="0"/>
              <w:adjustRightInd w:val="0"/>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项目厂界外50m范围内无声环境保护目标。</w:t>
            </w:r>
          </w:p>
          <w:p w14:paraId="44B57210">
            <w:pPr>
              <w:pStyle w:val="20"/>
              <w:numPr>
                <w:ilvl w:val="0"/>
                <w:numId w:val="26"/>
              </w:numPr>
              <w:adjustRightInd w:val="0"/>
              <w:snapToGrid w:val="0"/>
              <w:spacing w:before="0" w:beforeAutospacing="0" w:after="0" w:afterAutospacing="0" w:line="360" w:lineRule="auto"/>
              <w:rPr>
                <w:rFonts w:hint="default" w:ascii="Times New Roman" w:hAnsi="Times New Roman" w:eastAsia="宋体" w:cs="Times New Roman"/>
                <w:b/>
                <w:bCs/>
                <w:color w:val="auto"/>
                <w:sz w:val="22"/>
                <w:szCs w:val="22"/>
                <w:highlight w:val="none"/>
                <w:lang w:bidi="ar"/>
              </w:rPr>
            </w:pPr>
            <w:r>
              <w:rPr>
                <w:rFonts w:hint="default" w:ascii="Times New Roman" w:hAnsi="Times New Roman" w:eastAsia="宋体" w:cs="Times New Roman"/>
                <w:b/>
                <w:bCs/>
                <w:color w:val="auto"/>
                <w:szCs w:val="24"/>
                <w:highlight w:val="none"/>
              </w:rPr>
              <w:t>地下水</w:t>
            </w:r>
            <w:r>
              <w:rPr>
                <w:rFonts w:hint="default" w:ascii="Times New Roman" w:hAnsi="Times New Roman" w:eastAsia="宋体" w:cs="Times New Roman"/>
                <w:b/>
                <w:bCs/>
                <w:color w:val="auto"/>
                <w:sz w:val="22"/>
                <w:szCs w:val="22"/>
                <w:highlight w:val="none"/>
                <w:lang w:bidi="ar"/>
              </w:rPr>
              <w:t>环境</w:t>
            </w:r>
          </w:p>
          <w:p w14:paraId="07E21447">
            <w:pPr>
              <w:pStyle w:val="20"/>
              <w:numPr>
                <w:ilvl w:val="0"/>
                <w:numId w:val="0"/>
              </w:numPr>
              <w:adjustRightInd w:val="0"/>
              <w:snapToGrid w:val="0"/>
              <w:spacing w:before="0" w:beforeAutospacing="0" w:after="0" w:afterAutospacing="0" w:line="360" w:lineRule="auto"/>
              <w:ind w:leftChars="0" w:firstLine="480" w:firstLineChars="200"/>
              <w:rPr>
                <w:rFonts w:hint="eastAsia" w:ascii="Times New Roman" w:hAnsi="Times New Roman" w:eastAsia="宋体" w:cs="Times New Roman"/>
                <w:color w:val="auto"/>
                <w:sz w:val="24"/>
                <w:szCs w:val="32"/>
                <w:highlight w:val="none"/>
                <w:lang w:val="en-US" w:eastAsia="zh-CN"/>
              </w:rPr>
            </w:pPr>
            <w:r>
              <w:rPr>
                <w:rFonts w:hint="eastAsia" w:ascii="Times New Roman" w:hAnsi="Times New Roman" w:eastAsia="宋体" w:cs="Times New Roman"/>
                <w:color w:val="auto"/>
                <w:sz w:val="24"/>
                <w:szCs w:val="32"/>
                <w:highlight w:val="none"/>
                <w:lang w:val="en-US" w:eastAsia="zh-CN"/>
              </w:rPr>
              <w:t>根据《北京市人民政府关于通州区集中式饮用水水源保护区划定方案的批》(京政函[2014]164号)、《北京市人民政府关于调整通州区集中式饮用水水源保护区范围的批》(京政函[2016]24号)、《北京市人民政府关于调整市级地下饮用水水源保护区范围的通知》（京政发[2015]33号）和《北京市人民政府关于调整部分市级饮用水水源保护区范围的批复》（京政字[2021]41号），本项目所在区域不属于北京市地下饮用水水源保护区范围内。本项目厂界外500m范围地下水环境保护目标为马联村水厂8号水源井和北京金桥科技产业基地水厂11号水源井，分散式水源井一级保护区范围为30m，无二级保护区，具体情况见表3-3。</w:t>
            </w:r>
          </w:p>
          <w:p w14:paraId="510B7215">
            <w:pPr>
              <w:numPr>
                <w:ilvl w:val="0"/>
                <w:numId w:val="24"/>
              </w:numPr>
              <w:jc w:val="center"/>
              <w:rPr>
                <w:color w:val="auto"/>
              </w:rPr>
            </w:pPr>
            <w:r>
              <w:rPr>
                <w:rFonts w:hint="eastAsia" w:ascii="宋体" w:hAnsi="宋体" w:cs="宋体"/>
                <w:b/>
                <w:bCs/>
                <w:color w:val="auto"/>
                <w:kern w:val="0"/>
                <w:sz w:val="24"/>
                <w:szCs w:val="24"/>
                <w:lang w:val="en-US" w:eastAsia="zh-CN" w:bidi="ar"/>
              </w:rPr>
              <w:t>地下水</w:t>
            </w:r>
            <w:r>
              <w:rPr>
                <w:rFonts w:hint="eastAsia" w:ascii="宋体" w:hAnsi="宋体" w:eastAsia="宋体" w:cs="宋体"/>
                <w:b/>
                <w:bCs/>
                <w:color w:val="auto"/>
                <w:kern w:val="0"/>
                <w:sz w:val="24"/>
                <w:szCs w:val="24"/>
                <w:lang w:val="en-US" w:eastAsia="zh-CN" w:bidi="ar"/>
              </w:rPr>
              <w:t>环境保护目标一览表</w:t>
            </w:r>
          </w:p>
          <w:p w14:paraId="5890B1FF">
            <w:pPr>
              <w:numPr>
                <w:ilvl w:val="0"/>
                <w:numId w:val="0"/>
              </w:numPr>
              <w:ind w:leftChars="0"/>
              <w:jc w:val="both"/>
              <w:rPr>
                <w:color w:val="auto"/>
              </w:rPr>
            </w:pPr>
          </w:p>
          <w:tbl>
            <w:tblPr>
              <w:tblStyle w:val="24"/>
              <w:tblW w:w="4899"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2450"/>
              <w:gridCol w:w="993"/>
              <w:gridCol w:w="1374"/>
              <w:gridCol w:w="1702"/>
            </w:tblGrid>
            <w:tr w14:paraId="427A0C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3" w:type="dxa"/>
                  <w:tcBorders>
                    <w:tl2br w:val="nil"/>
                    <w:tr2bl w:val="nil"/>
                  </w:tcBorders>
                  <w:vAlign w:val="center"/>
                </w:tcPr>
                <w:p w14:paraId="23ED6408">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环境保护</w:t>
                  </w:r>
                </w:p>
                <w:p w14:paraId="4E0D2801">
                  <w:pPr>
                    <w:keepNext w:val="0"/>
                    <w:keepLines w:val="0"/>
                    <w:widowControl/>
                    <w:suppressLineNumbers w:val="0"/>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要素</w:t>
                  </w:r>
                </w:p>
              </w:tc>
              <w:tc>
                <w:tcPr>
                  <w:tcW w:w="2450" w:type="dxa"/>
                  <w:tcBorders>
                    <w:tl2br w:val="nil"/>
                    <w:tr2bl w:val="nil"/>
                  </w:tcBorders>
                  <w:vAlign w:val="center"/>
                </w:tcPr>
                <w:p w14:paraId="04BC1D5A">
                  <w:pPr>
                    <w:numPr>
                      <w:ilvl w:val="0"/>
                      <w:numId w:val="0"/>
                    </w:numPr>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环境保护目标</w:t>
                  </w:r>
                </w:p>
              </w:tc>
              <w:tc>
                <w:tcPr>
                  <w:tcW w:w="993" w:type="dxa"/>
                  <w:tcBorders>
                    <w:tl2br w:val="nil"/>
                    <w:tr2bl w:val="nil"/>
                  </w:tcBorders>
                  <w:vAlign w:val="center"/>
                </w:tcPr>
                <w:p w14:paraId="4CB4CA4D">
                  <w:pPr>
                    <w:numPr>
                      <w:ilvl w:val="0"/>
                      <w:numId w:val="0"/>
                    </w:numPr>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方位</w:t>
                  </w:r>
                </w:p>
              </w:tc>
              <w:tc>
                <w:tcPr>
                  <w:tcW w:w="1374" w:type="dxa"/>
                  <w:tcBorders>
                    <w:tl2br w:val="nil"/>
                    <w:tr2bl w:val="nil"/>
                  </w:tcBorders>
                  <w:vAlign w:val="center"/>
                </w:tcPr>
                <w:p w14:paraId="21BBCC19">
                  <w:pPr>
                    <w:numPr>
                      <w:ilvl w:val="0"/>
                      <w:numId w:val="0"/>
                    </w:numPr>
                    <w:jc w:val="center"/>
                    <w:rPr>
                      <w:rFonts w:hint="default"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距离</w:t>
                  </w:r>
                  <w:r>
                    <w:rPr>
                      <w:rFonts w:hint="eastAsia" w:ascii="宋体" w:hAnsi="宋体" w:cs="宋体"/>
                      <w:b/>
                      <w:bCs/>
                      <w:color w:val="auto"/>
                      <w:kern w:val="0"/>
                      <w:sz w:val="21"/>
                      <w:szCs w:val="21"/>
                      <w:lang w:val="en-US" w:eastAsia="zh-CN" w:bidi="ar"/>
                    </w:rPr>
                    <w:t>，m</w:t>
                  </w:r>
                </w:p>
              </w:tc>
              <w:tc>
                <w:tcPr>
                  <w:tcW w:w="1702" w:type="dxa"/>
                  <w:tcBorders>
                    <w:tl2br w:val="nil"/>
                    <w:tr2bl w:val="nil"/>
                  </w:tcBorders>
                  <w:vAlign w:val="center"/>
                </w:tcPr>
                <w:p w14:paraId="36815C08">
                  <w:pPr>
                    <w:keepNext w:val="0"/>
                    <w:keepLines w:val="0"/>
                    <w:widowControl/>
                    <w:suppressLineNumbers w:val="0"/>
                    <w:jc w:val="center"/>
                    <w:rPr>
                      <w:b/>
                      <w:bCs/>
                      <w:color w:val="auto"/>
                      <w:sz w:val="21"/>
                      <w:szCs w:val="21"/>
                      <w:vertAlign w:val="baseline"/>
                    </w:rPr>
                  </w:pPr>
                  <w:r>
                    <w:rPr>
                      <w:rFonts w:hint="eastAsia" w:ascii="宋体" w:hAnsi="宋体" w:eastAsia="宋体" w:cs="宋体"/>
                      <w:b/>
                      <w:bCs/>
                      <w:color w:val="auto"/>
                      <w:kern w:val="0"/>
                      <w:sz w:val="21"/>
                      <w:szCs w:val="21"/>
                      <w:lang w:val="en-US" w:eastAsia="zh-CN" w:bidi="ar"/>
                    </w:rPr>
                    <w:t>保护级别</w:t>
                  </w:r>
                </w:p>
              </w:tc>
            </w:tr>
            <w:tr w14:paraId="2B31A3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3" w:type="dxa"/>
                  <w:vMerge w:val="restart"/>
                  <w:tcBorders>
                    <w:tl2br w:val="nil"/>
                    <w:tr2bl w:val="nil"/>
                  </w:tcBorders>
                  <w:vAlign w:val="center"/>
                </w:tcPr>
                <w:p w14:paraId="150008B5">
                  <w:pPr>
                    <w:numPr>
                      <w:ilvl w:val="0"/>
                      <w:numId w:val="0"/>
                    </w:numPr>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地下水</w:t>
                  </w:r>
                </w:p>
              </w:tc>
              <w:tc>
                <w:tcPr>
                  <w:tcW w:w="2450" w:type="dxa"/>
                  <w:tcBorders>
                    <w:tl2br w:val="nil"/>
                    <w:tr2bl w:val="nil"/>
                  </w:tcBorders>
                  <w:vAlign w:val="center"/>
                </w:tcPr>
                <w:p w14:paraId="46CE0E59">
                  <w:pPr>
                    <w:numPr>
                      <w:ilvl w:val="0"/>
                      <w:numId w:val="0"/>
                    </w:numPr>
                    <w:jc w:val="center"/>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马联村水厂8号水源井</w:t>
                  </w:r>
                </w:p>
              </w:tc>
              <w:tc>
                <w:tcPr>
                  <w:tcW w:w="993" w:type="dxa"/>
                  <w:tcBorders>
                    <w:tl2br w:val="nil"/>
                    <w:tr2bl w:val="nil"/>
                  </w:tcBorders>
                  <w:vAlign w:val="center"/>
                </w:tcPr>
                <w:p w14:paraId="6514F575">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北</w:t>
                  </w:r>
                </w:p>
              </w:tc>
              <w:tc>
                <w:tcPr>
                  <w:tcW w:w="1374" w:type="dxa"/>
                  <w:tcBorders>
                    <w:tl2br w:val="nil"/>
                    <w:tr2bl w:val="nil"/>
                  </w:tcBorders>
                  <w:vAlign w:val="center"/>
                </w:tcPr>
                <w:p w14:paraId="672C35B0">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约441</w:t>
                  </w:r>
                </w:p>
              </w:tc>
              <w:tc>
                <w:tcPr>
                  <w:tcW w:w="1702" w:type="dxa"/>
                  <w:vMerge w:val="restart"/>
                  <w:tcBorders>
                    <w:tl2br w:val="nil"/>
                    <w:tr2bl w:val="nil"/>
                  </w:tcBorders>
                  <w:vAlign w:val="center"/>
                </w:tcPr>
                <w:p w14:paraId="22AE48D5">
                  <w:pPr>
                    <w:numPr>
                      <w:ilvl w:val="0"/>
                      <w:numId w:val="0"/>
                    </w:numPr>
                    <w:jc w:val="center"/>
                    <w:rPr>
                      <w:b w:val="0"/>
                      <w:bCs w:val="0"/>
                      <w:color w:val="auto"/>
                      <w:sz w:val="21"/>
                      <w:szCs w:val="21"/>
                      <w:vertAlign w:val="baseline"/>
                    </w:rPr>
                  </w:pPr>
                  <w:r>
                    <w:rPr>
                      <w:rFonts w:hint="eastAsia"/>
                      <w:b w:val="0"/>
                      <w:bCs w:val="0"/>
                      <w:color w:val="auto"/>
                      <w:sz w:val="21"/>
                      <w:szCs w:val="21"/>
                      <w:vertAlign w:val="baseline"/>
                    </w:rPr>
                    <w:t>水源井周围30m一级保护区</w:t>
                  </w:r>
                </w:p>
              </w:tc>
            </w:tr>
            <w:tr w14:paraId="3792CB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3" w:type="dxa"/>
                  <w:vMerge w:val="continue"/>
                  <w:tcBorders>
                    <w:tl2br w:val="nil"/>
                    <w:tr2bl w:val="nil"/>
                  </w:tcBorders>
                  <w:vAlign w:val="center"/>
                </w:tcPr>
                <w:p w14:paraId="148459B4">
                  <w:pPr>
                    <w:numPr>
                      <w:ilvl w:val="0"/>
                      <w:numId w:val="0"/>
                    </w:numPr>
                    <w:jc w:val="center"/>
                    <w:rPr>
                      <w:b w:val="0"/>
                      <w:bCs w:val="0"/>
                      <w:color w:val="auto"/>
                      <w:sz w:val="21"/>
                      <w:szCs w:val="21"/>
                      <w:vertAlign w:val="baseline"/>
                    </w:rPr>
                  </w:pPr>
                </w:p>
              </w:tc>
              <w:tc>
                <w:tcPr>
                  <w:tcW w:w="2450" w:type="dxa"/>
                  <w:tcBorders>
                    <w:tl2br w:val="nil"/>
                    <w:tr2bl w:val="nil"/>
                  </w:tcBorders>
                  <w:vAlign w:val="center"/>
                </w:tcPr>
                <w:p w14:paraId="25C879FC">
                  <w:pPr>
                    <w:numPr>
                      <w:ilvl w:val="0"/>
                      <w:numId w:val="0"/>
                    </w:numPr>
                    <w:jc w:val="center"/>
                    <w:rPr>
                      <w:rFonts w:hint="default"/>
                      <w:b w:val="0"/>
                      <w:bCs w:val="0"/>
                      <w:color w:val="auto"/>
                      <w:sz w:val="21"/>
                      <w:szCs w:val="21"/>
                      <w:vertAlign w:val="baseline"/>
                      <w:lang w:val="en-US" w:eastAsia="zh-CN"/>
                    </w:rPr>
                  </w:pPr>
                  <w:r>
                    <w:rPr>
                      <w:rFonts w:hint="default"/>
                      <w:b w:val="0"/>
                      <w:bCs w:val="0"/>
                      <w:color w:val="auto"/>
                      <w:sz w:val="21"/>
                      <w:szCs w:val="21"/>
                      <w:vertAlign w:val="baseline"/>
                      <w:lang w:val="en-US" w:eastAsia="zh-CN"/>
                    </w:rPr>
                    <w:t>北京金桥科技产业基地水厂11号水源井</w:t>
                  </w:r>
                </w:p>
              </w:tc>
              <w:tc>
                <w:tcPr>
                  <w:tcW w:w="993" w:type="dxa"/>
                  <w:tcBorders>
                    <w:tl2br w:val="nil"/>
                    <w:tr2bl w:val="nil"/>
                  </w:tcBorders>
                  <w:vAlign w:val="center"/>
                </w:tcPr>
                <w:p w14:paraId="6CDCC82C">
                  <w:pPr>
                    <w:numPr>
                      <w:ilvl w:val="0"/>
                      <w:numId w:val="0"/>
                    </w:numPr>
                    <w:jc w:val="center"/>
                    <w:rPr>
                      <w:rFonts w:hint="eastAsia"/>
                      <w:b w:val="0"/>
                      <w:bCs w:val="0"/>
                      <w:color w:val="auto"/>
                      <w:sz w:val="21"/>
                      <w:szCs w:val="21"/>
                      <w:vertAlign w:val="baseline"/>
                      <w:lang w:val="en-US" w:eastAsia="zh-CN"/>
                    </w:rPr>
                  </w:pPr>
                  <w:r>
                    <w:rPr>
                      <w:rFonts w:hint="eastAsia"/>
                      <w:b w:val="0"/>
                      <w:bCs w:val="0"/>
                      <w:color w:val="auto"/>
                      <w:sz w:val="21"/>
                      <w:szCs w:val="21"/>
                      <w:vertAlign w:val="baseline"/>
                      <w:lang w:val="en-US" w:eastAsia="zh-CN"/>
                    </w:rPr>
                    <w:t>西</w:t>
                  </w:r>
                </w:p>
              </w:tc>
              <w:tc>
                <w:tcPr>
                  <w:tcW w:w="1374" w:type="dxa"/>
                  <w:tcBorders>
                    <w:tl2br w:val="nil"/>
                    <w:tr2bl w:val="nil"/>
                  </w:tcBorders>
                  <w:vAlign w:val="center"/>
                </w:tcPr>
                <w:p w14:paraId="2FB1E16B">
                  <w:pPr>
                    <w:numPr>
                      <w:ilvl w:val="0"/>
                      <w:numId w:val="0"/>
                    </w:numPr>
                    <w:jc w:val="center"/>
                    <w:rPr>
                      <w:rFonts w:hint="default"/>
                      <w:b w:val="0"/>
                      <w:bCs w:val="0"/>
                      <w:color w:val="auto"/>
                      <w:sz w:val="21"/>
                      <w:szCs w:val="21"/>
                      <w:vertAlign w:val="baseline"/>
                      <w:lang w:val="en-US" w:eastAsia="zh-CN"/>
                    </w:rPr>
                  </w:pPr>
                  <w:r>
                    <w:rPr>
                      <w:rFonts w:hint="eastAsia"/>
                      <w:b w:val="0"/>
                      <w:bCs w:val="0"/>
                      <w:color w:val="auto"/>
                      <w:sz w:val="21"/>
                      <w:szCs w:val="21"/>
                      <w:vertAlign w:val="baseline"/>
                      <w:lang w:val="en-US" w:eastAsia="zh-CN"/>
                    </w:rPr>
                    <w:t>约480</w:t>
                  </w:r>
                </w:p>
              </w:tc>
              <w:tc>
                <w:tcPr>
                  <w:tcW w:w="1702" w:type="dxa"/>
                  <w:vMerge w:val="continue"/>
                  <w:tcBorders>
                    <w:tl2br w:val="nil"/>
                    <w:tr2bl w:val="nil"/>
                  </w:tcBorders>
                  <w:vAlign w:val="center"/>
                </w:tcPr>
                <w:p w14:paraId="0AB65EBB">
                  <w:pPr>
                    <w:numPr>
                      <w:ilvl w:val="0"/>
                      <w:numId w:val="0"/>
                    </w:numPr>
                    <w:jc w:val="center"/>
                    <w:rPr>
                      <w:b w:val="0"/>
                      <w:bCs w:val="0"/>
                      <w:color w:val="auto"/>
                      <w:sz w:val="21"/>
                      <w:szCs w:val="21"/>
                      <w:vertAlign w:val="baseline"/>
                    </w:rPr>
                  </w:pPr>
                </w:p>
              </w:tc>
            </w:tr>
          </w:tbl>
          <w:p w14:paraId="25CA5E73">
            <w:pPr>
              <w:pStyle w:val="20"/>
              <w:numPr>
                <w:ilvl w:val="0"/>
                <w:numId w:val="26"/>
              </w:numPr>
              <w:adjustRightInd w:val="0"/>
              <w:snapToGrid w:val="0"/>
              <w:spacing w:before="0" w:beforeAutospacing="0" w:after="0" w:afterAutospacing="0" w:line="360" w:lineRule="auto"/>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rPr>
              <w:t>生态环境</w:t>
            </w:r>
          </w:p>
          <w:p w14:paraId="717D9936">
            <w:pPr>
              <w:autoSpaceDE w:val="0"/>
              <w:autoSpaceDN w:val="0"/>
              <w:adjustRightInd w:val="0"/>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本项目租用园区内现有房屋，不新增建设用地，</w:t>
            </w:r>
            <w:r>
              <w:rPr>
                <w:rFonts w:hint="eastAsia" w:cs="Times New Roman"/>
                <w:color w:val="auto"/>
                <w:sz w:val="24"/>
                <w:szCs w:val="32"/>
                <w:highlight w:val="none"/>
                <w:lang w:val="en-US" w:eastAsia="zh-CN"/>
              </w:rPr>
              <w:t>无生态环境保护目标</w:t>
            </w:r>
            <w:r>
              <w:rPr>
                <w:rFonts w:hint="default" w:ascii="Times New Roman" w:hAnsi="Times New Roman" w:eastAsia="宋体" w:cs="Times New Roman"/>
                <w:color w:val="auto"/>
                <w:sz w:val="24"/>
                <w:szCs w:val="32"/>
                <w:highlight w:val="none"/>
              </w:rPr>
              <w:t>。</w:t>
            </w:r>
          </w:p>
        </w:tc>
      </w:tr>
      <w:tr w14:paraId="0B225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800" w:type="dxa"/>
            <w:tcMar>
              <w:left w:w="28" w:type="dxa"/>
              <w:right w:w="28" w:type="dxa"/>
            </w:tcMar>
            <w:vAlign w:val="center"/>
          </w:tcPr>
          <w:p w14:paraId="5E2B765B">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污染物排放控</w:t>
            </w:r>
          </w:p>
          <w:p w14:paraId="446860F8">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制标准</w:t>
            </w:r>
          </w:p>
        </w:tc>
        <w:tc>
          <w:tcPr>
            <w:tcW w:w="8147" w:type="dxa"/>
            <w:vAlign w:val="center"/>
          </w:tcPr>
          <w:p w14:paraId="735CD0C0">
            <w:pPr>
              <w:adjustRightInd w:val="0"/>
              <w:snapToGrid w:val="0"/>
              <w:spacing w:line="360" w:lineRule="auto"/>
              <w:rPr>
                <w:rStyle w:val="31"/>
                <w:rFonts w:hint="default" w:ascii="Times New Roman" w:hAnsi="Times New Roman" w:eastAsia="宋体" w:cs="Times New Roman"/>
                <w:color w:val="auto"/>
                <w:highlight w:val="none"/>
              </w:rPr>
            </w:pPr>
            <w:r>
              <w:rPr>
                <w:rFonts w:hint="default" w:ascii="Times New Roman" w:hAnsi="Times New Roman" w:eastAsia="宋体" w:cs="Times New Roman"/>
                <w:b/>
                <w:color w:val="auto"/>
                <w:sz w:val="24"/>
                <w:highlight w:val="none"/>
              </w:rPr>
              <w:t>一、大气污染物排放标准</w:t>
            </w:r>
          </w:p>
          <w:p w14:paraId="1D65DC7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Style w:val="31"/>
                <w:rFonts w:hint="default" w:ascii="Times New Roman" w:hAnsi="Times New Roman" w:eastAsia="宋体" w:cs="Times New Roman"/>
                <w:color w:val="auto"/>
                <w:highlight w:val="none"/>
              </w:rPr>
              <w:t>本项目大气污染物主要为</w:t>
            </w:r>
            <w:r>
              <w:rPr>
                <w:rStyle w:val="31"/>
                <w:rFonts w:hint="eastAsia" w:cs="Times New Roman"/>
                <w:color w:val="auto"/>
                <w:highlight w:val="none"/>
                <w:lang w:val="en-US" w:eastAsia="zh-CN"/>
              </w:rPr>
              <w:t>检测</w:t>
            </w:r>
            <w:r>
              <w:rPr>
                <w:rStyle w:val="31"/>
                <w:rFonts w:hint="default" w:ascii="Times New Roman" w:hAnsi="Times New Roman" w:eastAsia="宋体" w:cs="Times New Roman"/>
                <w:color w:val="auto"/>
                <w:highlight w:val="none"/>
                <w:lang w:val="en-US" w:eastAsia="zh-CN"/>
              </w:rPr>
              <w:t>实验</w:t>
            </w:r>
            <w:r>
              <w:rPr>
                <w:rStyle w:val="31"/>
                <w:rFonts w:hint="default" w:ascii="Times New Roman" w:hAnsi="Times New Roman" w:eastAsia="宋体" w:cs="Times New Roman"/>
                <w:color w:val="auto"/>
                <w:highlight w:val="none"/>
              </w:rPr>
              <w:t>过程产生的挥发性有机废气</w:t>
            </w:r>
            <w:r>
              <w:rPr>
                <w:rStyle w:val="31"/>
                <w:rFonts w:hint="default" w:ascii="Times New Roman" w:hAnsi="Times New Roman" w:eastAsia="宋体" w:cs="Times New Roman"/>
                <w:color w:val="auto"/>
                <w:highlight w:val="none"/>
                <w:lang w:eastAsia="zh-CN"/>
              </w:rPr>
              <w:t>、</w:t>
            </w:r>
            <w:r>
              <w:rPr>
                <w:rStyle w:val="31"/>
                <w:rFonts w:hint="default" w:ascii="Times New Roman" w:hAnsi="Times New Roman" w:eastAsia="宋体" w:cs="Times New Roman"/>
                <w:color w:val="auto"/>
                <w:highlight w:val="none"/>
                <w:lang w:val="en-US" w:eastAsia="zh-CN"/>
              </w:rPr>
              <w:t>氨、氯化氢、氮氧化物、</w:t>
            </w:r>
            <w:r>
              <w:rPr>
                <w:rStyle w:val="31"/>
                <w:rFonts w:hint="eastAsia" w:cs="Times New Roman"/>
                <w:color w:val="auto"/>
                <w:highlight w:val="none"/>
                <w:lang w:val="en-US" w:eastAsia="zh-CN"/>
              </w:rPr>
              <w:t>硫酸雾等无机废气。实验室建设通风橱，部分产生废气的仪器上方、部分产生废气的操作工位上方安装万向罩，实验检测过程产生的废气经万向罩、通</w:t>
            </w:r>
            <w:r>
              <w:rPr>
                <w:rStyle w:val="31"/>
                <w:rFonts w:hint="eastAsia" w:ascii="Times New Roman" w:hAnsi="Times New Roman" w:eastAsia="宋体" w:cs="Times New Roman"/>
                <w:color w:val="auto"/>
                <w:highlight w:val="none"/>
                <w:lang w:val="en-US" w:eastAsia="zh-CN"/>
              </w:rPr>
              <w:t>风橱收集，然后进位于楼顶的一套</w:t>
            </w:r>
            <w:r>
              <w:rPr>
                <w:rStyle w:val="31"/>
                <w:rFonts w:hint="eastAsia" w:cs="Times New Roman"/>
                <w:color w:val="auto"/>
                <w:highlight w:val="none"/>
                <w:lang w:val="en-US" w:eastAsia="zh-CN"/>
              </w:rPr>
              <w:t>干式过滤器（碱式吸附+酸式吸附+活性炭吸附）</w:t>
            </w:r>
            <w:r>
              <w:rPr>
                <w:rStyle w:val="31"/>
                <w:rFonts w:hint="eastAsia" w:ascii="Times New Roman" w:hAnsi="Times New Roman" w:eastAsia="宋体" w:cs="Times New Roman"/>
                <w:color w:val="auto"/>
                <w:highlight w:val="none"/>
                <w:lang w:val="en-US" w:eastAsia="zh-CN"/>
              </w:rPr>
              <w:t>处理后，通过一根</w:t>
            </w:r>
            <w:r>
              <w:rPr>
                <w:rStyle w:val="31"/>
                <w:rFonts w:hint="eastAsia" w:cs="Times New Roman"/>
                <w:color w:val="auto"/>
                <w:highlight w:val="none"/>
                <w:lang w:val="en-US" w:eastAsia="zh-CN"/>
              </w:rPr>
              <w:t>28m</w:t>
            </w:r>
            <w:r>
              <w:rPr>
                <w:rStyle w:val="31"/>
                <w:rFonts w:hint="eastAsia" w:ascii="Times New Roman" w:hAnsi="Times New Roman" w:eastAsia="宋体" w:cs="Times New Roman"/>
                <w:color w:val="auto"/>
                <w:highlight w:val="none"/>
                <w:lang w:val="en-US" w:eastAsia="zh-CN"/>
              </w:rPr>
              <w:t>的排气筒（DA001）排放。</w:t>
            </w:r>
          </w:p>
          <w:p w14:paraId="2E567A1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default" w:cs="Times New Roman"/>
                <w:color w:val="auto"/>
                <w:sz w:val="24"/>
                <w:highlight w:val="none"/>
                <w:lang w:val="en-US" w:eastAsia="zh-CN"/>
              </w:rPr>
            </w:pPr>
            <w:r>
              <w:rPr>
                <w:rFonts w:hint="eastAsia" w:cs="Times New Roman"/>
                <w:color w:val="auto"/>
                <w:sz w:val="24"/>
                <w:highlight w:val="none"/>
                <w:lang w:val="en-US" w:eastAsia="zh-CN"/>
              </w:rPr>
              <w:t>本项目</w:t>
            </w:r>
            <w:r>
              <w:rPr>
                <w:rFonts w:hint="default" w:cs="Times New Roman"/>
                <w:color w:val="auto"/>
                <w:sz w:val="24"/>
                <w:highlight w:val="none"/>
                <w:lang w:val="en-US" w:eastAsia="zh-CN"/>
              </w:rPr>
              <w:t>废气排放执行北京市《大气污染物综合排放标准》（DB11/501-2017）表3中相应限值要求。</w:t>
            </w:r>
          </w:p>
          <w:p w14:paraId="71F212AA">
            <w:pPr>
              <w:pStyle w:val="42"/>
              <w:snapToGrid w:val="0"/>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根据北京市《大气污染物综合排放标准》（DB11/501-2017）中相关规定：</w:t>
            </w:r>
            <w:r>
              <w:rPr>
                <w:rFonts w:hint="eastAsia" w:cs="Times New Roman"/>
                <w:color w:val="auto"/>
                <w:szCs w:val="24"/>
                <w:highlight w:val="none"/>
                <w:lang w:eastAsia="zh-CN"/>
              </w:rPr>
              <w:t>“</w:t>
            </w:r>
            <w:r>
              <w:rPr>
                <w:rFonts w:hint="default" w:ascii="Times New Roman" w:hAnsi="Times New Roman" w:eastAsia="宋体" w:cs="Times New Roman"/>
                <w:color w:val="auto"/>
                <w:szCs w:val="24"/>
                <w:highlight w:val="none"/>
              </w:rPr>
              <w:t>①排气筒高度应高出周围200m半径范围内的建筑物5m以上；不能达到该项要求的，最高允许排放速率应根据5.1.3确定的排放速率限值的50%执行；②排气筒高度处于表1、表2或表3所列的两个排气筒高度之间时，其执行的最高允许排放速率以内插法计算</w:t>
            </w:r>
            <w:r>
              <w:rPr>
                <w:rFonts w:hint="default" w:ascii="Times New Roman" w:hAnsi="Times New Roman" w:eastAsia="宋体" w:cs="Times New Roman"/>
                <w:color w:val="auto"/>
                <w:szCs w:val="24"/>
                <w:highlight w:val="none"/>
                <w:lang w:eastAsia="zh-CN"/>
              </w:rPr>
              <w:t>；③</w:t>
            </w:r>
            <w:r>
              <w:rPr>
                <w:rFonts w:hint="default" w:ascii="Times New Roman" w:hAnsi="Times New Roman" w:eastAsia="宋体" w:cs="Times New Roman"/>
                <w:color w:val="auto"/>
                <w:szCs w:val="24"/>
                <w:highlight w:val="none"/>
                <w:lang w:val="en-US" w:eastAsia="zh-CN"/>
              </w:rPr>
              <w:t>排污单位内有排放同种污染物的多根排气筒，按合并后的一根排气筒确定该排污单位应执行的最高允许排放速率限值</w:t>
            </w:r>
            <w:r>
              <w:rPr>
                <w:rFonts w:hint="eastAsia" w:cs="Times New Roman"/>
                <w:color w:val="auto"/>
                <w:szCs w:val="24"/>
                <w:highlight w:val="none"/>
                <w:lang w:val="en-US" w:eastAsia="zh-CN"/>
              </w:rPr>
              <w:t>”</w:t>
            </w:r>
            <w:r>
              <w:rPr>
                <w:rFonts w:hint="default" w:ascii="Times New Roman" w:hAnsi="Times New Roman" w:eastAsia="宋体" w:cs="Times New Roman"/>
                <w:color w:val="auto"/>
                <w:szCs w:val="24"/>
                <w:highlight w:val="none"/>
              </w:rPr>
              <w:t>。</w:t>
            </w:r>
          </w:p>
          <w:p w14:paraId="6EC2F319">
            <w:pPr>
              <w:pStyle w:val="42"/>
              <w:snapToGrid w:val="0"/>
              <w:ind w:firstLine="480" w:firstLineChars="20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本项目排气筒高</w:t>
            </w:r>
            <w:r>
              <w:rPr>
                <w:rFonts w:hint="eastAsia" w:cs="Times New Roman"/>
                <w:color w:val="auto"/>
                <w:szCs w:val="24"/>
                <w:highlight w:val="none"/>
                <w:lang w:val="en-US" w:eastAsia="zh-CN"/>
              </w:rPr>
              <w:t>28</w:t>
            </w:r>
            <w:r>
              <w:rPr>
                <w:rFonts w:hint="default" w:ascii="Times New Roman" w:hAnsi="Times New Roman" w:eastAsia="宋体" w:cs="Times New Roman"/>
                <w:color w:val="auto"/>
                <w:szCs w:val="24"/>
                <w:highlight w:val="none"/>
              </w:rPr>
              <w:t>m，</w:t>
            </w:r>
            <w:r>
              <w:rPr>
                <w:rFonts w:hint="eastAsia" w:cs="Times New Roman"/>
                <w:color w:val="auto"/>
                <w:szCs w:val="24"/>
                <w:highlight w:val="none"/>
                <w:lang w:val="en-US" w:eastAsia="zh-CN"/>
              </w:rPr>
              <w:t>南侧与本项目紧邻的15号楼高19m</w:t>
            </w:r>
            <w:r>
              <w:rPr>
                <w:rFonts w:hint="default" w:ascii="Times New Roman" w:hAnsi="Times New Roman" w:eastAsia="宋体" w:cs="Times New Roman"/>
                <w:color w:val="auto"/>
                <w:szCs w:val="24"/>
                <w:highlight w:val="none"/>
                <w:lang w:val="en-US" w:eastAsia="zh-CN"/>
              </w:rPr>
              <w:t>，</w:t>
            </w:r>
            <w:r>
              <w:rPr>
                <w:rFonts w:hint="eastAsia" w:ascii="Times New Roman" w:hAnsi="Times New Roman" w:eastAsia="宋体" w:cs="Times New Roman"/>
                <w:color w:val="auto"/>
                <w:szCs w:val="24"/>
                <w:highlight w:val="none"/>
                <w:lang w:val="en-US" w:eastAsia="zh-CN"/>
              </w:rPr>
              <w:t>本项目排气筒</w:t>
            </w:r>
            <w:r>
              <w:rPr>
                <w:rFonts w:hint="default" w:ascii="Times New Roman" w:hAnsi="Times New Roman" w:eastAsia="宋体" w:cs="Times New Roman"/>
                <w:color w:val="auto"/>
                <w:szCs w:val="24"/>
                <w:highlight w:val="none"/>
              </w:rPr>
              <w:t>未高出周围200m半径范围内的建筑物5m以上，废气排放速率须根据上述要求执行。</w:t>
            </w:r>
          </w:p>
          <w:p w14:paraId="47F50349">
            <w:pPr>
              <w:pStyle w:val="42"/>
              <w:snapToGrid w:val="0"/>
              <w:ind w:firstLine="480" w:firstLineChars="200"/>
              <w:rPr>
                <w:rFonts w:hint="default" w:ascii="Times New Roman" w:hAnsi="Times New Roman" w:eastAsia="宋体" w:cs="Times New Roman"/>
                <w:color w:val="auto"/>
                <w:szCs w:val="24"/>
                <w:highlight w:val="none"/>
                <w:lang w:val="zh-CN"/>
              </w:rPr>
            </w:pPr>
            <w:r>
              <w:rPr>
                <w:rFonts w:hint="default" w:ascii="Times New Roman" w:hAnsi="Times New Roman" w:eastAsia="宋体" w:cs="Times New Roman"/>
                <w:color w:val="auto"/>
                <w:szCs w:val="24"/>
                <w:highlight w:val="none"/>
                <w:lang w:val="zh-CN"/>
              </w:rPr>
              <w:t>综上，本项目大气污染物排放执行标准详见下表。</w:t>
            </w:r>
          </w:p>
          <w:p w14:paraId="1D8BF571">
            <w:pPr>
              <w:numPr>
                <w:ilvl w:val="0"/>
                <w:numId w:val="24"/>
              </w:num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北京市《大气污染物综合排放标准》（DB11/501-2017）（摘录）</w:t>
            </w:r>
          </w:p>
          <w:tbl>
            <w:tblPr>
              <w:tblStyle w:val="24"/>
              <w:tblW w:w="492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776"/>
              <w:gridCol w:w="1728"/>
              <w:gridCol w:w="1055"/>
              <w:gridCol w:w="1260"/>
              <w:gridCol w:w="1314"/>
            </w:tblGrid>
            <w:tr w14:paraId="75ECD0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684" w:type="dxa"/>
                  <w:vMerge w:val="restart"/>
                  <w:tcBorders>
                    <w:tl2br w:val="nil"/>
                    <w:tr2bl w:val="nil"/>
                  </w:tcBorders>
                  <w:shd w:val="clear" w:color="auto" w:fill="auto"/>
                  <w:vAlign w:val="center"/>
                </w:tcPr>
                <w:p w14:paraId="1D53B570">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排放口</w:t>
                  </w:r>
                </w:p>
              </w:tc>
              <w:tc>
                <w:tcPr>
                  <w:tcW w:w="1776" w:type="dxa"/>
                  <w:vMerge w:val="restart"/>
                  <w:tcBorders>
                    <w:tl2br w:val="nil"/>
                    <w:tr2bl w:val="nil"/>
                  </w:tcBorders>
                  <w:shd w:val="clear" w:color="auto" w:fill="auto"/>
                  <w:vAlign w:val="center"/>
                </w:tcPr>
                <w:p w14:paraId="35A41310">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w:t>
                  </w:r>
                </w:p>
                <w:p w14:paraId="2F6444CF">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1728" w:type="dxa"/>
                  <w:vMerge w:val="restart"/>
                  <w:tcBorders>
                    <w:tl2br w:val="nil"/>
                    <w:tr2bl w:val="nil"/>
                  </w:tcBorders>
                  <w:shd w:val="clear" w:color="auto" w:fill="auto"/>
                  <w:vAlign w:val="center"/>
                </w:tcPr>
                <w:p w14:paraId="34B078BD">
                  <w:pPr>
                    <w:jc w:val="center"/>
                    <w:rPr>
                      <w:rFonts w:hint="default" w:ascii="Times New Roman" w:hAnsi="Times New Roman" w:eastAsia="宋体" w:cs="Times New Roman"/>
                      <w:b/>
                      <w:color w:val="auto"/>
                      <w:szCs w:val="21"/>
                      <w:highlight w:val="none"/>
                      <w:lang w:val="zh-CN"/>
                    </w:rPr>
                  </w:pPr>
                  <w:r>
                    <w:rPr>
                      <w:rFonts w:hint="default" w:ascii="Times New Roman" w:hAnsi="Times New Roman" w:eastAsia="宋体" w:cs="Times New Roman"/>
                      <w:b/>
                      <w:color w:val="auto"/>
                      <w:szCs w:val="21"/>
                      <w:highlight w:val="none"/>
                      <w:lang w:val="zh-CN"/>
                    </w:rPr>
                    <w:t>Ⅱ时段大气污染物最高允许排放浓度（mg/m</w:t>
                  </w:r>
                  <w:r>
                    <w:rPr>
                      <w:rFonts w:hint="default" w:ascii="Times New Roman" w:hAnsi="Times New Roman" w:eastAsia="宋体" w:cs="Times New Roman"/>
                      <w:b/>
                      <w:color w:val="auto"/>
                      <w:szCs w:val="21"/>
                      <w:highlight w:val="none"/>
                      <w:vertAlign w:val="superscript"/>
                      <w:lang w:val="zh-CN"/>
                    </w:rPr>
                    <w:t>3</w:t>
                  </w:r>
                  <w:r>
                    <w:rPr>
                      <w:rFonts w:hint="default" w:ascii="Times New Roman" w:hAnsi="Times New Roman" w:eastAsia="宋体" w:cs="Times New Roman"/>
                      <w:b/>
                      <w:color w:val="auto"/>
                      <w:szCs w:val="21"/>
                      <w:highlight w:val="none"/>
                      <w:lang w:val="zh-CN"/>
                    </w:rPr>
                    <w:t>）</w:t>
                  </w:r>
                </w:p>
              </w:tc>
              <w:tc>
                <w:tcPr>
                  <w:tcW w:w="1055" w:type="dxa"/>
                  <w:vMerge w:val="restart"/>
                  <w:tcBorders>
                    <w:tl2br w:val="nil"/>
                    <w:tr2bl w:val="nil"/>
                  </w:tcBorders>
                  <w:shd w:val="clear" w:color="auto" w:fill="auto"/>
                  <w:vAlign w:val="center"/>
                </w:tcPr>
                <w:p w14:paraId="44F1321A">
                  <w:pPr>
                    <w:jc w:val="center"/>
                    <w:rPr>
                      <w:rFonts w:hint="default" w:ascii="Times New Roman" w:hAnsi="Times New Roman" w:eastAsia="宋体" w:cs="Times New Roman"/>
                      <w:b/>
                      <w:color w:val="auto"/>
                      <w:szCs w:val="21"/>
                      <w:highlight w:val="none"/>
                      <w:lang w:val="zh-CN"/>
                    </w:rPr>
                  </w:pPr>
                  <w:r>
                    <w:rPr>
                      <w:rFonts w:hint="default" w:ascii="Times New Roman" w:hAnsi="Times New Roman" w:eastAsia="宋体" w:cs="Times New Roman"/>
                      <w:b/>
                      <w:color w:val="auto"/>
                      <w:szCs w:val="21"/>
                      <w:highlight w:val="none"/>
                      <w:lang w:val="zh-CN"/>
                    </w:rPr>
                    <w:t>排气筒高度（m）</w:t>
                  </w:r>
                </w:p>
              </w:tc>
              <w:tc>
                <w:tcPr>
                  <w:tcW w:w="2574" w:type="dxa"/>
                  <w:gridSpan w:val="2"/>
                  <w:tcBorders>
                    <w:tl2br w:val="nil"/>
                    <w:tr2bl w:val="nil"/>
                  </w:tcBorders>
                  <w:shd w:val="clear" w:color="auto" w:fill="auto"/>
                  <w:vAlign w:val="center"/>
                </w:tcPr>
                <w:p w14:paraId="741BF3C5">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
                      <w:color w:val="auto"/>
                      <w:szCs w:val="21"/>
                      <w:highlight w:val="none"/>
                      <w:lang w:val="zh-CN"/>
                    </w:rPr>
                    <w:t>最高允许排放速率（kg/h）</w:t>
                  </w:r>
                </w:p>
              </w:tc>
            </w:tr>
            <w:tr w14:paraId="409F7A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84" w:type="dxa"/>
                  <w:vMerge w:val="continue"/>
                  <w:tcBorders>
                    <w:tl2br w:val="nil"/>
                    <w:tr2bl w:val="nil"/>
                  </w:tcBorders>
                  <w:vAlign w:val="center"/>
                </w:tcPr>
                <w:p w14:paraId="63F28508">
                  <w:pPr>
                    <w:jc w:val="center"/>
                    <w:rPr>
                      <w:rFonts w:hint="default" w:ascii="Times New Roman" w:hAnsi="Times New Roman" w:eastAsia="宋体" w:cs="Times New Roman"/>
                      <w:color w:val="auto"/>
                      <w:szCs w:val="21"/>
                      <w:highlight w:val="none"/>
                    </w:rPr>
                  </w:pPr>
                </w:p>
              </w:tc>
              <w:tc>
                <w:tcPr>
                  <w:tcW w:w="1776" w:type="dxa"/>
                  <w:vMerge w:val="continue"/>
                  <w:tcBorders>
                    <w:tl2br w:val="nil"/>
                    <w:tr2bl w:val="nil"/>
                  </w:tcBorders>
                  <w:vAlign w:val="center"/>
                </w:tcPr>
                <w:p w14:paraId="69E66E3A">
                  <w:pPr>
                    <w:jc w:val="center"/>
                    <w:rPr>
                      <w:rFonts w:hint="default" w:ascii="Times New Roman" w:hAnsi="Times New Roman" w:eastAsia="宋体" w:cs="Times New Roman"/>
                      <w:color w:val="auto"/>
                      <w:szCs w:val="21"/>
                      <w:highlight w:val="none"/>
                    </w:rPr>
                  </w:pPr>
                </w:p>
              </w:tc>
              <w:tc>
                <w:tcPr>
                  <w:tcW w:w="1728" w:type="dxa"/>
                  <w:vMerge w:val="continue"/>
                  <w:tcBorders>
                    <w:tl2br w:val="nil"/>
                    <w:tr2bl w:val="nil"/>
                  </w:tcBorders>
                  <w:vAlign w:val="center"/>
                </w:tcPr>
                <w:p w14:paraId="481F9D9B">
                  <w:pPr>
                    <w:jc w:val="center"/>
                    <w:rPr>
                      <w:rFonts w:hint="default" w:ascii="Times New Roman" w:hAnsi="Times New Roman" w:eastAsia="宋体" w:cs="Times New Roman"/>
                      <w:color w:val="auto"/>
                      <w:szCs w:val="21"/>
                      <w:highlight w:val="none"/>
                    </w:rPr>
                  </w:pPr>
                </w:p>
              </w:tc>
              <w:tc>
                <w:tcPr>
                  <w:tcW w:w="1055" w:type="dxa"/>
                  <w:vMerge w:val="continue"/>
                  <w:tcBorders>
                    <w:tl2br w:val="nil"/>
                    <w:tr2bl w:val="nil"/>
                  </w:tcBorders>
                  <w:vAlign w:val="center"/>
                </w:tcPr>
                <w:p w14:paraId="7FEE2AC8">
                  <w:pPr>
                    <w:jc w:val="center"/>
                    <w:rPr>
                      <w:rFonts w:hint="default" w:ascii="Times New Roman" w:hAnsi="Times New Roman" w:eastAsia="宋体" w:cs="Times New Roman"/>
                      <w:color w:val="auto"/>
                      <w:szCs w:val="21"/>
                      <w:highlight w:val="none"/>
                    </w:rPr>
                  </w:pPr>
                </w:p>
              </w:tc>
              <w:tc>
                <w:tcPr>
                  <w:tcW w:w="1260" w:type="dxa"/>
                  <w:tcBorders>
                    <w:tl2br w:val="nil"/>
                    <w:tr2bl w:val="nil"/>
                  </w:tcBorders>
                  <w:shd w:val="clear" w:color="auto" w:fill="auto"/>
                  <w:vAlign w:val="center"/>
                </w:tcPr>
                <w:p w14:paraId="6EEC34F0">
                  <w:pPr>
                    <w:jc w:val="center"/>
                    <w:rPr>
                      <w:rFonts w:hint="default"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28m</w:t>
                  </w:r>
                </w:p>
              </w:tc>
              <w:tc>
                <w:tcPr>
                  <w:tcW w:w="1314" w:type="dxa"/>
                  <w:tcBorders>
                    <w:tl2br w:val="nil"/>
                    <w:tr2bl w:val="nil"/>
                  </w:tcBorders>
                  <w:shd w:val="clear" w:color="auto" w:fill="auto"/>
                  <w:vAlign w:val="center"/>
                </w:tcPr>
                <w:p w14:paraId="76B7C5CF">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严格50%</w:t>
                  </w:r>
                </w:p>
              </w:tc>
            </w:tr>
            <w:tr w14:paraId="236521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restart"/>
                  <w:tcBorders>
                    <w:tl2br w:val="nil"/>
                    <w:tr2bl w:val="nil"/>
                  </w:tcBorders>
                  <w:shd w:val="clear" w:color="auto" w:fill="auto"/>
                  <w:vAlign w:val="center"/>
                </w:tcPr>
                <w:p w14:paraId="24319445">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DA</w:t>
                  </w:r>
                </w:p>
                <w:p w14:paraId="5D9061D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001</w:t>
                  </w:r>
                </w:p>
              </w:tc>
              <w:tc>
                <w:tcPr>
                  <w:tcW w:w="1776" w:type="dxa"/>
                  <w:tcBorders>
                    <w:tl2br w:val="nil"/>
                    <w:tr2bl w:val="nil"/>
                  </w:tcBorders>
                  <w:shd w:val="clear" w:color="auto" w:fill="auto"/>
                  <w:vAlign w:val="center"/>
                </w:tcPr>
                <w:p w14:paraId="30E5AC1B">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非甲烷总烃</w:t>
                  </w:r>
                </w:p>
              </w:tc>
              <w:tc>
                <w:tcPr>
                  <w:tcW w:w="1728" w:type="dxa"/>
                  <w:tcBorders>
                    <w:tl2br w:val="nil"/>
                    <w:tr2bl w:val="nil"/>
                  </w:tcBorders>
                  <w:shd w:val="clear" w:color="auto" w:fill="auto"/>
                  <w:vAlign w:val="center"/>
                </w:tcPr>
                <w:p w14:paraId="62EA5C24">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1055" w:type="dxa"/>
                  <w:vMerge w:val="restart"/>
                  <w:tcBorders>
                    <w:tl2br w:val="nil"/>
                    <w:tr2bl w:val="nil"/>
                  </w:tcBorders>
                  <w:shd w:val="clear" w:color="auto" w:fill="auto"/>
                  <w:vAlign w:val="center"/>
                </w:tcPr>
                <w:p w14:paraId="2072CD6A">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28</w:t>
                  </w:r>
                </w:p>
              </w:tc>
              <w:tc>
                <w:tcPr>
                  <w:tcW w:w="1260" w:type="dxa"/>
                  <w:tcBorders>
                    <w:tl2br w:val="nil"/>
                    <w:tr2bl w:val="nil"/>
                  </w:tcBorders>
                  <w:shd w:val="clear" w:color="auto" w:fill="auto"/>
                  <w:vAlign w:val="center"/>
                </w:tcPr>
                <w:p w14:paraId="40119F20">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17.2</w:t>
                  </w:r>
                </w:p>
              </w:tc>
              <w:tc>
                <w:tcPr>
                  <w:tcW w:w="1314" w:type="dxa"/>
                  <w:tcBorders>
                    <w:tl2br w:val="nil"/>
                    <w:tr2bl w:val="nil"/>
                  </w:tcBorders>
                  <w:shd w:val="clear" w:color="auto" w:fill="auto"/>
                  <w:vAlign w:val="center"/>
                </w:tcPr>
                <w:p w14:paraId="371640AE">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8.6</w:t>
                  </w:r>
                </w:p>
              </w:tc>
            </w:tr>
            <w:tr w14:paraId="67FE66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5DDC795D">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776" w:type="dxa"/>
                  <w:tcBorders>
                    <w:tl2br w:val="nil"/>
                    <w:tr2bl w:val="nil"/>
                  </w:tcBorders>
                  <w:shd w:val="clear" w:color="auto" w:fill="auto"/>
                  <w:vAlign w:val="center"/>
                </w:tcPr>
                <w:p w14:paraId="1252E2C0">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甲醇</w:t>
                  </w:r>
                </w:p>
              </w:tc>
              <w:tc>
                <w:tcPr>
                  <w:tcW w:w="1728" w:type="dxa"/>
                  <w:tcBorders>
                    <w:tl2br w:val="nil"/>
                    <w:tr2bl w:val="nil"/>
                  </w:tcBorders>
                  <w:shd w:val="clear" w:color="auto" w:fill="auto"/>
                  <w:vAlign w:val="center"/>
                </w:tcPr>
                <w:p w14:paraId="3E4B12C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1055" w:type="dxa"/>
                  <w:vMerge w:val="continue"/>
                  <w:tcBorders>
                    <w:tl2br w:val="nil"/>
                    <w:tr2bl w:val="nil"/>
                  </w:tcBorders>
                  <w:shd w:val="clear" w:color="auto" w:fill="auto"/>
                  <w:vAlign w:val="center"/>
                </w:tcPr>
                <w:p w14:paraId="58AEA820">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19E7F0E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8.6</w:t>
                  </w:r>
                </w:p>
              </w:tc>
              <w:tc>
                <w:tcPr>
                  <w:tcW w:w="1314" w:type="dxa"/>
                  <w:tcBorders>
                    <w:tl2br w:val="nil"/>
                    <w:tr2bl w:val="nil"/>
                  </w:tcBorders>
                  <w:shd w:val="clear" w:color="auto" w:fill="auto"/>
                  <w:vAlign w:val="center"/>
                </w:tcPr>
                <w:p w14:paraId="4EA7C908">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4.3</w:t>
                  </w:r>
                </w:p>
              </w:tc>
            </w:tr>
            <w:tr w14:paraId="5665D2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2A937496">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776" w:type="dxa"/>
                  <w:tcBorders>
                    <w:tl2br w:val="nil"/>
                    <w:tr2bl w:val="nil"/>
                  </w:tcBorders>
                  <w:shd w:val="clear" w:color="auto" w:fill="auto"/>
                  <w:vAlign w:val="center"/>
                </w:tcPr>
                <w:p w14:paraId="567B19E3">
                  <w:pPr>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其他A类物质（乙酸m）</w:t>
                  </w:r>
                </w:p>
              </w:tc>
              <w:tc>
                <w:tcPr>
                  <w:tcW w:w="1728" w:type="dxa"/>
                  <w:tcBorders>
                    <w:tl2br w:val="nil"/>
                    <w:tr2bl w:val="nil"/>
                  </w:tcBorders>
                  <w:shd w:val="clear" w:color="auto" w:fill="auto"/>
                  <w:vAlign w:val="center"/>
                </w:tcPr>
                <w:p w14:paraId="4AD4E842">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w:t>
                  </w:r>
                </w:p>
              </w:tc>
              <w:tc>
                <w:tcPr>
                  <w:tcW w:w="1055" w:type="dxa"/>
                  <w:vMerge w:val="continue"/>
                  <w:tcBorders>
                    <w:tl2br w:val="nil"/>
                    <w:tr2bl w:val="nil"/>
                  </w:tcBorders>
                  <w:shd w:val="clear" w:color="auto" w:fill="auto"/>
                  <w:vAlign w:val="center"/>
                </w:tcPr>
                <w:p w14:paraId="32056BD1">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007599A6">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14" w:type="dxa"/>
                  <w:tcBorders>
                    <w:tl2br w:val="nil"/>
                    <w:tr2bl w:val="nil"/>
                  </w:tcBorders>
                  <w:shd w:val="clear" w:color="auto" w:fill="auto"/>
                  <w:vAlign w:val="center"/>
                </w:tcPr>
                <w:p w14:paraId="3291AC72">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69F4C8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05E49C21">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776" w:type="dxa"/>
                  <w:tcBorders>
                    <w:tl2br w:val="nil"/>
                    <w:tr2bl w:val="nil"/>
                  </w:tcBorders>
                  <w:shd w:val="clear" w:color="auto" w:fill="auto"/>
                  <w:vAlign w:val="center"/>
                </w:tcPr>
                <w:p w14:paraId="7487CEC3">
                  <w:pPr>
                    <w:adjustRightInd w:val="0"/>
                    <w:snapToGrid w:val="0"/>
                    <w:spacing w:line="240" w:lineRule="auto"/>
                    <w:jc w:val="center"/>
                    <w:rPr>
                      <w:rFonts w:hint="eastAsia"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其他C类物质（正己烷、丙酮）</w:t>
                  </w:r>
                </w:p>
              </w:tc>
              <w:tc>
                <w:tcPr>
                  <w:tcW w:w="1728" w:type="dxa"/>
                  <w:tcBorders>
                    <w:tl2br w:val="nil"/>
                    <w:tr2bl w:val="nil"/>
                  </w:tcBorders>
                  <w:shd w:val="clear" w:color="auto" w:fill="auto"/>
                  <w:vAlign w:val="center"/>
                </w:tcPr>
                <w:p w14:paraId="09CBED86">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80</w:t>
                  </w:r>
                </w:p>
              </w:tc>
              <w:tc>
                <w:tcPr>
                  <w:tcW w:w="1055" w:type="dxa"/>
                  <w:vMerge w:val="continue"/>
                  <w:tcBorders>
                    <w:tl2br w:val="nil"/>
                    <w:tr2bl w:val="nil"/>
                  </w:tcBorders>
                  <w:shd w:val="clear" w:color="auto" w:fill="auto"/>
                  <w:vAlign w:val="center"/>
                </w:tcPr>
                <w:p w14:paraId="2B6DFB49">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26418CFF">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c>
                <w:tcPr>
                  <w:tcW w:w="1314" w:type="dxa"/>
                  <w:tcBorders>
                    <w:tl2br w:val="nil"/>
                    <w:tr2bl w:val="nil"/>
                  </w:tcBorders>
                  <w:shd w:val="clear" w:color="auto" w:fill="auto"/>
                  <w:vAlign w:val="center"/>
                </w:tcPr>
                <w:p w14:paraId="4B2D2900">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w:t>
                  </w:r>
                </w:p>
              </w:tc>
            </w:tr>
            <w:tr w14:paraId="3CE959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2921C1A4">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776" w:type="dxa"/>
                  <w:tcBorders>
                    <w:tl2br w:val="nil"/>
                    <w:tr2bl w:val="nil"/>
                  </w:tcBorders>
                  <w:shd w:val="clear" w:color="auto" w:fill="auto"/>
                  <w:vAlign w:val="center"/>
                </w:tcPr>
                <w:p w14:paraId="08C0B2EE">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氨</w:t>
                  </w:r>
                </w:p>
              </w:tc>
              <w:tc>
                <w:tcPr>
                  <w:tcW w:w="1728" w:type="dxa"/>
                  <w:tcBorders>
                    <w:tl2br w:val="nil"/>
                    <w:tr2bl w:val="nil"/>
                  </w:tcBorders>
                  <w:shd w:val="clear" w:color="auto" w:fill="auto"/>
                  <w:vAlign w:val="center"/>
                </w:tcPr>
                <w:p w14:paraId="68FFE26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055" w:type="dxa"/>
                  <w:vMerge w:val="continue"/>
                  <w:tcBorders>
                    <w:tl2br w:val="nil"/>
                    <w:tr2bl w:val="nil"/>
                  </w:tcBorders>
                  <w:shd w:val="clear" w:color="auto" w:fill="auto"/>
                  <w:vAlign w:val="center"/>
                </w:tcPr>
                <w:p w14:paraId="4A0DAFC2">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30619C97">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3.52</w:t>
                  </w:r>
                </w:p>
              </w:tc>
              <w:tc>
                <w:tcPr>
                  <w:tcW w:w="1314" w:type="dxa"/>
                  <w:tcBorders>
                    <w:tl2br w:val="nil"/>
                    <w:tr2bl w:val="nil"/>
                  </w:tcBorders>
                  <w:shd w:val="clear" w:color="auto" w:fill="auto"/>
                  <w:vAlign w:val="center"/>
                </w:tcPr>
                <w:p w14:paraId="7D1AD81D">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1.76</w:t>
                  </w:r>
                </w:p>
              </w:tc>
            </w:tr>
            <w:tr w14:paraId="18E83D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75BF069C">
                  <w:pPr>
                    <w:adjustRightInd w:val="0"/>
                    <w:snapToGrid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1776" w:type="dxa"/>
                  <w:tcBorders>
                    <w:tl2br w:val="nil"/>
                    <w:tr2bl w:val="nil"/>
                  </w:tcBorders>
                  <w:shd w:val="clear" w:color="auto" w:fill="auto"/>
                  <w:vAlign w:val="center"/>
                </w:tcPr>
                <w:p w14:paraId="475C9D41">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氯化氢</w:t>
                  </w:r>
                </w:p>
              </w:tc>
              <w:tc>
                <w:tcPr>
                  <w:tcW w:w="1728" w:type="dxa"/>
                  <w:tcBorders>
                    <w:tl2br w:val="nil"/>
                    <w:tr2bl w:val="nil"/>
                  </w:tcBorders>
                  <w:shd w:val="clear" w:color="auto" w:fill="auto"/>
                  <w:vAlign w:val="center"/>
                </w:tcPr>
                <w:p w14:paraId="57E6425F">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w:t>
                  </w:r>
                </w:p>
              </w:tc>
              <w:tc>
                <w:tcPr>
                  <w:tcW w:w="1055" w:type="dxa"/>
                  <w:vMerge w:val="continue"/>
                  <w:tcBorders>
                    <w:tl2br w:val="nil"/>
                    <w:tr2bl w:val="nil"/>
                  </w:tcBorders>
                  <w:shd w:val="clear" w:color="auto" w:fill="auto"/>
                  <w:vAlign w:val="center"/>
                </w:tcPr>
                <w:p w14:paraId="4D465105">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0F1B903D">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0.172</w:t>
                  </w:r>
                </w:p>
              </w:tc>
              <w:tc>
                <w:tcPr>
                  <w:tcW w:w="1314" w:type="dxa"/>
                  <w:tcBorders>
                    <w:tl2br w:val="nil"/>
                    <w:tr2bl w:val="nil"/>
                  </w:tcBorders>
                  <w:shd w:val="clear" w:color="auto" w:fill="auto"/>
                  <w:vAlign w:val="center"/>
                </w:tcPr>
                <w:p w14:paraId="196635FA">
                  <w:pPr>
                    <w:adjustRightInd w:val="0"/>
                    <w:snapToGrid w:val="0"/>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0.086</w:t>
                  </w:r>
                </w:p>
              </w:tc>
            </w:tr>
            <w:tr w14:paraId="7DC38C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0A8E2AF1">
                  <w:pPr>
                    <w:adjustRightInd w:val="0"/>
                    <w:snapToGrid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1776" w:type="dxa"/>
                  <w:tcBorders>
                    <w:tl2br w:val="nil"/>
                    <w:tr2bl w:val="nil"/>
                  </w:tcBorders>
                  <w:shd w:val="clear" w:color="auto" w:fill="auto"/>
                  <w:vAlign w:val="center"/>
                </w:tcPr>
                <w:p w14:paraId="1CA85D9A">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硫酸雾</w:t>
                  </w:r>
                </w:p>
              </w:tc>
              <w:tc>
                <w:tcPr>
                  <w:tcW w:w="1728" w:type="dxa"/>
                  <w:tcBorders>
                    <w:tl2br w:val="nil"/>
                    <w:tr2bl w:val="nil"/>
                  </w:tcBorders>
                  <w:shd w:val="clear" w:color="auto" w:fill="auto"/>
                  <w:vAlign w:val="center"/>
                </w:tcPr>
                <w:p w14:paraId="2C73C71A">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w:t>
                  </w:r>
                </w:p>
              </w:tc>
              <w:tc>
                <w:tcPr>
                  <w:tcW w:w="1055" w:type="dxa"/>
                  <w:vMerge w:val="continue"/>
                  <w:tcBorders>
                    <w:tl2br w:val="nil"/>
                    <w:tr2bl w:val="nil"/>
                  </w:tcBorders>
                  <w:shd w:val="clear" w:color="auto" w:fill="auto"/>
                  <w:vAlign w:val="center"/>
                </w:tcPr>
                <w:p w14:paraId="0198D3BA">
                  <w:pPr>
                    <w:adjustRightInd w:val="0"/>
                    <w:snapToGri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39FE3357">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5.24</w:t>
                  </w:r>
                </w:p>
              </w:tc>
              <w:tc>
                <w:tcPr>
                  <w:tcW w:w="1314" w:type="dxa"/>
                  <w:tcBorders>
                    <w:tl2br w:val="nil"/>
                    <w:tr2bl w:val="nil"/>
                  </w:tcBorders>
                  <w:shd w:val="clear" w:color="auto" w:fill="auto"/>
                  <w:vAlign w:val="center"/>
                </w:tcPr>
                <w:p w14:paraId="308B6276">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2.62</w:t>
                  </w:r>
                </w:p>
              </w:tc>
            </w:tr>
            <w:tr w14:paraId="758F32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84" w:type="dxa"/>
                  <w:vMerge w:val="continue"/>
                  <w:tcBorders>
                    <w:tl2br w:val="nil"/>
                    <w:tr2bl w:val="nil"/>
                  </w:tcBorders>
                  <w:shd w:val="clear" w:color="auto" w:fill="auto"/>
                  <w:vAlign w:val="center"/>
                </w:tcPr>
                <w:p w14:paraId="7A8F15DA">
                  <w:pPr>
                    <w:adjustRightInd w:val="0"/>
                    <w:snapToGrid w:val="0"/>
                    <w:spacing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1776" w:type="dxa"/>
                  <w:tcBorders>
                    <w:tl2br w:val="nil"/>
                    <w:tr2bl w:val="nil"/>
                  </w:tcBorders>
                  <w:shd w:val="clear" w:color="auto" w:fill="auto"/>
                  <w:vAlign w:val="center"/>
                </w:tcPr>
                <w:p w14:paraId="24C59FC9">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氮氧化物</w:t>
                  </w:r>
                </w:p>
              </w:tc>
              <w:tc>
                <w:tcPr>
                  <w:tcW w:w="1728" w:type="dxa"/>
                  <w:tcBorders>
                    <w:tl2br w:val="nil"/>
                    <w:tr2bl w:val="nil"/>
                  </w:tcBorders>
                  <w:shd w:val="clear" w:color="auto" w:fill="auto"/>
                  <w:vAlign w:val="center"/>
                </w:tcPr>
                <w:p w14:paraId="01747D3A">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1055" w:type="dxa"/>
                  <w:vMerge w:val="continue"/>
                  <w:tcBorders>
                    <w:tl2br w:val="nil"/>
                    <w:tr2bl w:val="nil"/>
                  </w:tcBorders>
                  <w:shd w:val="clear" w:color="auto" w:fill="auto"/>
                  <w:vAlign w:val="center"/>
                </w:tcPr>
                <w:p w14:paraId="3A5523E7">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p>
              </w:tc>
              <w:tc>
                <w:tcPr>
                  <w:tcW w:w="1260" w:type="dxa"/>
                  <w:tcBorders>
                    <w:tl2br w:val="nil"/>
                    <w:tr2bl w:val="nil"/>
                  </w:tcBorders>
                  <w:shd w:val="clear" w:color="auto" w:fill="auto"/>
                  <w:vAlign w:val="center"/>
                </w:tcPr>
                <w:p w14:paraId="605EA83B">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2.064</w:t>
                  </w:r>
                </w:p>
              </w:tc>
              <w:tc>
                <w:tcPr>
                  <w:tcW w:w="1314" w:type="dxa"/>
                  <w:tcBorders>
                    <w:tl2br w:val="nil"/>
                    <w:tr2bl w:val="nil"/>
                  </w:tcBorders>
                  <w:shd w:val="clear" w:color="auto" w:fill="auto"/>
                  <w:vAlign w:val="center"/>
                </w:tcPr>
                <w:p w14:paraId="08B0DBB3">
                  <w:pPr>
                    <w:adjustRightInd w:val="0"/>
                    <w:snapToGri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1.032</w:t>
                  </w:r>
                </w:p>
              </w:tc>
            </w:tr>
          </w:tbl>
          <w:p w14:paraId="5CFA7DFC">
            <w:pPr>
              <w:adjustRightIn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color w:val="auto"/>
                <w:sz w:val="24"/>
                <w:highlight w:val="none"/>
              </w:rPr>
              <w:t>二</w:t>
            </w:r>
            <w:r>
              <w:rPr>
                <w:rFonts w:hint="default" w:ascii="Times New Roman" w:hAnsi="Times New Roman" w:eastAsia="宋体" w:cs="Times New Roman"/>
                <w:b/>
                <w:color w:val="auto"/>
                <w:sz w:val="24"/>
                <w:highlight w:val="none"/>
              </w:rPr>
              <w:t>、水污染物排放标准</w:t>
            </w:r>
          </w:p>
          <w:p w14:paraId="10C013F3">
            <w:pPr>
              <w:pStyle w:val="6"/>
              <w:adjustRightIn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本项目废水最终排入</w:t>
            </w:r>
            <w:r>
              <w:rPr>
                <w:rFonts w:hint="eastAsia" w:cs="Times New Roman"/>
                <w:color w:val="auto"/>
                <w:sz w:val="24"/>
                <w:szCs w:val="24"/>
                <w:highlight w:val="none"/>
                <w:lang w:eastAsia="zh-CN"/>
              </w:rPr>
              <w:t>金桥基地第一污水处理厂</w:t>
            </w:r>
            <w:r>
              <w:rPr>
                <w:rFonts w:hint="default" w:ascii="Times New Roman" w:hAnsi="Times New Roman" w:eastAsia="宋体" w:cs="Times New Roman"/>
                <w:color w:val="auto"/>
                <w:sz w:val="24"/>
                <w:szCs w:val="24"/>
                <w:highlight w:val="none"/>
              </w:rPr>
              <w:t>，根据北京市《水污染物综合排放标准》（DB11/307-2013）中的规定，水污染物排放执行</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排入公共污水处理系统的水污染物排放限值</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。具体限值见下表。</w:t>
            </w:r>
          </w:p>
          <w:p w14:paraId="33CA1E3B">
            <w:pPr>
              <w:numPr>
                <w:ilvl w:val="0"/>
                <w:numId w:val="24"/>
              </w:num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 xml:space="preserve"> 排入公共污水处理系统的水污染物排放限值</w:t>
            </w:r>
            <w:r>
              <w:rPr>
                <w:rFonts w:hint="default" w:ascii="Times New Roman" w:hAnsi="Times New Roman" w:eastAsia="宋体" w:cs="Times New Roman"/>
                <w:b/>
                <w:bCs/>
                <w:color w:val="auto"/>
                <w:sz w:val="24"/>
                <w:highlight w:val="none"/>
              </w:rPr>
              <w:t>（摘录）</w:t>
            </w:r>
          </w:p>
          <w:tbl>
            <w:tblPr>
              <w:tblStyle w:val="23"/>
              <w:tblW w:w="4853"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3283"/>
              <w:gridCol w:w="3059"/>
            </w:tblGrid>
            <w:tr w14:paraId="0E6CC0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880" w:type="pct"/>
                  <w:tcBorders>
                    <w:tl2br w:val="nil"/>
                    <w:tr2bl w:val="nil"/>
                  </w:tcBorders>
                  <w:vAlign w:val="center"/>
                </w:tcPr>
                <w:p w14:paraId="6BF685D0">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2132" w:type="pct"/>
                  <w:tcBorders>
                    <w:tl2br w:val="nil"/>
                    <w:tr2bl w:val="nil"/>
                  </w:tcBorders>
                  <w:vAlign w:val="center"/>
                </w:tcPr>
                <w:p w14:paraId="6B78683B">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污染物或项目名称</w:t>
                  </w:r>
                </w:p>
              </w:tc>
              <w:tc>
                <w:tcPr>
                  <w:tcW w:w="1986" w:type="pct"/>
                  <w:tcBorders>
                    <w:tl2br w:val="nil"/>
                    <w:tr2bl w:val="nil"/>
                  </w:tcBorders>
                  <w:vAlign w:val="center"/>
                </w:tcPr>
                <w:p w14:paraId="0543A064">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排放限值（</w:t>
                  </w:r>
                  <w:r>
                    <w:rPr>
                      <w:rFonts w:hint="default" w:ascii="Times New Roman" w:hAnsi="Times New Roman" w:eastAsia="宋体" w:cs="Times New Roman"/>
                      <w:b/>
                      <w:bCs/>
                      <w:color w:val="auto"/>
                      <w:sz w:val="24"/>
                      <w:highlight w:val="none"/>
                    </w:rPr>
                    <w:t>mg/L</w:t>
                  </w:r>
                  <w:r>
                    <w:rPr>
                      <w:rFonts w:hint="default" w:ascii="Times New Roman" w:hAnsi="Times New Roman" w:eastAsia="宋体" w:cs="Times New Roman"/>
                      <w:b/>
                      <w:color w:val="auto"/>
                      <w:szCs w:val="21"/>
                      <w:highlight w:val="none"/>
                    </w:rPr>
                    <w:t>）</w:t>
                  </w:r>
                </w:p>
              </w:tc>
            </w:tr>
            <w:tr w14:paraId="249EC7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880" w:type="pct"/>
                  <w:tcBorders>
                    <w:tl2br w:val="nil"/>
                    <w:tr2bl w:val="nil"/>
                  </w:tcBorders>
                  <w:vAlign w:val="center"/>
                </w:tcPr>
                <w:p w14:paraId="7D283DA1">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2132" w:type="pct"/>
                  <w:tcBorders>
                    <w:tl2br w:val="nil"/>
                    <w:tr2bl w:val="nil"/>
                  </w:tcBorders>
                  <w:vAlign w:val="center"/>
                </w:tcPr>
                <w:p w14:paraId="0BD13DB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pH</w:t>
                  </w:r>
                  <w:r>
                    <w:rPr>
                      <w:rFonts w:hint="default" w:ascii="Times New Roman" w:hAnsi="Times New Roman" w:eastAsia="宋体" w:cs="Times New Roman"/>
                      <w:color w:val="auto"/>
                      <w:szCs w:val="21"/>
                      <w:highlight w:val="none"/>
                    </w:rPr>
                    <w:t>（无量纲）</w:t>
                  </w:r>
                </w:p>
              </w:tc>
              <w:tc>
                <w:tcPr>
                  <w:tcW w:w="1986" w:type="pct"/>
                  <w:tcBorders>
                    <w:tl2br w:val="nil"/>
                    <w:tr2bl w:val="nil"/>
                  </w:tcBorders>
                  <w:vAlign w:val="center"/>
                </w:tcPr>
                <w:p w14:paraId="7538F1BD">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6.5～9</w:t>
                  </w:r>
                </w:p>
              </w:tc>
            </w:tr>
            <w:tr w14:paraId="162494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tblHeader/>
                <w:jc w:val="center"/>
              </w:trPr>
              <w:tc>
                <w:tcPr>
                  <w:tcW w:w="880" w:type="pct"/>
                  <w:tcBorders>
                    <w:tl2br w:val="nil"/>
                    <w:tr2bl w:val="nil"/>
                  </w:tcBorders>
                  <w:vAlign w:val="center"/>
                </w:tcPr>
                <w:p w14:paraId="7A4D3DA7">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2132" w:type="pct"/>
                  <w:tcBorders>
                    <w:tl2br w:val="nil"/>
                    <w:tr2bl w:val="nil"/>
                  </w:tcBorders>
                  <w:vAlign w:val="center"/>
                </w:tcPr>
                <w:p w14:paraId="0043241C">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悬浮物</w:t>
                  </w:r>
                </w:p>
              </w:tc>
              <w:tc>
                <w:tcPr>
                  <w:tcW w:w="1986" w:type="pct"/>
                  <w:tcBorders>
                    <w:tl2br w:val="nil"/>
                    <w:tr2bl w:val="nil"/>
                  </w:tcBorders>
                  <w:vAlign w:val="center"/>
                </w:tcPr>
                <w:p w14:paraId="2ACD0424">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r>
            <w:tr w14:paraId="6A71B9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880" w:type="pct"/>
                  <w:tcBorders>
                    <w:tl2br w:val="nil"/>
                    <w:tr2bl w:val="nil"/>
                  </w:tcBorders>
                  <w:vAlign w:val="center"/>
                </w:tcPr>
                <w:p w14:paraId="1470154B">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2132" w:type="pct"/>
                  <w:tcBorders>
                    <w:tl2br w:val="nil"/>
                    <w:tr2bl w:val="nil"/>
                  </w:tcBorders>
                  <w:vAlign w:val="center"/>
                </w:tcPr>
                <w:p w14:paraId="2AED8F67">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五日生化需氧量</w:t>
                  </w:r>
                </w:p>
              </w:tc>
              <w:tc>
                <w:tcPr>
                  <w:tcW w:w="1986" w:type="pct"/>
                  <w:tcBorders>
                    <w:tl2br w:val="nil"/>
                    <w:tr2bl w:val="nil"/>
                  </w:tcBorders>
                  <w:vAlign w:val="center"/>
                </w:tcPr>
                <w:p w14:paraId="76A31BE3">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300</w:t>
                  </w:r>
                </w:p>
              </w:tc>
            </w:tr>
            <w:tr w14:paraId="239EEE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tblHeader/>
                <w:jc w:val="center"/>
              </w:trPr>
              <w:tc>
                <w:tcPr>
                  <w:tcW w:w="880" w:type="pct"/>
                  <w:tcBorders>
                    <w:tl2br w:val="nil"/>
                    <w:tr2bl w:val="nil"/>
                  </w:tcBorders>
                  <w:vAlign w:val="center"/>
                </w:tcPr>
                <w:p w14:paraId="27E6E614">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p>
              </w:tc>
              <w:tc>
                <w:tcPr>
                  <w:tcW w:w="2132" w:type="pct"/>
                  <w:tcBorders>
                    <w:tl2br w:val="nil"/>
                    <w:tr2bl w:val="nil"/>
                  </w:tcBorders>
                  <w:vAlign w:val="center"/>
                </w:tcPr>
                <w:p w14:paraId="60156109">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化学需氧量</w:t>
                  </w:r>
                </w:p>
              </w:tc>
              <w:tc>
                <w:tcPr>
                  <w:tcW w:w="1986" w:type="pct"/>
                  <w:tcBorders>
                    <w:tl2br w:val="nil"/>
                    <w:tr2bl w:val="nil"/>
                  </w:tcBorders>
                  <w:vAlign w:val="center"/>
                </w:tcPr>
                <w:p w14:paraId="2F3872F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500</w:t>
                  </w:r>
                </w:p>
              </w:tc>
            </w:tr>
            <w:tr w14:paraId="15263D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blHeader/>
                <w:jc w:val="center"/>
              </w:trPr>
              <w:tc>
                <w:tcPr>
                  <w:tcW w:w="880" w:type="pct"/>
                  <w:tcBorders>
                    <w:tl2br w:val="nil"/>
                    <w:tr2bl w:val="nil"/>
                  </w:tcBorders>
                  <w:vAlign w:val="center"/>
                </w:tcPr>
                <w:p w14:paraId="2340F6B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2132" w:type="pct"/>
                  <w:tcBorders>
                    <w:tl2br w:val="nil"/>
                    <w:tr2bl w:val="nil"/>
                  </w:tcBorders>
                  <w:vAlign w:val="center"/>
                </w:tcPr>
                <w:p w14:paraId="0E4533DB">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氨氮</w:t>
                  </w:r>
                </w:p>
              </w:tc>
              <w:tc>
                <w:tcPr>
                  <w:tcW w:w="1986" w:type="pct"/>
                  <w:tcBorders>
                    <w:tl2br w:val="nil"/>
                    <w:tr2bl w:val="nil"/>
                  </w:tcBorders>
                  <w:vAlign w:val="center"/>
                </w:tcPr>
                <w:p w14:paraId="0FE3119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w:t>
                  </w:r>
                </w:p>
              </w:tc>
            </w:tr>
          </w:tbl>
          <w:p w14:paraId="0C928397">
            <w:pPr>
              <w:adjustRightInd w:val="0"/>
              <w:snapToGrid w:val="0"/>
              <w:spacing w:before="120" w:beforeLines="50"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三、噪声排放标准</w:t>
            </w:r>
          </w:p>
          <w:p w14:paraId="5FD6F046">
            <w:pPr>
              <w:pStyle w:val="6"/>
              <w:adjustRightInd w:val="0"/>
              <w:snapToGrid w:val="0"/>
              <w:spacing w:line="360" w:lineRule="auto"/>
              <w:ind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项目施工期厂界噪声排放标准执行《建筑施工场界环境噪声排放标准》（GB12523-2011）中标准限值。</w:t>
            </w:r>
          </w:p>
          <w:p w14:paraId="77EDFC02">
            <w:pPr>
              <w:pStyle w:val="6"/>
              <w:adjustRightInd w:val="0"/>
              <w:snapToGrid w:val="0"/>
              <w:spacing w:line="360" w:lineRule="auto"/>
              <w:ind w:firstLineChars="20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项目边界运营期厂界噪声执行《工业企业厂界环境噪声排放标准》（GB12348-2008）中规定的3类标准要求，具体标准值详见下表。</w:t>
            </w:r>
          </w:p>
          <w:p w14:paraId="7A9D1F44">
            <w:pPr>
              <w:numPr>
                <w:ilvl w:val="0"/>
                <w:numId w:val="24"/>
              </w:numPr>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本项目噪声排放标准 单位：dB（A）</w:t>
            </w:r>
          </w:p>
          <w:tbl>
            <w:tblPr>
              <w:tblStyle w:val="23"/>
              <w:tblW w:w="4766"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1265"/>
              <w:gridCol w:w="3082"/>
              <w:gridCol w:w="3214"/>
            </w:tblGrid>
            <w:tr w14:paraId="11895B3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552" w:hRule="atLeast"/>
                <w:jc w:val="center"/>
              </w:trPr>
              <w:tc>
                <w:tcPr>
                  <w:tcW w:w="2874" w:type="pct"/>
                  <w:gridSpan w:val="2"/>
                  <w:tcBorders>
                    <w:tl2br w:val="nil"/>
                    <w:tr2bl w:val="nil"/>
                  </w:tcBorders>
                  <mc:AlternateContent>
                    <mc:Choice Requires="wpsCustomData">
                      <wpsCustomData:diagonals>
                        <wpsCustomData:diagonal from="10000" to="30000">
                          <wpsCustomData:border w:val="single" w:color="000000" w:sz="4" w:space="0"/>
                        </wpsCustomData:diagonal>
                      </wpsCustomData:diagonals>
                    </mc:Choice>
                  </mc:AlternateContent>
                </w:tcPr>
                <w:p w14:paraId="78C568AA">
                  <w:pPr>
                    <w:ind w:right="42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lang w:val="en-US" w:eastAsia="zh-CN"/>
                    </w:rPr>
                    <w:t xml:space="preserve">     </w:t>
                  </w:r>
                  <w:r>
                    <w:rPr>
                      <w:rFonts w:hint="eastAsia" w:cs="Times New Roman"/>
                      <w:b/>
                      <w:color w:val="auto"/>
                      <w:szCs w:val="21"/>
                      <w:highlight w:val="none"/>
                      <w:lang w:val="en-US" w:eastAsia="zh-CN"/>
                    </w:rPr>
                    <w:t xml:space="preserve">        </w:t>
                  </w:r>
                </w:p>
                <w:p w14:paraId="484D306D">
                  <w:pPr>
                    <w:snapToGrid w:val="0"/>
                    <w:spacing w:line="240" w:lineRule="auto"/>
                    <w:ind w:firstLine="422" w:firstLineChars="200"/>
                    <w:jc w:val="left"/>
                    <mc:AlternateContent>
                      <mc:Choice Requires="wpsCustomData">
                        <wpsCustomData:diagonalParaType/>
                      </mc:Choice>
                    </mc:AlternateConten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项目阶段</w:t>
                  </w:r>
                </w:p>
                <w:p w14:paraId="6F63C732">
                  <w:pPr>
                    <w:ind w:firstLine="1054" w:firstLineChars="500"/>
                    <w:jc w:val="left"/>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时段</w:t>
                  </w:r>
                </w:p>
              </w:tc>
              <w:tc>
                <w:tcPr>
                  <w:tcW w:w="2125" w:type="pct"/>
                  <w:tcBorders>
                    <w:tl2br w:val="nil"/>
                    <w:tr2bl w:val="nil"/>
                  </w:tcBorders>
                  <w:vAlign w:val="center"/>
                </w:tcPr>
                <w:p w14:paraId="37AC2A69">
                  <w:pPr>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rPr>
                    <w:t>昼间</w:t>
                  </w:r>
                </w:p>
              </w:tc>
            </w:tr>
            <w:tr w14:paraId="2CF2AD5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195" w:hRule="atLeast"/>
                <w:jc w:val="center"/>
              </w:trPr>
              <w:tc>
                <w:tcPr>
                  <w:tcW w:w="2874" w:type="pct"/>
                  <w:gridSpan w:val="2"/>
                  <w:tcBorders>
                    <w:tl2br w:val="nil"/>
                    <w:tr2bl w:val="nil"/>
                  </w:tcBorders>
                  <w:vAlign w:val="center"/>
                </w:tcPr>
                <w:p w14:paraId="7AF89663">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施工期</w:t>
                  </w:r>
                </w:p>
              </w:tc>
              <w:tc>
                <w:tcPr>
                  <w:tcW w:w="2125" w:type="pct"/>
                  <w:tcBorders>
                    <w:tl2br w:val="nil"/>
                    <w:tr2bl w:val="nil"/>
                  </w:tcBorders>
                  <w:vAlign w:val="center"/>
                </w:tcPr>
                <w:p w14:paraId="72B0203C">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70</w:t>
                  </w:r>
                </w:p>
              </w:tc>
            </w:tr>
            <w:tr w14:paraId="31C4C92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195" w:hRule="atLeast"/>
                <w:jc w:val="center"/>
              </w:trPr>
              <w:tc>
                <w:tcPr>
                  <w:tcW w:w="836" w:type="pct"/>
                  <w:tcBorders>
                    <w:tl2br w:val="nil"/>
                    <w:tr2bl w:val="nil"/>
                  </w:tcBorders>
                  <w:vAlign w:val="center"/>
                </w:tcPr>
                <w:p w14:paraId="46B404C0">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运行期</w:t>
                  </w:r>
                </w:p>
              </w:tc>
              <w:tc>
                <w:tcPr>
                  <w:tcW w:w="2038" w:type="pct"/>
                  <w:tcBorders>
                    <w:tl2br w:val="nil"/>
                    <w:tr2bl w:val="nil"/>
                  </w:tcBorders>
                  <w:vAlign w:val="center"/>
                </w:tcPr>
                <w:p w14:paraId="455CB604">
                  <w:pPr>
                    <w:ind w:firstLine="210" w:firstLineChars="100"/>
                    <w:jc w:val="both"/>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厂界东侧、南侧、西侧、北侧</w:t>
                  </w:r>
                </w:p>
              </w:tc>
              <w:tc>
                <w:tcPr>
                  <w:tcW w:w="2125" w:type="pct"/>
                  <w:tcBorders>
                    <w:tl2br w:val="nil"/>
                    <w:tr2bl w:val="nil"/>
                  </w:tcBorders>
                  <w:vAlign w:val="center"/>
                </w:tcPr>
                <w:p w14:paraId="5D069FF8">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65</w:t>
                  </w:r>
                </w:p>
              </w:tc>
            </w:tr>
            <w:tr w14:paraId="39E213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28" w:type="dxa"/>
                  <w:bottom w:w="0" w:type="dxa"/>
                  <w:right w:w="28" w:type="dxa"/>
                </w:tblCellMar>
              </w:tblPrEx>
              <w:trPr>
                <w:cantSplit/>
                <w:trHeight w:val="195" w:hRule="atLeast"/>
                <w:jc w:val="center"/>
              </w:trPr>
              <w:tc>
                <w:tcPr>
                  <w:tcW w:w="5000" w:type="pct"/>
                  <w:gridSpan w:val="3"/>
                  <w:tcBorders>
                    <w:tl2br w:val="nil"/>
                    <w:tr2bl w:val="nil"/>
                  </w:tcBorders>
                  <w:vAlign w:val="center"/>
                </w:tcPr>
                <w:p w14:paraId="4183993D">
                  <w:pPr>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注：本项目施工期夜间不施工；运行期</w:t>
                  </w:r>
                  <w:r>
                    <w:rPr>
                      <w:rFonts w:hint="default" w:ascii="Times New Roman" w:hAnsi="Times New Roman" w:eastAsia="宋体" w:cs="Times New Roman"/>
                      <w:color w:val="auto"/>
                      <w:highlight w:val="none"/>
                      <w:lang w:val="en-US" w:eastAsia="zh-CN"/>
                    </w:rPr>
                    <w:t>夜间不</w:t>
                  </w:r>
                  <w:r>
                    <w:rPr>
                      <w:rFonts w:hint="default" w:ascii="Times New Roman" w:hAnsi="Times New Roman" w:eastAsia="宋体" w:cs="Times New Roman"/>
                      <w:color w:val="auto"/>
                      <w:highlight w:val="none"/>
                    </w:rPr>
                    <w:t>运行。</w:t>
                  </w:r>
                </w:p>
              </w:tc>
            </w:tr>
          </w:tbl>
          <w:p w14:paraId="36B4B485">
            <w:pPr>
              <w:adjustRightInd w:val="0"/>
              <w:spacing w:before="120" w:beforeLines="50"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四、固体废物排放标准或规定</w:t>
            </w:r>
          </w:p>
          <w:p w14:paraId="4D7E26C3">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固体废物执行《中华人民共和国固体废物污染环境防治法》（2020 年 4 月 29 日修订）中有关规定。</w:t>
            </w:r>
          </w:p>
          <w:p w14:paraId="7BA1D583">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（1）生活垃圾</w:t>
            </w:r>
          </w:p>
          <w:p w14:paraId="0A88F828">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执行《中华人民共和国固体废物污染环境防治法》（2020年版）及《北京市生活垃圾管理条例》（2020年5月1日起施行，2020年9月25日第二次修正）中的有关规定。</w:t>
            </w:r>
          </w:p>
          <w:p w14:paraId="43A4C9DB">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（2）一般工业固体废物</w:t>
            </w:r>
          </w:p>
          <w:p w14:paraId="23E0C0A9">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一般工业固体废物处置执行《中华人民共和国固体废物污染环境防治法》（2020年9月1日起施行）、《一般工业固体废物贮存和填埋污染控制标准》（GB18599-2020）中的有关规定。</w:t>
            </w:r>
          </w:p>
          <w:p w14:paraId="004BCEAB">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（3）危险废物</w:t>
            </w:r>
          </w:p>
          <w:p w14:paraId="77441D3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rPr>
              <w:t>危险废物收集、储存、转运执行《北京市危险废物污染环境防治条例》、（2020年9月1日实施）、《危险废物收集贮存运输技术规范》（HJ2025-2012）、《危险废物贮存污染控制标准》（GB18597-2023）、《危险废物污染防治技术政策》（环发[2021]199号）</w:t>
            </w:r>
            <w:r>
              <w:rPr>
                <w:rFonts w:hint="eastAsia" w:cs="Times New Roman"/>
                <w:bCs/>
                <w:color w:val="auto"/>
                <w:sz w:val="24"/>
                <w:highlight w:val="none"/>
                <w:lang w:eastAsia="zh-CN"/>
              </w:rPr>
              <w:t>、</w:t>
            </w:r>
            <w:r>
              <w:rPr>
                <w:rFonts w:hint="default" w:ascii="Times New Roman" w:hAnsi="Times New Roman" w:eastAsia="宋体" w:cs="Times New Roman"/>
                <w:bCs/>
                <w:color w:val="auto"/>
                <w:sz w:val="24"/>
                <w:highlight w:val="none"/>
              </w:rPr>
              <w:t>《危险废物转移管理办法》（2022年1月1日起施行）、《实验室危险废物污染防治技术规范》（DB11 /T 1368—2016）中的有关规定。</w:t>
            </w:r>
          </w:p>
        </w:tc>
      </w:tr>
      <w:tr w14:paraId="02F92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800" w:type="dxa"/>
            <w:tcMar>
              <w:left w:w="28" w:type="dxa"/>
              <w:right w:w="28" w:type="dxa"/>
            </w:tcMar>
            <w:vAlign w:val="center"/>
          </w:tcPr>
          <w:p w14:paraId="1A677B0F">
            <w:pPr>
              <w:adjustRightInd w:val="0"/>
              <w:snapToGrid w:val="0"/>
              <w:jc w:val="center"/>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总量控制指标</w:t>
            </w:r>
          </w:p>
        </w:tc>
        <w:tc>
          <w:tcPr>
            <w:tcW w:w="8147" w:type="dxa"/>
            <w:vAlign w:val="center"/>
          </w:tcPr>
          <w:p w14:paraId="6FE04509">
            <w:pPr>
              <w:adjustRightIn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一、污染物排放总量控制原则</w:t>
            </w:r>
          </w:p>
          <w:p w14:paraId="66491CD1">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北京市环境保护局关于转发环境保护部《建设项目主要污染物排放总量指标审核及管理暂行办法》的通知（京环发〔2015〕19号）以及《北京市环境保护局关于建设项目主要污染物排放总量指标审核及管理的补充通知》（京环发〔2016〕24号），本市实施建设项目总量指标审核和管理的污染物范围包括：二氧化硫、氮氧化物、烟粉尘、挥发性有机物（工业及汽车维修行业）及化学需氧量、氨氮。</w:t>
            </w:r>
          </w:p>
          <w:p w14:paraId="6FF3A9E1">
            <w:pPr>
              <w:pStyle w:val="6"/>
              <w:adjustRightInd w:val="0"/>
              <w:snapToGrid w:val="0"/>
              <w:spacing w:line="360" w:lineRule="auto"/>
              <w:ind w:firstLine="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二、建设项目污染物排放总量核算</w:t>
            </w:r>
          </w:p>
          <w:p w14:paraId="0C699706">
            <w:pPr>
              <w:adjustRightInd w:val="0"/>
              <w:snapToGrid w:val="0"/>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sz w:val="24"/>
                <w:highlight w:val="none"/>
              </w:rPr>
              <w:t>本项目主要进行</w:t>
            </w:r>
            <w:r>
              <w:rPr>
                <w:rFonts w:hint="eastAsia" w:cs="Times New Roman"/>
                <w:color w:val="auto"/>
                <w:sz w:val="24"/>
                <w:highlight w:val="none"/>
                <w:lang w:val="en-US" w:eastAsia="zh-CN"/>
              </w:rPr>
              <w:t>实验检测</w:t>
            </w:r>
            <w:r>
              <w:rPr>
                <w:rFonts w:hint="default" w:ascii="Times New Roman" w:hAnsi="Times New Roman" w:eastAsia="宋体" w:cs="Times New Roman"/>
                <w:color w:val="auto"/>
                <w:sz w:val="24"/>
                <w:highlight w:val="none"/>
              </w:rPr>
              <w:t>，根</w:t>
            </w:r>
            <w:r>
              <w:rPr>
                <w:rFonts w:hint="default" w:ascii="Times New Roman" w:hAnsi="Times New Roman" w:eastAsia="宋体" w:cs="Times New Roman"/>
                <w:color w:val="auto"/>
                <w:kern w:val="0"/>
                <w:sz w:val="24"/>
                <w:highlight w:val="none"/>
              </w:rPr>
              <w:t>据项目特点，本项目需要申请总量控制指标的污染物为：挥发性有机物、</w:t>
            </w:r>
            <w:r>
              <w:rPr>
                <w:rFonts w:hint="eastAsia" w:cs="Times New Roman"/>
                <w:color w:val="auto"/>
                <w:kern w:val="0"/>
                <w:sz w:val="24"/>
                <w:highlight w:val="none"/>
                <w:lang w:val="en-US" w:eastAsia="zh-CN"/>
              </w:rPr>
              <w:t>氮氧化物</w:t>
            </w:r>
            <w:r>
              <w:rPr>
                <w:rFonts w:hint="default"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sz w:val="24"/>
                <w:highlight w:val="none"/>
              </w:rPr>
              <w:t>化学需氧量、氨氮。</w:t>
            </w:r>
            <w:r>
              <w:rPr>
                <w:rFonts w:hint="default" w:ascii="Times New Roman" w:hAnsi="Times New Roman" w:eastAsia="宋体" w:cs="Times New Roman"/>
                <w:color w:val="auto"/>
                <w:kern w:val="0"/>
                <w:sz w:val="24"/>
                <w:highlight w:val="none"/>
              </w:rPr>
              <w:t>根据《北京市环境保护局关于建设项目主要污染物排放总量指标审核及管理的补充通知》（京环发〔2016〕24号）附件1，</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为了使污染物源强的核算更接近实际的排放情况，在污染物源强的核算过程中优先使用实测法，类比分析法、物料衡算法及排放系数法次之。同时在核算过程中应选择不少于两种方法对污染物源强的产生进行核算，当核算的污染物排放总量差别较大时还应继续采用其他方法进行校验，以便得到更接近实际情况的排放量核算数据</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w:t>
            </w:r>
          </w:p>
          <w:p w14:paraId="6A082C4D">
            <w:pPr>
              <w:numPr>
                <w:ilvl w:val="0"/>
                <w:numId w:val="27"/>
              </w:numPr>
              <w:adjustRightInd w:val="0"/>
              <w:snapToGrid w:val="0"/>
              <w:spacing w:line="360" w:lineRule="auto"/>
              <w:ind w:left="0"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大气污染物</w:t>
            </w:r>
          </w:p>
          <w:p w14:paraId="4069C44C">
            <w:pPr>
              <w:numPr>
                <w:ilvl w:val="0"/>
                <w:numId w:val="0"/>
              </w:numPr>
              <w:adjustRightInd w:val="0"/>
              <w:snapToGrid w:val="0"/>
              <w:spacing w:line="360" w:lineRule="auto"/>
              <w:ind w:firstLine="480" w:firstLineChars="200"/>
              <w:jc w:val="left"/>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挥发性有机物</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以非甲烷总烃计</w:t>
            </w:r>
            <w:r>
              <w:rPr>
                <w:rFonts w:hint="default" w:ascii="Times New Roman" w:hAnsi="Times New Roman" w:eastAsia="宋体" w:cs="Times New Roman"/>
                <w:b w:val="0"/>
                <w:bCs w:val="0"/>
                <w:color w:val="auto"/>
                <w:sz w:val="24"/>
                <w:highlight w:val="none"/>
                <w:lang w:eastAsia="zh-CN"/>
              </w:rPr>
              <w:t>）</w:t>
            </w:r>
          </w:p>
          <w:p w14:paraId="3FD9346B">
            <w:pPr>
              <w:numPr>
                <w:ilvl w:val="0"/>
                <w:numId w:val="0"/>
              </w:numPr>
              <w:adjustRightInd w:val="0"/>
              <w:snapToGrid w:val="0"/>
              <w:spacing w:line="360" w:lineRule="auto"/>
              <w:ind w:leftChars="200"/>
              <w:jc w:val="left"/>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rPr>
              <w:t>排污系数法</w:t>
            </w:r>
          </w:p>
          <w:p w14:paraId="00B89924">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根据</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四、主要环境影响和环保措施</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章节中废气排放量核算结果，本项目挥发性有机物（以非甲烷总烃计）的排放量为</w:t>
            </w:r>
            <w:r>
              <w:rPr>
                <w:rFonts w:hint="eastAsia" w:ascii="Times New Roman" w:hAnsi="Times New Roman" w:eastAsia="宋体" w:cs="Times New Roman"/>
                <w:color w:val="auto"/>
                <w:sz w:val="24"/>
                <w:highlight w:val="none"/>
                <w:lang w:val="en-US" w:eastAsia="zh-CN"/>
              </w:rPr>
              <w:t>0.0043</w:t>
            </w:r>
            <w:r>
              <w:rPr>
                <w:rFonts w:hint="default" w:ascii="Times New Roman" w:hAnsi="Times New Roman" w:eastAsia="宋体" w:cs="Times New Roman"/>
                <w:color w:val="auto"/>
                <w:sz w:val="24"/>
                <w:highlight w:val="none"/>
                <w:lang w:val="en-US" w:eastAsia="zh-CN"/>
              </w:rPr>
              <w:t>t/a。</w:t>
            </w:r>
          </w:p>
          <w:p w14:paraId="101025A2">
            <w:pPr>
              <w:numPr>
                <w:ilvl w:val="0"/>
                <w:numId w:val="0"/>
              </w:numPr>
              <w:adjustRightInd w:val="0"/>
              <w:snapToGrid w:val="0"/>
              <w:spacing w:line="360" w:lineRule="auto"/>
              <w:ind w:leftChars="200"/>
              <w:jc w:val="left"/>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类比分析法</w:t>
            </w:r>
          </w:p>
          <w:p w14:paraId="6BAC9640">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本项目废气类比《安华科创（北京）检测技术有限公司检测实验室项目竣工环境保护验收监测报告》中相关数据，该项目于2024年5月完成自主验收。本项目与类比项目</w:t>
            </w:r>
            <w:r>
              <w:rPr>
                <w:rFonts w:hint="eastAsia" w:cs="Times New Roman"/>
                <w:color w:val="auto"/>
                <w:sz w:val="24"/>
                <w:highlight w:val="none"/>
                <w:lang w:val="en-US" w:eastAsia="zh-CN"/>
              </w:rPr>
              <w:t>项目性质、原辅料使用、</w:t>
            </w:r>
            <w:r>
              <w:rPr>
                <w:rFonts w:hint="default" w:ascii="Times New Roman" w:hAnsi="Times New Roman" w:eastAsia="宋体" w:cs="Times New Roman"/>
                <w:color w:val="auto"/>
                <w:sz w:val="24"/>
                <w:highlight w:val="none"/>
                <w:lang w:val="en-US" w:eastAsia="zh-CN"/>
              </w:rPr>
              <w:t>污染物产生节点和特征类似，故本项目与类比对象具有可类比性</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对比</w:t>
            </w:r>
            <w:r>
              <w:rPr>
                <w:rFonts w:hint="eastAsia" w:cs="Times New Roman"/>
                <w:color w:val="auto"/>
                <w:sz w:val="24"/>
                <w:highlight w:val="none"/>
                <w:lang w:val="en-US" w:eastAsia="zh-CN"/>
              </w:rPr>
              <w:t>情况</w:t>
            </w:r>
            <w:r>
              <w:rPr>
                <w:rFonts w:hint="default" w:ascii="Times New Roman" w:hAnsi="Times New Roman" w:eastAsia="宋体" w:cs="Times New Roman"/>
                <w:color w:val="auto"/>
                <w:sz w:val="24"/>
                <w:highlight w:val="none"/>
                <w:lang w:val="en-US" w:eastAsia="zh-CN"/>
              </w:rPr>
              <w:t>见下表。</w:t>
            </w:r>
          </w:p>
          <w:p w14:paraId="3E0DF195">
            <w:pPr>
              <w:numPr>
                <w:ilvl w:val="0"/>
                <w:numId w:val="24"/>
              </w:numPr>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项目挥发性有机物排放情况类比性一览表</w:t>
            </w:r>
          </w:p>
          <w:tbl>
            <w:tblPr>
              <w:tblStyle w:val="23"/>
              <w:tblW w:w="785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2543"/>
              <w:gridCol w:w="2799"/>
              <w:gridCol w:w="870"/>
            </w:tblGrid>
            <w:tr w14:paraId="57BAB6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45" w:type="dxa"/>
                  <w:noWrap w:val="0"/>
                  <w:vAlign w:val="center"/>
                </w:tcPr>
                <w:p w14:paraId="525A7998">
                  <w:pPr>
                    <w:pStyle w:val="48"/>
                    <w:spacing w:before="0"/>
                    <w:jc w:val="center"/>
                    <w:rPr>
                      <w:rFonts w:hint="eastAsia"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lang w:val="en-US"/>
                    </w:rPr>
                    <w:t>工程特征及污染物排放特征</w:t>
                  </w:r>
                </w:p>
              </w:tc>
              <w:tc>
                <w:tcPr>
                  <w:tcW w:w="2543" w:type="dxa"/>
                  <w:noWrap w:val="0"/>
                  <w:vAlign w:val="center"/>
                </w:tcPr>
                <w:p w14:paraId="34AD7875">
                  <w:pPr>
                    <w:pStyle w:val="48"/>
                    <w:spacing w:before="0"/>
                    <w:jc w:val="center"/>
                    <w:rPr>
                      <w:rFonts w:hint="eastAsia"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lang w:val="en-US"/>
                    </w:rPr>
                    <w:t>本项目</w:t>
                  </w:r>
                </w:p>
              </w:tc>
              <w:tc>
                <w:tcPr>
                  <w:tcW w:w="2799" w:type="dxa"/>
                  <w:noWrap w:val="0"/>
                  <w:vAlign w:val="center"/>
                </w:tcPr>
                <w:p w14:paraId="0A3F7BCA">
                  <w:pPr>
                    <w:pStyle w:val="48"/>
                    <w:spacing w:before="0"/>
                    <w:jc w:val="center"/>
                    <w:rPr>
                      <w:rFonts w:hint="eastAsia"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lang w:val="en-US"/>
                    </w:rPr>
                    <w:t>类比项目</w:t>
                  </w:r>
                </w:p>
              </w:tc>
              <w:tc>
                <w:tcPr>
                  <w:tcW w:w="870" w:type="dxa"/>
                  <w:shd w:val="clear" w:color="auto" w:fill="auto"/>
                  <w:noWrap w:val="0"/>
                  <w:vAlign w:val="center"/>
                </w:tcPr>
                <w:p w14:paraId="683815BF">
                  <w:pPr>
                    <w:pStyle w:val="58"/>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可类</w:t>
                  </w:r>
                </w:p>
                <w:p w14:paraId="11A6A844">
                  <w:pPr>
                    <w:pStyle w:val="58"/>
                    <w:ind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比性</w:t>
                  </w:r>
                </w:p>
              </w:tc>
            </w:tr>
            <w:tr w14:paraId="05DDE5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645" w:type="dxa"/>
                  <w:noWrap w:val="0"/>
                  <w:vAlign w:val="center"/>
                </w:tcPr>
                <w:p w14:paraId="7483C27B">
                  <w:pPr>
                    <w:adjustRightInd w:val="0"/>
                    <w:snapToGrid w:val="0"/>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建设内容</w:t>
                  </w:r>
                </w:p>
              </w:tc>
              <w:tc>
                <w:tcPr>
                  <w:tcW w:w="2543" w:type="dxa"/>
                  <w:noWrap w:val="0"/>
                  <w:vAlign w:val="center"/>
                </w:tcPr>
                <w:p w14:paraId="59117CA5">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检测实验室</w:t>
                  </w:r>
                </w:p>
              </w:tc>
              <w:tc>
                <w:tcPr>
                  <w:tcW w:w="2799" w:type="dxa"/>
                  <w:noWrap w:val="0"/>
                  <w:vAlign w:val="center"/>
                </w:tcPr>
                <w:p w14:paraId="0B78389A">
                  <w:pPr>
                    <w:pStyle w:val="48"/>
                    <w:spacing w:before="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检测实验室</w:t>
                  </w:r>
                </w:p>
              </w:tc>
              <w:tc>
                <w:tcPr>
                  <w:tcW w:w="870" w:type="dxa"/>
                  <w:shd w:val="clear" w:color="auto" w:fill="auto"/>
                  <w:noWrap w:val="0"/>
                  <w:vAlign w:val="center"/>
                </w:tcPr>
                <w:p w14:paraId="5F17B7E8">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2890D0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645" w:type="dxa"/>
                  <w:noWrap w:val="0"/>
                  <w:vAlign w:val="center"/>
                </w:tcPr>
                <w:p w14:paraId="0F231596">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原辅料使用</w:t>
                  </w:r>
                </w:p>
                <w:p w14:paraId="1814C062">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情况</w:t>
                  </w:r>
                </w:p>
              </w:tc>
              <w:tc>
                <w:tcPr>
                  <w:tcW w:w="2543" w:type="dxa"/>
                  <w:noWrap w:val="0"/>
                  <w:vAlign w:val="center"/>
                </w:tcPr>
                <w:p w14:paraId="5D6A6182">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甲醇、乙醇、乙酸乙酯、乙醚、正己烷、丙酮、乙酸、氨、氯化氢、硫酸雾、硝酸</w:t>
                  </w:r>
                </w:p>
              </w:tc>
              <w:tc>
                <w:tcPr>
                  <w:tcW w:w="2799" w:type="dxa"/>
                  <w:noWrap w:val="0"/>
                  <w:vAlign w:val="center"/>
                </w:tcPr>
                <w:p w14:paraId="3715C815">
                  <w:pPr>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甲醇、乙醇、乙酸乙酯、乙醚、正己烷、丙酮、乙酸、氨、氯化氢、硫酸雾、硝酸</w:t>
                  </w:r>
                  <w:r>
                    <w:rPr>
                      <w:rFonts w:hint="eastAsia" w:cs="Times New Roman"/>
                      <w:color w:val="auto"/>
                      <w:kern w:val="0"/>
                      <w:sz w:val="21"/>
                      <w:szCs w:val="21"/>
                      <w:highlight w:val="none"/>
                      <w:lang w:val="en-US" w:eastAsia="zh-CN"/>
                    </w:rPr>
                    <w:t>、</w:t>
                  </w:r>
                </w:p>
                <w:p w14:paraId="307CEDD0">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异丙醇</w:t>
                  </w:r>
                </w:p>
              </w:tc>
              <w:tc>
                <w:tcPr>
                  <w:tcW w:w="870" w:type="dxa"/>
                  <w:shd w:val="clear" w:color="auto" w:fill="auto"/>
                  <w:noWrap w:val="0"/>
                  <w:vAlign w:val="center"/>
                </w:tcPr>
                <w:p w14:paraId="0E7E2079">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26229B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45" w:type="dxa"/>
                  <w:vAlign w:val="center"/>
                </w:tcPr>
                <w:p w14:paraId="1C5CB5B6">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废气排放类型</w:t>
                  </w:r>
                </w:p>
              </w:tc>
              <w:tc>
                <w:tcPr>
                  <w:tcW w:w="2543" w:type="dxa"/>
                  <w:vAlign w:val="center"/>
                </w:tcPr>
                <w:p w14:paraId="60AB7307">
                  <w:pPr>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有组织排放</w:t>
                  </w:r>
                </w:p>
              </w:tc>
              <w:tc>
                <w:tcPr>
                  <w:tcW w:w="2799" w:type="dxa"/>
                  <w:vAlign w:val="center"/>
                </w:tcPr>
                <w:p w14:paraId="36264A9F">
                  <w:pPr>
                    <w:adjustRightInd w:val="0"/>
                    <w:snapToGrid w:val="0"/>
                    <w:jc w:val="center"/>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有组织排放</w:t>
                  </w:r>
                </w:p>
              </w:tc>
              <w:tc>
                <w:tcPr>
                  <w:tcW w:w="870" w:type="dxa"/>
                  <w:shd w:val="clear" w:color="auto" w:fill="auto"/>
                  <w:vAlign w:val="center"/>
                </w:tcPr>
                <w:p w14:paraId="2B4EA9CE">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620F27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645" w:type="dxa"/>
                  <w:vAlign w:val="center"/>
                </w:tcPr>
                <w:p w14:paraId="1435E639">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环保措施、排放方式及去向</w:t>
                  </w:r>
                </w:p>
              </w:tc>
              <w:tc>
                <w:tcPr>
                  <w:tcW w:w="2543" w:type="dxa"/>
                  <w:vAlign w:val="center"/>
                </w:tcPr>
                <w:p w14:paraId="296C15AE">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经通风橱和万向罩收集后进干式过滤器处理后经</w:t>
                  </w:r>
                  <w:r>
                    <w:rPr>
                      <w:rFonts w:hint="eastAsia" w:cs="Times New Roman"/>
                      <w:color w:val="auto"/>
                      <w:kern w:val="0"/>
                      <w:sz w:val="21"/>
                      <w:szCs w:val="21"/>
                      <w:highlight w:val="none"/>
                      <w:lang w:val="en-US" w:eastAsia="zh-CN"/>
                    </w:rPr>
                    <w:t>28m</w:t>
                  </w:r>
                  <w:r>
                    <w:rPr>
                      <w:rFonts w:hint="eastAsia" w:ascii="Times New Roman" w:hAnsi="Times New Roman" w:eastAsia="宋体" w:cs="Times New Roman"/>
                      <w:color w:val="auto"/>
                      <w:kern w:val="0"/>
                      <w:sz w:val="21"/>
                      <w:szCs w:val="21"/>
                      <w:highlight w:val="none"/>
                      <w:lang w:val="en-US" w:eastAsia="zh-CN"/>
                    </w:rPr>
                    <w:t>排气筒排放</w:t>
                  </w:r>
                </w:p>
              </w:tc>
              <w:tc>
                <w:tcPr>
                  <w:tcW w:w="2799" w:type="dxa"/>
                  <w:vAlign w:val="center"/>
                </w:tcPr>
                <w:p w14:paraId="375420F4">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经通风橱及集气罩收集后引至项目所在建筑屋顶的一套活性炭吸附装置处理后，由1根15m高的排气筒（DA001）有组织排放</w:t>
                  </w:r>
                </w:p>
              </w:tc>
              <w:tc>
                <w:tcPr>
                  <w:tcW w:w="870" w:type="dxa"/>
                  <w:shd w:val="clear" w:color="auto" w:fill="auto"/>
                  <w:vAlign w:val="center"/>
                </w:tcPr>
                <w:p w14:paraId="2835DF42">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bl>
          <w:p w14:paraId="5D9B972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类比项目每年使用有机试剂时间为60d，每天10min，于2024年3月14日~3月15日对检测实验室项目废气排气筒进行了检测，非甲烷总烃排放速率最大为0.0039kg/h，则非甲烷总烃有组织排放量为0.000039t/a，类比项目集气管道与设备直接相连接，产生的有机废气经一套活性炭净化器处理后通过15m高排气筒排放，收集效率为90%、去除效率为80%，则非甲烷总烃产生量为0.00022t/a，该项目挥发性有机试剂使用量约0.0035986t，故非甲烷总烃产生系数为6.1%。</w:t>
            </w:r>
          </w:p>
          <w:p w14:paraId="53400F6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本项目挥发性有机试剂年用量为0.</w:t>
            </w:r>
            <w:r>
              <w:rPr>
                <w:rFonts w:hint="eastAsia" w:cs="Times New Roman"/>
                <w:color w:val="auto"/>
                <w:sz w:val="24"/>
                <w:highlight w:val="none"/>
                <w:lang w:val="en-US" w:eastAsia="zh-CN"/>
              </w:rPr>
              <w:t>12768</w:t>
            </w:r>
            <w:r>
              <w:rPr>
                <w:rFonts w:hint="eastAsia" w:ascii="Times New Roman" w:hAnsi="Times New Roman" w:eastAsia="宋体" w:cs="Times New Roman"/>
                <w:color w:val="auto"/>
                <w:sz w:val="24"/>
                <w:highlight w:val="none"/>
                <w:lang w:val="en-US" w:eastAsia="zh-CN"/>
              </w:rPr>
              <w:t>t，则挥发性有机废气产生量为0.00</w:t>
            </w:r>
            <w:r>
              <w:rPr>
                <w:rFonts w:hint="eastAsia" w:cs="Times New Roman"/>
                <w:color w:val="auto"/>
                <w:sz w:val="24"/>
                <w:highlight w:val="none"/>
                <w:lang w:val="en-US" w:eastAsia="zh-CN"/>
              </w:rPr>
              <w:t>78</w:t>
            </w:r>
            <w:r>
              <w:rPr>
                <w:rFonts w:hint="eastAsia" w:ascii="Times New Roman" w:hAnsi="Times New Roman" w:eastAsia="宋体" w:cs="Times New Roman"/>
                <w:color w:val="auto"/>
                <w:sz w:val="24"/>
                <w:highlight w:val="none"/>
                <w:lang w:val="en-US" w:eastAsia="zh-CN"/>
              </w:rPr>
              <w:t>t/a，收集效率100%、去除效率</w:t>
            </w:r>
            <w:r>
              <w:rPr>
                <w:rFonts w:hint="eastAsia" w:cs="Times New Roman"/>
                <w:color w:val="auto"/>
                <w:sz w:val="24"/>
                <w:highlight w:val="none"/>
                <w:lang w:val="en-US" w:eastAsia="zh-CN"/>
              </w:rPr>
              <w:t>15</w:t>
            </w:r>
            <w:r>
              <w:rPr>
                <w:rFonts w:hint="eastAsia" w:ascii="Times New Roman" w:hAnsi="Times New Roman" w:eastAsia="宋体" w:cs="Times New Roman"/>
                <w:color w:val="auto"/>
                <w:sz w:val="24"/>
                <w:highlight w:val="none"/>
                <w:lang w:val="en-US" w:eastAsia="zh-CN"/>
              </w:rPr>
              <w:t>%计，挥发性有机废气有组织排放量为0.00</w:t>
            </w:r>
            <w:r>
              <w:rPr>
                <w:rFonts w:hint="eastAsia" w:cs="Times New Roman"/>
                <w:color w:val="auto"/>
                <w:sz w:val="24"/>
                <w:highlight w:val="none"/>
                <w:lang w:val="en-US" w:eastAsia="zh-CN"/>
              </w:rPr>
              <w:t>66</w:t>
            </w:r>
            <w:r>
              <w:rPr>
                <w:rFonts w:hint="eastAsia" w:ascii="Times New Roman" w:hAnsi="Times New Roman" w:eastAsia="宋体" w:cs="Times New Roman"/>
                <w:color w:val="auto"/>
                <w:sz w:val="24"/>
                <w:highlight w:val="none"/>
                <w:lang w:val="en-US" w:eastAsia="zh-CN"/>
              </w:rPr>
              <w:t>t/a。</w:t>
            </w:r>
          </w:p>
          <w:p w14:paraId="5A1F1D36">
            <w:pPr>
              <w:adjustRightInd w:val="0"/>
              <w:snapToGrid w:val="0"/>
              <w:spacing w:line="360" w:lineRule="auto"/>
              <w:ind w:firstLine="42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综上，本项目采用排污系数法及类比分析法进行挥发性有机物排放量核算，经比较结果相近。考虑到不</w:t>
            </w:r>
            <w:r>
              <w:rPr>
                <w:rFonts w:hint="eastAsia" w:ascii="Times New Roman" w:hAnsi="Times New Roman" w:eastAsia="宋体" w:cs="Times New Roman"/>
                <w:color w:val="auto"/>
                <w:sz w:val="24"/>
                <w:highlight w:val="none"/>
                <w:lang w:val="en-US" w:eastAsia="zh-CN"/>
              </w:rPr>
              <w:t>情况下</w:t>
            </w:r>
            <w:r>
              <w:rPr>
                <w:rFonts w:hint="default" w:ascii="Times New Roman" w:hAnsi="Times New Roman" w:eastAsia="宋体" w:cs="Times New Roman"/>
                <w:color w:val="auto"/>
                <w:sz w:val="24"/>
                <w:highlight w:val="none"/>
                <w:lang w:val="en-US" w:eastAsia="zh-CN"/>
              </w:rPr>
              <w:t>实际运行过程中存在差异，类比数据存在一定的误差，本次环评采用排污系数法的核算结果作为申请排污总量的依据。因此，本项目挥发性有机物排放量为：0.00</w:t>
            </w:r>
            <w:r>
              <w:rPr>
                <w:rFonts w:hint="eastAsia" w:cs="Times New Roman"/>
                <w:color w:val="auto"/>
                <w:sz w:val="24"/>
                <w:highlight w:val="none"/>
                <w:lang w:val="en-US" w:eastAsia="zh-CN"/>
              </w:rPr>
              <w:t>43</w:t>
            </w:r>
            <w:r>
              <w:rPr>
                <w:rFonts w:hint="default" w:ascii="Times New Roman" w:hAnsi="Times New Roman" w:eastAsia="宋体" w:cs="Times New Roman"/>
                <w:color w:val="auto"/>
                <w:sz w:val="24"/>
                <w:highlight w:val="none"/>
                <w:lang w:val="en-US" w:eastAsia="zh-CN"/>
              </w:rPr>
              <w:t>t/a。</w:t>
            </w:r>
          </w:p>
          <w:p w14:paraId="237D5E77">
            <w:pPr>
              <w:numPr>
                <w:ilvl w:val="0"/>
                <w:numId w:val="0"/>
              </w:numPr>
              <w:adjustRightInd w:val="0"/>
              <w:snapToGrid w:val="0"/>
              <w:spacing w:line="360" w:lineRule="auto"/>
              <w:ind w:leftChars="200"/>
              <w:jc w:val="left"/>
              <w:rPr>
                <w:rFonts w:hint="eastAsia" w:cs="Times New Roman"/>
                <w:bCs/>
                <w:color w:val="auto"/>
                <w:sz w:val="24"/>
                <w:highlight w:val="none"/>
                <w:lang w:val="en-US" w:eastAsia="zh-CN"/>
              </w:rPr>
            </w:pP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lang w:eastAsia="zh-CN"/>
              </w:rPr>
              <w:t>）</w:t>
            </w:r>
            <w:r>
              <w:rPr>
                <w:rFonts w:hint="eastAsia" w:cs="Times New Roman"/>
                <w:bCs/>
                <w:color w:val="auto"/>
                <w:sz w:val="24"/>
                <w:highlight w:val="none"/>
                <w:lang w:val="en-US" w:eastAsia="zh-CN"/>
              </w:rPr>
              <w:t>氮氧化物</w:t>
            </w:r>
          </w:p>
          <w:p w14:paraId="25AF38CA">
            <w:pPr>
              <w:numPr>
                <w:ilvl w:val="0"/>
                <w:numId w:val="0"/>
              </w:numPr>
              <w:adjustRightInd w:val="0"/>
              <w:snapToGrid w:val="0"/>
              <w:spacing w:line="360" w:lineRule="auto"/>
              <w:ind w:leftChars="200"/>
              <w:jc w:val="left"/>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rPr>
              <w:t>排污系数法</w:t>
            </w:r>
          </w:p>
          <w:p w14:paraId="41BFD1EF">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四、主要环境影响和环保措施</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章节中废气排放量核算结果，本项目</w:t>
            </w:r>
            <w:r>
              <w:rPr>
                <w:rFonts w:hint="eastAsia" w:cs="Times New Roman"/>
                <w:color w:val="auto"/>
                <w:sz w:val="24"/>
                <w:highlight w:val="none"/>
                <w:lang w:val="en-US" w:eastAsia="zh-CN"/>
              </w:rPr>
              <w:t>氮氧化物</w:t>
            </w:r>
            <w:r>
              <w:rPr>
                <w:rFonts w:hint="default" w:ascii="Times New Roman" w:hAnsi="Times New Roman" w:eastAsia="宋体" w:cs="Times New Roman"/>
                <w:color w:val="auto"/>
                <w:sz w:val="24"/>
                <w:highlight w:val="none"/>
                <w:lang w:val="en-US" w:eastAsia="zh-CN"/>
              </w:rPr>
              <w:t>排放量为0.</w:t>
            </w:r>
            <w:r>
              <w:rPr>
                <w:rFonts w:hint="eastAsia" w:cs="Times New Roman"/>
                <w:color w:val="auto"/>
                <w:sz w:val="24"/>
                <w:highlight w:val="none"/>
                <w:lang w:val="en-US" w:eastAsia="zh-CN"/>
              </w:rPr>
              <w:t>00025t</w:t>
            </w:r>
            <w:r>
              <w:rPr>
                <w:rFonts w:hint="default" w:ascii="Times New Roman" w:hAnsi="Times New Roman" w:eastAsia="宋体" w:cs="Times New Roman"/>
                <w:color w:val="auto"/>
                <w:sz w:val="24"/>
                <w:highlight w:val="none"/>
                <w:lang w:val="en-US" w:eastAsia="zh-CN"/>
              </w:rPr>
              <w:t>/a。</w:t>
            </w:r>
          </w:p>
          <w:p w14:paraId="5BCD3D1F">
            <w:pPr>
              <w:numPr>
                <w:ilvl w:val="0"/>
                <w:numId w:val="0"/>
              </w:numPr>
              <w:adjustRightInd w:val="0"/>
              <w:snapToGrid w:val="0"/>
              <w:spacing w:line="360" w:lineRule="auto"/>
              <w:ind w:leftChars="200"/>
              <w:jc w:val="left"/>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类比分析法</w:t>
            </w:r>
          </w:p>
          <w:p w14:paraId="76001185">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cs="Times New Roman"/>
                <w:bCs/>
                <w:color w:val="auto"/>
                <w:sz w:val="24"/>
                <w:highlight w:val="none"/>
                <w:lang w:val="en-US" w:eastAsia="zh-CN"/>
              </w:rPr>
              <w:t>氮氧化物</w:t>
            </w:r>
            <w:r>
              <w:rPr>
                <w:rFonts w:hint="default" w:ascii="Times New Roman" w:hAnsi="Times New Roman" w:eastAsia="宋体" w:cs="Times New Roman"/>
                <w:color w:val="auto"/>
                <w:sz w:val="24"/>
                <w:highlight w:val="none"/>
                <w:lang w:val="en-US" w:eastAsia="zh-CN"/>
              </w:rPr>
              <w:t>排放类比《</w:t>
            </w:r>
            <w:r>
              <w:rPr>
                <w:rFonts w:hint="eastAsia" w:ascii="Times New Roman" w:hAnsi="Times New Roman" w:eastAsia="宋体" w:cs="Times New Roman"/>
                <w:color w:val="auto"/>
                <w:sz w:val="24"/>
                <w:highlight w:val="none"/>
                <w:lang w:val="en-US" w:eastAsia="zh-CN"/>
              </w:rPr>
              <w:t>壹检（北京）生物科技有限公司壹检生物实验室项目竣工环境保护验收监测报告</w:t>
            </w:r>
            <w:r>
              <w:rPr>
                <w:rFonts w:hint="default" w:ascii="Times New Roman" w:hAnsi="Times New Roman" w:eastAsia="宋体" w:cs="Times New Roman"/>
                <w:color w:val="auto"/>
                <w:sz w:val="24"/>
                <w:highlight w:val="none"/>
                <w:lang w:val="en-US" w:eastAsia="zh-CN"/>
              </w:rPr>
              <w:t>》，类比对象与本项目的情况对比见下表。</w:t>
            </w:r>
          </w:p>
          <w:p w14:paraId="3261733F">
            <w:pPr>
              <w:numPr>
                <w:ilvl w:val="0"/>
                <w:numId w:val="24"/>
              </w:numPr>
              <w:spacing w:line="360" w:lineRule="auto"/>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w:t>
            </w:r>
            <w:r>
              <w:rPr>
                <w:rFonts w:hint="eastAsia" w:ascii="Times New Roman" w:hAnsi="Times New Roman" w:eastAsia="宋体" w:cs="Times New Roman"/>
                <w:b/>
                <w:bCs/>
                <w:color w:val="auto"/>
                <w:sz w:val="24"/>
                <w:highlight w:val="none"/>
                <w:lang w:val="en-US" w:eastAsia="zh-CN"/>
              </w:rPr>
              <w:t>氮氧化物</w:t>
            </w:r>
            <w:r>
              <w:rPr>
                <w:rFonts w:hint="default" w:ascii="Times New Roman" w:hAnsi="Times New Roman" w:eastAsia="宋体" w:cs="Times New Roman"/>
                <w:b/>
                <w:bCs/>
                <w:color w:val="auto"/>
                <w:sz w:val="24"/>
                <w:highlight w:val="none"/>
              </w:rPr>
              <w:t>排放情况类比性一览表</w:t>
            </w:r>
          </w:p>
          <w:tbl>
            <w:tblPr>
              <w:tblStyle w:val="23"/>
              <w:tblW w:w="785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2798"/>
              <w:gridCol w:w="2799"/>
              <w:gridCol w:w="870"/>
            </w:tblGrid>
            <w:tr w14:paraId="4412F3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390" w:type="dxa"/>
                  <w:noWrap w:val="0"/>
                  <w:vAlign w:val="center"/>
                </w:tcPr>
                <w:p w14:paraId="2AF50328">
                  <w:pPr>
                    <w:pStyle w:val="48"/>
                    <w:spacing w:before="0"/>
                    <w:jc w:val="center"/>
                    <w:rPr>
                      <w:rFonts w:hint="eastAsia"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lang w:val="en-US"/>
                    </w:rPr>
                    <w:t>工程特征及污染物排放特征</w:t>
                  </w:r>
                </w:p>
              </w:tc>
              <w:tc>
                <w:tcPr>
                  <w:tcW w:w="2798" w:type="dxa"/>
                  <w:noWrap w:val="0"/>
                  <w:vAlign w:val="center"/>
                </w:tcPr>
                <w:p w14:paraId="7C8041B4">
                  <w:pPr>
                    <w:pStyle w:val="48"/>
                    <w:spacing w:before="0"/>
                    <w:jc w:val="center"/>
                    <w:rPr>
                      <w:rFonts w:hint="eastAsia"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lang w:val="en-US"/>
                    </w:rPr>
                    <w:t>本项目</w:t>
                  </w:r>
                </w:p>
              </w:tc>
              <w:tc>
                <w:tcPr>
                  <w:tcW w:w="2799" w:type="dxa"/>
                  <w:noWrap w:val="0"/>
                  <w:vAlign w:val="center"/>
                </w:tcPr>
                <w:p w14:paraId="2DC61BFB">
                  <w:pPr>
                    <w:pStyle w:val="48"/>
                    <w:spacing w:before="0"/>
                    <w:jc w:val="center"/>
                    <w:rPr>
                      <w:rFonts w:hint="eastAsia" w:ascii="Times New Roman" w:hAnsi="Times New Roman" w:cs="Times New Roman"/>
                      <w:b/>
                      <w:bCs/>
                      <w:color w:val="auto"/>
                      <w:sz w:val="21"/>
                      <w:szCs w:val="21"/>
                      <w:highlight w:val="none"/>
                      <w:lang w:val="en-US"/>
                    </w:rPr>
                  </w:pPr>
                  <w:r>
                    <w:rPr>
                      <w:rFonts w:hint="eastAsia" w:ascii="Times New Roman" w:hAnsi="Times New Roman" w:cs="Times New Roman"/>
                      <w:b/>
                      <w:bCs/>
                      <w:color w:val="auto"/>
                      <w:sz w:val="21"/>
                      <w:szCs w:val="21"/>
                      <w:highlight w:val="none"/>
                      <w:lang w:val="en-US"/>
                    </w:rPr>
                    <w:t>类比项目</w:t>
                  </w:r>
                </w:p>
              </w:tc>
              <w:tc>
                <w:tcPr>
                  <w:tcW w:w="870" w:type="dxa"/>
                  <w:shd w:val="clear" w:color="auto" w:fill="auto"/>
                  <w:noWrap w:val="0"/>
                  <w:vAlign w:val="center"/>
                </w:tcPr>
                <w:p w14:paraId="4B4BA6F1">
                  <w:pPr>
                    <w:pStyle w:val="58"/>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可类</w:t>
                  </w:r>
                </w:p>
                <w:p w14:paraId="505D2BC7">
                  <w:pPr>
                    <w:pStyle w:val="58"/>
                    <w:ind w:firstLine="0" w:firstLineChars="0"/>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比性</w:t>
                  </w:r>
                </w:p>
              </w:tc>
            </w:tr>
            <w:tr w14:paraId="37C522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390" w:type="dxa"/>
                  <w:noWrap w:val="0"/>
                  <w:vAlign w:val="center"/>
                </w:tcPr>
                <w:p w14:paraId="0DDFEE93">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项目性质</w:t>
                  </w:r>
                </w:p>
              </w:tc>
              <w:tc>
                <w:tcPr>
                  <w:tcW w:w="2798" w:type="dxa"/>
                  <w:noWrap w:val="0"/>
                  <w:vAlign w:val="center"/>
                </w:tcPr>
                <w:p w14:paraId="16DB1D42">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新</w:t>
                  </w:r>
                  <w:r>
                    <w:rPr>
                      <w:rFonts w:hint="default" w:ascii="Times New Roman" w:hAnsi="Times New Roman" w:eastAsia="宋体" w:cs="Times New Roman"/>
                      <w:color w:val="auto"/>
                      <w:kern w:val="0"/>
                      <w:sz w:val="21"/>
                      <w:szCs w:val="21"/>
                      <w:highlight w:val="none"/>
                      <w:lang w:val="en-US" w:eastAsia="zh-CN"/>
                    </w:rPr>
                    <w:t>建</w:t>
                  </w:r>
                </w:p>
              </w:tc>
              <w:tc>
                <w:tcPr>
                  <w:tcW w:w="2799" w:type="dxa"/>
                  <w:noWrap w:val="0"/>
                  <w:vAlign w:val="center"/>
                </w:tcPr>
                <w:p w14:paraId="2BBFC51F">
                  <w:pPr>
                    <w:pStyle w:val="48"/>
                    <w:spacing w:before="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新建</w:t>
                  </w:r>
                </w:p>
              </w:tc>
              <w:tc>
                <w:tcPr>
                  <w:tcW w:w="870" w:type="dxa"/>
                  <w:shd w:val="clear" w:color="auto" w:fill="auto"/>
                  <w:noWrap w:val="0"/>
                  <w:vAlign w:val="center"/>
                </w:tcPr>
                <w:p w14:paraId="6AB9CD95">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0191EC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90" w:type="dxa"/>
                  <w:noWrap w:val="0"/>
                  <w:vAlign w:val="center"/>
                </w:tcPr>
                <w:p w14:paraId="17CD8926">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项目规模</w:t>
                  </w:r>
                </w:p>
              </w:tc>
              <w:tc>
                <w:tcPr>
                  <w:tcW w:w="2798" w:type="dxa"/>
                  <w:noWrap w:val="0"/>
                  <w:vAlign w:val="center"/>
                </w:tcPr>
                <w:p w14:paraId="6AC14CBE">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水质类样品</w:t>
                  </w:r>
                  <w:r>
                    <w:rPr>
                      <w:rFonts w:hint="default" w:cs="Times New Roman"/>
                      <w:color w:val="auto"/>
                      <w:kern w:val="0"/>
                      <w:sz w:val="21"/>
                      <w:szCs w:val="21"/>
                      <w:highlight w:val="none"/>
                      <w:lang w:val="en-US" w:eastAsia="zh-CN"/>
                    </w:rPr>
                    <w:t>1</w:t>
                  </w:r>
                  <w:r>
                    <w:rPr>
                      <w:rFonts w:hint="eastAsia" w:cs="Times New Roman"/>
                      <w:color w:val="auto"/>
                      <w:kern w:val="0"/>
                      <w:sz w:val="21"/>
                      <w:szCs w:val="21"/>
                      <w:highlight w:val="none"/>
                      <w:lang w:val="en-US" w:eastAsia="zh-CN"/>
                    </w:rPr>
                    <w:t>6</w:t>
                  </w:r>
                  <w:r>
                    <w:rPr>
                      <w:rFonts w:hint="default" w:cs="Times New Roman"/>
                      <w:color w:val="auto"/>
                      <w:kern w:val="0"/>
                      <w:sz w:val="21"/>
                      <w:szCs w:val="21"/>
                      <w:highlight w:val="none"/>
                      <w:lang w:val="en-US" w:eastAsia="zh-CN"/>
                    </w:rPr>
                    <w:t>00</w:t>
                  </w:r>
                  <w:r>
                    <w:rPr>
                      <w:rFonts w:hint="eastAsia" w:cs="Times New Roman"/>
                      <w:color w:val="auto"/>
                      <w:kern w:val="0"/>
                      <w:sz w:val="21"/>
                      <w:szCs w:val="21"/>
                      <w:highlight w:val="none"/>
                      <w:lang w:val="en-US" w:eastAsia="zh-CN"/>
                    </w:rPr>
                    <w:t>份</w:t>
                  </w:r>
                  <w:r>
                    <w:rPr>
                      <w:rFonts w:hint="default"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年、气体类样品60</w:t>
                  </w:r>
                  <w:r>
                    <w:rPr>
                      <w:rFonts w:hint="default"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份</w:t>
                  </w:r>
                  <w:r>
                    <w:rPr>
                      <w:rFonts w:hint="default"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年、固体类样品20</w:t>
                  </w:r>
                  <w:r>
                    <w:rPr>
                      <w:rFonts w:hint="default"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份</w:t>
                  </w:r>
                  <w:r>
                    <w:rPr>
                      <w:rFonts w:hint="default"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年、微生物样品10</w:t>
                  </w:r>
                  <w:r>
                    <w:rPr>
                      <w:rFonts w:hint="default" w:cs="Times New Roman"/>
                      <w:color w:val="auto"/>
                      <w:kern w:val="0"/>
                      <w:sz w:val="21"/>
                      <w:szCs w:val="21"/>
                      <w:highlight w:val="none"/>
                      <w:lang w:val="en-US" w:eastAsia="zh-CN"/>
                    </w:rPr>
                    <w:t>0</w:t>
                  </w:r>
                  <w:r>
                    <w:rPr>
                      <w:rFonts w:hint="eastAsia" w:cs="Times New Roman"/>
                      <w:color w:val="auto"/>
                      <w:kern w:val="0"/>
                      <w:sz w:val="21"/>
                      <w:szCs w:val="21"/>
                      <w:highlight w:val="none"/>
                      <w:lang w:val="en-US" w:eastAsia="zh-CN"/>
                    </w:rPr>
                    <w:t>份</w:t>
                  </w:r>
                  <w:r>
                    <w:rPr>
                      <w:rFonts w:hint="default" w:cs="Times New Roman"/>
                      <w:color w:val="auto"/>
                      <w:kern w:val="0"/>
                      <w:sz w:val="21"/>
                      <w:szCs w:val="21"/>
                      <w:highlight w:val="none"/>
                      <w:lang w:val="en-US" w:eastAsia="zh-CN"/>
                    </w:rPr>
                    <w:t>/</w:t>
                  </w:r>
                  <w:r>
                    <w:rPr>
                      <w:rFonts w:hint="eastAsia" w:cs="Times New Roman"/>
                      <w:color w:val="auto"/>
                      <w:kern w:val="0"/>
                      <w:sz w:val="21"/>
                      <w:szCs w:val="21"/>
                      <w:highlight w:val="none"/>
                      <w:lang w:val="en-US" w:eastAsia="zh-CN"/>
                    </w:rPr>
                    <w:t>年</w:t>
                  </w:r>
                </w:p>
              </w:tc>
              <w:tc>
                <w:tcPr>
                  <w:tcW w:w="2799" w:type="dxa"/>
                  <w:noWrap w:val="0"/>
                  <w:vAlign w:val="center"/>
                </w:tcPr>
                <w:p w14:paraId="3416F21A">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年检测血液样品7000个、环境检测3000个</w:t>
                  </w:r>
                </w:p>
              </w:tc>
              <w:tc>
                <w:tcPr>
                  <w:tcW w:w="870" w:type="dxa"/>
                  <w:shd w:val="clear" w:color="auto" w:fill="auto"/>
                  <w:noWrap w:val="0"/>
                  <w:vAlign w:val="center"/>
                </w:tcPr>
                <w:p w14:paraId="3BC8E7F0">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05CDE2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90" w:type="dxa"/>
                  <w:noWrap w:val="0"/>
                  <w:vAlign w:val="center"/>
                </w:tcPr>
                <w:p w14:paraId="5E441942">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工艺路线</w:t>
                  </w:r>
                </w:p>
              </w:tc>
              <w:tc>
                <w:tcPr>
                  <w:tcW w:w="2798" w:type="dxa"/>
                  <w:noWrap w:val="0"/>
                  <w:vAlign w:val="center"/>
                </w:tcPr>
                <w:p w14:paraId="6F841324">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采样、试剂配制、样品处理、样品检测、数据处理</w:t>
                  </w:r>
                </w:p>
              </w:tc>
              <w:tc>
                <w:tcPr>
                  <w:tcW w:w="2799" w:type="dxa"/>
                  <w:noWrap w:val="0"/>
                  <w:vAlign w:val="center"/>
                </w:tcPr>
                <w:p w14:paraId="62490B68">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采样、试剂配制、样品处理、样品检测、数据处理</w:t>
                  </w:r>
                </w:p>
              </w:tc>
              <w:tc>
                <w:tcPr>
                  <w:tcW w:w="870" w:type="dxa"/>
                  <w:shd w:val="clear" w:color="auto" w:fill="auto"/>
                  <w:noWrap w:val="0"/>
                  <w:vAlign w:val="center"/>
                </w:tcPr>
                <w:p w14:paraId="44C69179">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67A153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1390" w:type="dxa"/>
                  <w:noWrap w:val="0"/>
                  <w:vAlign w:val="center"/>
                </w:tcPr>
                <w:p w14:paraId="4299DA85">
                  <w:pPr>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原辅料使用</w:t>
                  </w:r>
                </w:p>
                <w:p w14:paraId="10148C03">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情况</w:t>
                  </w:r>
                </w:p>
              </w:tc>
              <w:tc>
                <w:tcPr>
                  <w:tcW w:w="2798" w:type="dxa"/>
                  <w:noWrap w:val="0"/>
                  <w:vAlign w:val="center"/>
                </w:tcPr>
                <w:p w14:paraId="29A067AF">
                  <w:pPr>
                    <w:adjustRightInd w:val="0"/>
                    <w:snapToGrid w:val="0"/>
                    <w:jc w:val="center"/>
                    <w:rPr>
                      <w:rFonts w:hint="eastAsia" w:cs="Times New Roman"/>
                      <w:color w:val="auto"/>
                      <w:kern w:val="0"/>
                      <w:sz w:val="21"/>
                      <w:szCs w:val="21"/>
                      <w:highlight w:val="none"/>
                      <w:lang w:val="en-US" w:eastAsia="zh-CN"/>
                    </w:rPr>
                  </w:pPr>
                  <w:r>
                    <w:rPr>
                      <w:rFonts w:hint="default" w:cs="Times New Roman"/>
                      <w:color w:val="auto"/>
                      <w:kern w:val="0"/>
                      <w:sz w:val="21"/>
                      <w:szCs w:val="21"/>
                      <w:highlight w:val="none"/>
                      <w:lang w:val="en-US" w:eastAsia="zh-CN"/>
                    </w:rPr>
                    <w:t>硝酸</w:t>
                  </w:r>
                  <w:r>
                    <w:rPr>
                      <w:rFonts w:hint="eastAsia" w:cs="Times New Roman"/>
                      <w:color w:val="auto"/>
                      <w:kern w:val="0"/>
                      <w:sz w:val="21"/>
                      <w:szCs w:val="21"/>
                      <w:highlight w:val="none"/>
                      <w:lang w:val="en-US" w:eastAsia="zh-CN"/>
                    </w:rPr>
                    <w:t>41.7 kg/a</w:t>
                  </w:r>
                </w:p>
              </w:tc>
              <w:tc>
                <w:tcPr>
                  <w:tcW w:w="2799" w:type="dxa"/>
                  <w:noWrap w:val="0"/>
                  <w:vAlign w:val="center"/>
                </w:tcPr>
                <w:p w14:paraId="1D1E5E66">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硝酸10kg/a</w:t>
                  </w:r>
                </w:p>
              </w:tc>
              <w:tc>
                <w:tcPr>
                  <w:tcW w:w="870" w:type="dxa"/>
                  <w:shd w:val="clear" w:color="auto" w:fill="auto"/>
                  <w:noWrap w:val="0"/>
                  <w:vAlign w:val="center"/>
                </w:tcPr>
                <w:p w14:paraId="4BDA114B">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017B90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90" w:type="dxa"/>
                  <w:vAlign w:val="center"/>
                </w:tcPr>
                <w:p w14:paraId="2FB1AF29">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废气排放类型</w:t>
                  </w:r>
                </w:p>
              </w:tc>
              <w:tc>
                <w:tcPr>
                  <w:tcW w:w="2798" w:type="dxa"/>
                  <w:vAlign w:val="center"/>
                </w:tcPr>
                <w:p w14:paraId="58CD0C91">
                  <w:pPr>
                    <w:adjustRightInd w:val="0"/>
                    <w:snapToGrid w:val="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有组织排放，</w:t>
                  </w:r>
                  <w:r>
                    <w:rPr>
                      <w:rFonts w:hint="default" w:cs="Times New Roman"/>
                      <w:color w:val="auto"/>
                      <w:kern w:val="0"/>
                      <w:sz w:val="21"/>
                      <w:szCs w:val="21"/>
                      <w:highlight w:val="none"/>
                      <w:lang w:val="en-US" w:eastAsia="zh-CN"/>
                    </w:rPr>
                    <w:t>氮氧化物</w:t>
                  </w:r>
                </w:p>
              </w:tc>
              <w:tc>
                <w:tcPr>
                  <w:tcW w:w="2799" w:type="dxa"/>
                  <w:vAlign w:val="center"/>
                </w:tcPr>
                <w:p w14:paraId="62324A25">
                  <w:pPr>
                    <w:adjustRightInd w:val="0"/>
                    <w:snapToGrid w:val="0"/>
                    <w:ind w:firstLine="210" w:firstLineChars="100"/>
                    <w:jc w:val="center"/>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有组织排放，氮氧化物</w:t>
                  </w:r>
                </w:p>
              </w:tc>
              <w:tc>
                <w:tcPr>
                  <w:tcW w:w="870" w:type="dxa"/>
                  <w:shd w:val="clear" w:color="auto" w:fill="auto"/>
                  <w:vAlign w:val="center"/>
                </w:tcPr>
                <w:p w14:paraId="245E6890">
                  <w:pPr>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r w14:paraId="56398D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390" w:type="dxa"/>
                  <w:vAlign w:val="center"/>
                </w:tcPr>
                <w:p w14:paraId="11F1089B">
                  <w:pPr>
                    <w:adjustRightInd w:val="0"/>
                    <w:snapToGrid w:val="0"/>
                    <w:jc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环保措施、排放方式及去向</w:t>
                  </w:r>
                </w:p>
              </w:tc>
              <w:tc>
                <w:tcPr>
                  <w:tcW w:w="2798" w:type="dxa"/>
                  <w:vAlign w:val="center"/>
                </w:tcPr>
                <w:p w14:paraId="255E235C">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废气经通风橱和万向罩收集后进干式过滤器后经28m排气筒排放。</w:t>
                  </w:r>
                </w:p>
              </w:tc>
              <w:tc>
                <w:tcPr>
                  <w:tcW w:w="2799" w:type="dxa"/>
                  <w:vAlign w:val="center"/>
                </w:tcPr>
                <w:p w14:paraId="0F5BF236">
                  <w:pPr>
                    <w:adjustRightInd w:val="0"/>
                    <w:snapToGrid w:val="0"/>
                    <w:jc w:val="center"/>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废气经通风橱和万向罩收集后进活性炭处理设施后经20m排气筒排放。</w:t>
                  </w:r>
                </w:p>
              </w:tc>
              <w:tc>
                <w:tcPr>
                  <w:tcW w:w="870" w:type="dxa"/>
                  <w:shd w:val="clear" w:color="auto" w:fill="auto"/>
                  <w:vAlign w:val="center"/>
                </w:tcPr>
                <w:p w14:paraId="05D9CD5D">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可类比</w:t>
                  </w:r>
                </w:p>
              </w:tc>
            </w:tr>
          </w:tbl>
          <w:p w14:paraId="30CF01E7">
            <w:pPr>
              <w:adjustRightInd w:val="0"/>
              <w:snapToGrid w:val="0"/>
              <w:spacing w:line="360" w:lineRule="auto"/>
              <w:ind w:firstLine="42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类比项目于2023年10月进行了</w:t>
            </w:r>
            <w:r>
              <w:rPr>
                <w:rFonts w:hint="eastAsia" w:cs="Times New Roman"/>
                <w:color w:val="auto"/>
                <w:sz w:val="24"/>
                <w:highlight w:val="none"/>
                <w:lang w:val="en-US" w:eastAsia="zh-CN"/>
              </w:rPr>
              <w:t>验收</w:t>
            </w:r>
            <w:r>
              <w:rPr>
                <w:rFonts w:hint="eastAsia" w:ascii="Times New Roman" w:hAnsi="Times New Roman" w:eastAsia="宋体" w:cs="Times New Roman"/>
                <w:color w:val="auto"/>
                <w:sz w:val="24"/>
                <w:highlight w:val="none"/>
                <w:lang w:val="en-US" w:eastAsia="zh-CN"/>
              </w:rPr>
              <w:t>检测，根据类比项目检测报告</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HB2023101706</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中排气筒出口的数据，氮氧化物的最大排放速率为0.00228kg/h，年排放时间</w:t>
            </w:r>
            <w:r>
              <w:rPr>
                <w:rFonts w:hint="eastAsia" w:cs="Times New Roman"/>
                <w:color w:val="auto"/>
                <w:sz w:val="24"/>
                <w:highlight w:val="none"/>
                <w:lang w:val="en-US" w:eastAsia="zh-CN"/>
              </w:rPr>
              <w:t>261</w:t>
            </w:r>
            <w:r>
              <w:rPr>
                <w:rFonts w:hint="eastAsia" w:ascii="Times New Roman" w:hAnsi="Times New Roman" w:eastAsia="宋体" w:cs="Times New Roman"/>
                <w:color w:val="auto"/>
                <w:sz w:val="24"/>
                <w:highlight w:val="none"/>
                <w:lang w:val="en-US" w:eastAsia="zh-CN"/>
              </w:rPr>
              <w:t>h，</w:t>
            </w:r>
            <w:r>
              <w:rPr>
                <w:rFonts w:hint="default" w:ascii="Times New Roman" w:hAnsi="Times New Roman" w:eastAsia="宋体" w:cs="Times New Roman"/>
                <w:color w:val="auto"/>
                <w:sz w:val="24"/>
                <w:highlight w:val="none"/>
                <w:lang w:val="en-US" w:eastAsia="zh-CN"/>
              </w:rPr>
              <w:t>活性炭吸附装置</w:t>
            </w:r>
            <w:r>
              <w:rPr>
                <w:rFonts w:hint="eastAsia" w:ascii="Times New Roman" w:hAnsi="Times New Roman" w:eastAsia="宋体" w:cs="Times New Roman"/>
                <w:color w:val="auto"/>
                <w:sz w:val="24"/>
                <w:highlight w:val="none"/>
                <w:lang w:val="en-US" w:eastAsia="zh-CN"/>
              </w:rPr>
              <w:t>对氮氧化物的去除效率为0，类比项目氮氧化物产生量为</w:t>
            </w:r>
            <w:r>
              <w:rPr>
                <w:rFonts w:hint="eastAsia" w:cs="Times New Roman"/>
                <w:color w:val="auto"/>
                <w:sz w:val="24"/>
                <w:highlight w:val="none"/>
                <w:lang w:val="en-US" w:eastAsia="zh-CN"/>
              </w:rPr>
              <w:t>0.595</w:t>
            </w:r>
            <w:r>
              <w:rPr>
                <w:rFonts w:hint="eastAsia" w:ascii="Times New Roman" w:hAnsi="Times New Roman" w:eastAsia="宋体" w:cs="Times New Roman"/>
                <w:color w:val="auto"/>
                <w:sz w:val="24"/>
                <w:highlight w:val="none"/>
                <w:lang w:val="en-US" w:eastAsia="zh-CN"/>
              </w:rPr>
              <w:t>kg/a，类比项目年用硝酸10kg，则排放系数为0.</w:t>
            </w:r>
            <w:r>
              <w:rPr>
                <w:rFonts w:hint="eastAsia" w:cs="Times New Roman"/>
                <w:color w:val="auto"/>
                <w:sz w:val="24"/>
                <w:highlight w:val="none"/>
                <w:lang w:val="en-US" w:eastAsia="zh-CN"/>
              </w:rPr>
              <w:t>0595</w:t>
            </w:r>
            <w:r>
              <w:rPr>
                <w:rFonts w:hint="eastAsia" w:ascii="Times New Roman" w:hAnsi="Times New Roman" w:eastAsia="宋体" w:cs="Times New Roman"/>
                <w:color w:val="auto"/>
                <w:sz w:val="24"/>
                <w:highlight w:val="none"/>
                <w:lang w:val="en-US" w:eastAsia="zh-CN"/>
              </w:rPr>
              <w:t>kg/kg。本项目检测使用硝酸</w:t>
            </w:r>
            <w:r>
              <w:rPr>
                <w:rFonts w:hint="eastAsia" w:cs="Times New Roman"/>
                <w:color w:val="auto"/>
                <w:sz w:val="24"/>
                <w:highlight w:val="none"/>
                <w:lang w:val="en-US" w:eastAsia="zh-CN"/>
              </w:rPr>
              <w:t>41.7</w:t>
            </w:r>
            <w:r>
              <w:rPr>
                <w:rFonts w:hint="eastAsia" w:ascii="Times New Roman" w:hAnsi="Times New Roman" w:eastAsia="宋体" w:cs="Times New Roman"/>
                <w:color w:val="auto"/>
                <w:sz w:val="24"/>
                <w:highlight w:val="none"/>
                <w:lang w:val="en-US" w:eastAsia="zh-CN"/>
              </w:rPr>
              <w:t>kg/a，</w:t>
            </w:r>
            <w:r>
              <w:rPr>
                <w:rFonts w:hint="eastAsia" w:cs="Times New Roman"/>
                <w:color w:val="auto"/>
                <w:sz w:val="24"/>
                <w:highlight w:val="none"/>
                <w:lang w:val="en-US" w:eastAsia="zh-CN"/>
              </w:rPr>
              <w:t>干式过滤器</w:t>
            </w:r>
            <w:r>
              <w:rPr>
                <w:rFonts w:hint="eastAsia" w:ascii="Times New Roman" w:hAnsi="Times New Roman" w:eastAsia="宋体" w:cs="Times New Roman"/>
                <w:color w:val="auto"/>
                <w:sz w:val="24"/>
                <w:highlight w:val="none"/>
                <w:lang w:val="en-US" w:eastAsia="zh-CN"/>
              </w:rPr>
              <w:t>对氮氧化物的去除效率为</w:t>
            </w:r>
            <w:r>
              <w:rPr>
                <w:rFonts w:hint="eastAsia" w:cs="Times New Roman"/>
                <w:color w:val="auto"/>
                <w:sz w:val="24"/>
                <w:highlight w:val="none"/>
                <w:lang w:val="en-US" w:eastAsia="zh-CN"/>
              </w:rPr>
              <w:t>30%</w:t>
            </w:r>
            <w:r>
              <w:rPr>
                <w:rFonts w:hint="eastAsia" w:ascii="Times New Roman" w:hAnsi="Times New Roman" w:eastAsia="宋体" w:cs="Times New Roman"/>
                <w:color w:val="auto"/>
                <w:sz w:val="24"/>
                <w:highlight w:val="none"/>
                <w:lang w:val="en-US" w:eastAsia="zh-CN"/>
              </w:rPr>
              <w:t>，则本项目氮氧化物排放量为0.00</w:t>
            </w:r>
            <w:r>
              <w:rPr>
                <w:rFonts w:hint="eastAsia" w:cs="Times New Roman"/>
                <w:color w:val="auto"/>
                <w:sz w:val="24"/>
                <w:highlight w:val="none"/>
                <w:lang w:val="en-US" w:eastAsia="zh-CN"/>
              </w:rPr>
              <w:t>17</w:t>
            </w:r>
            <w:r>
              <w:rPr>
                <w:rFonts w:hint="eastAsia" w:ascii="Times New Roman" w:hAnsi="Times New Roman" w:eastAsia="宋体" w:cs="Times New Roman"/>
                <w:color w:val="auto"/>
                <w:sz w:val="24"/>
                <w:highlight w:val="none"/>
                <w:lang w:val="en-US" w:eastAsia="zh-CN"/>
              </w:rPr>
              <w:t>t</w:t>
            </w:r>
            <w:r>
              <w:rPr>
                <w:rFonts w:hint="eastAsia" w:cs="Times New Roman"/>
                <w:color w:val="auto"/>
                <w:sz w:val="24"/>
                <w:highlight w:val="none"/>
                <w:lang w:val="en-US" w:eastAsia="zh-CN"/>
              </w:rPr>
              <w:t>。</w:t>
            </w:r>
          </w:p>
          <w:p w14:paraId="1C92C929">
            <w:pPr>
              <w:adjustRightInd w:val="0"/>
              <w:snapToGrid w:val="0"/>
              <w:spacing w:line="360" w:lineRule="auto"/>
              <w:ind w:firstLine="42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综上，本项目采用排污系数法及类比分析法进行</w:t>
            </w:r>
            <w:r>
              <w:rPr>
                <w:rFonts w:hint="eastAsia" w:ascii="Times New Roman" w:hAnsi="Times New Roman" w:eastAsia="宋体" w:cs="Times New Roman"/>
                <w:color w:val="auto"/>
                <w:sz w:val="24"/>
                <w:highlight w:val="none"/>
                <w:lang w:val="en-US" w:eastAsia="zh-CN"/>
              </w:rPr>
              <w:t>氮氧化物的</w:t>
            </w:r>
            <w:r>
              <w:rPr>
                <w:rFonts w:hint="default" w:ascii="Times New Roman" w:hAnsi="Times New Roman" w:eastAsia="宋体" w:cs="Times New Roman"/>
                <w:color w:val="auto"/>
                <w:sz w:val="24"/>
                <w:highlight w:val="none"/>
                <w:lang w:val="en-US" w:eastAsia="zh-CN"/>
              </w:rPr>
              <w:t>排放量核算，经比较结果相近。考虑到不同</w:t>
            </w:r>
            <w:r>
              <w:rPr>
                <w:rFonts w:hint="eastAsia" w:cs="Times New Roman"/>
                <w:color w:val="auto"/>
                <w:sz w:val="24"/>
                <w:highlight w:val="none"/>
                <w:lang w:val="en-US" w:eastAsia="zh-CN"/>
              </w:rPr>
              <w:t>情况</w:t>
            </w:r>
            <w:r>
              <w:rPr>
                <w:rFonts w:hint="default" w:ascii="Times New Roman" w:hAnsi="Times New Roman" w:eastAsia="宋体" w:cs="Times New Roman"/>
                <w:color w:val="auto"/>
                <w:sz w:val="24"/>
                <w:highlight w:val="none"/>
                <w:lang w:val="en-US" w:eastAsia="zh-CN"/>
              </w:rPr>
              <w:t>实际运行过程中存在差异，类比数据存在一定的误差，本次环评采用排污系数法的核算结果作为申请排污总量的依据。因此，本项目</w:t>
            </w:r>
            <w:r>
              <w:rPr>
                <w:rFonts w:hint="eastAsia" w:ascii="Times New Roman" w:hAnsi="Times New Roman" w:eastAsia="宋体" w:cs="Times New Roman"/>
                <w:color w:val="auto"/>
                <w:sz w:val="24"/>
                <w:highlight w:val="none"/>
                <w:lang w:val="en-US" w:eastAsia="zh-CN"/>
              </w:rPr>
              <w:t>氮氧化物</w:t>
            </w:r>
            <w:r>
              <w:rPr>
                <w:rFonts w:hint="default" w:ascii="Times New Roman" w:hAnsi="Times New Roman" w:eastAsia="宋体" w:cs="Times New Roman"/>
                <w:color w:val="auto"/>
                <w:sz w:val="24"/>
                <w:highlight w:val="none"/>
                <w:lang w:val="en-US" w:eastAsia="zh-CN"/>
              </w:rPr>
              <w:t>排放量为：</w:t>
            </w:r>
            <w:r>
              <w:rPr>
                <w:rFonts w:hint="eastAsia" w:ascii="Times New Roman" w:hAnsi="Times New Roman" w:eastAsia="宋体" w:cs="Times New Roman"/>
                <w:color w:val="auto"/>
                <w:sz w:val="24"/>
                <w:highlight w:val="none"/>
                <w:lang w:val="en-US" w:eastAsia="zh-CN"/>
              </w:rPr>
              <w:t>0.000</w:t>
            </w:r>
            <w:r>
              <w:rPr>
                <w:rFonts w:hint="eastAsia" w:cs="Times New Roman"/>
                <w:color w:val="auto"/>
                <w:sz w:val="24"/>
                <w:highlight w:val="none"/>
                <w:lang w:val="en-US" w:eastAsia="zh-CN"/>
              </w:rPr>
              <w:t>25</w:t>
            </w:r>
            <w:r>
              <w:rPr>
                <w:rFonts w:hint="default" w:ascii="Times New Roman" w:hAnsi="Times New Roman" w:eastAsia="宋体" w:cs="Times New Roman"/>
                <w:color w:val="auto"/>
                <w:sz w:val="24"/>
                <w:highlight w:val="none"/>
                <w:lang w:val="en-US" w:eastAsia="zh-CN"/>
              </w:rPr>
              <w:t>t/a。</w:t>
            </w:r>
          </w:p>
          <w:p w14:paraId="4A3E67B9">
            <w:pPr>
              <w:numPr>
                <w:ilvl w:val="0"/>
                <w:numId w:val="27"/>
              </w:numPr>
              <w:adjustRightInd w:val="0"/>
              <w:snapToGrid w:val="0"/>
              <w:spacing w:line="360" w:lineRule="auto"/>
              <w:ind w:left="0"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水污染物总量核算</w:t>
            </w:r>
          </w:p>
          <w:p w14:paraId="618C58D5">
            <w:pPr>
              <w:pStyle w:val="6"/>
              <w:numPr>
                <w:ilvl w:val="0"/>
                <w:numId w:val="28"/>
              </w:num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排污系数法</w:t>
            </w:r>
          </w:p>
          <w:p w14:paraId="7A303A48">
            <w:pPr>
              <w:adjustRightInd w:val="0"/>
              <w:snapToGrid w:val="0"/>
              <w:spacing w:line="360" w:lineRule="auto"/>
              <w:ind w:firstLine="42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根据本报告</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四、主要环境影响和保护措施</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章节中废水源强核算结果，本项目COD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排放量为</w:t>
            </w:r>
            <w:r>
              <w:rPr>
                <w:rFonts w:hint="eastAsia" w:cs="Times New Roman"/>
                <w:color w:val="auto"/>
                <w:sz w:val="24"/>
                <w:highlight w:val="none"/>
                <w:lang w:val="en-US" w:eastAsia="zh-CN"/>
              </w:rPr>
              <w:t>0.1540</w:t>
            </w:r>
            <w:r>
              <w:rPr>
                <w:rFonts w:hint="default" w:ascii="Times New Roman" w:hAnsi="Times New Roman" w:eastAsia="宋体" w:cs="Times New Roman"/>
                <w:color w:val="auto"/>
                <w:sz w:val="24"/>
                <w:highlight w:val="none"/>
                <w:lang w:val="en-US" w:eastAsia="zh-CN"/>
              </w:rPr>
              <w:t>t/a，氨氮排放量为0.</w:t>
            </w:r>
            <w:r>
              <w:rPr>
                <w:rFonts w:hint="eastAsia" w:cs="Times New Roman"/>
                <w:color w:val="auto"/>
                <w:sz w:val="24"/>
                <w:highlight w:val="none"/>
                <w:lang w:val="en-US" w:eastAsia="zh-CN"/>
              </w:rPr>
              <w:t>0156</w:t>
            </w:r>
            <w:r>
              <w:rPr>
                <w:rFonts w:hint="default" w:ascii="Times New Roman" w:hAnsi="Times New Roman" w:eastAsia="宋体" w:cs="Times New Roman"/>
                <w:color w:val="auto"/>
                <w:sz w:val="24"/>
                <w:highlight w:val="none"/>
                <w:lang w:val="en-US" w:eastAsia="zh-CN"/>
              </w:rPr>
              <w:t>t/a。</w:t>
            </w:r>
          </w:p>
          <w:p w14:paraId="6989F43A">
            <w:pPr>
              <w:adjustRightInd w:val="0"/>
              <w:spacing w:line="360" w:lineRule="auto"/>
              <w:ind w:firstLine="480" w:firstLineChars="200"/>
              <w:textAlignment w:val="baseline"/>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（2）类比分析法</w:t>
            </w:r>
          </w:p>
          <w:p w14:paraId="4BF15397">
            <w:pPr>
              <w:snapToGrid w:val="0"/>
              <w:spacing w:line="360" w:lineRule="auto"/>
              <w:ind w:firstLine="480" w:firstLineChars="200"/>
              <w:jc w:val="left"/>
              <w:rPr>
                <w:bCs/>
                <w:color w:val="auto"/>
                <w:sz w:val="24"/>
              </w:rPr>
            </w:pPr>
            <w:r>
              <w:rPr>
                <w:rFonts w:hint="default" w:ascii="Times New Roman" w:hAnsi="Times New Roman" w:eastAsia="宋体" w:cs="Times New Roman"/>
                <w:color w:val="auto"/>
                <w:sz w:val="24"/>
                <w:highlight w:val="none"/>
                <w:lang w:val="en-US" w:eastAsia="zh-CN"/>
              </w:rPr>
              <w:t>本项目废水类比《安华科创（北京）检测技术有限公司检测实验室项目竣工环境保护验收监测报告表》中相关数据，该项目于2024年5月完成自主验收</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该项目与本项目产生废水类别、排放方式类似，具有可类比性</w:t>
            </w:r>
            <w:r>
              <w:rPr>
                <w:rFonts w:hint="eastAsia" w:cs="Times New Roman"/>
                <w:color w:val="auto"/>
                <w:sz w:val="24"/>
                <w:highlight w:val="none"/>
                <w:lang w:val="en-US" w:eastAsia="zh-CN"/>
              </w:rPr>
              <w:t>，</w:t>
            </w:r>
            <w:r>
              <w:rPr>
                <w:rFonts w:hint="eastAsia"/>
                <w:color w:val="auto"/>
                <w:sz w:val="24"/>
              </w:rPr>
              <w:t>对比</w:t>
            </w:r>
            <w:r>
              <w:rPr>
                <w:rFonts w:hint="eastAsia"/>
                <w:color w:val="auto"/>
                <w:sz w:val="24"/>
                <w:lang w:val="en-US" w:eastAsia="zh-CN"/>
              </w:rPr>
              <w:t>情况</w:t>
            </w:r>
            <w:r>
              <w:rPr>
                <w:rFonts w:hint="eastAsia"/>
                <w:color w:val="auto"/>
                <w:sz w:val="24"/>
              </w:rPr>
              <w:t>见下表。</w:t>
            </w:r>
          </w:p>
          <w:p w14:paraId="11FC66D6">
            <w:pPr>
              <w:numPr>
                <w:ilvl w:val="0"/>
                <w:numId w:val="24"/>
              </w:numPr>
              <w:spacing w:line="360" w:lineRule="auto"/>
              <w:jc w:val="center"/>
              <w:rPr>
                <w:b/>
                <w:bCs/>
                <w:color w:val="auto"/>
                <w:sz w:val="24"/>
              </w:rPr>
            </w:pPr>
            <w:r>
              <w:rPr>
                <w:b/>
                <w:bCs/>
                <w:color w:val="auto"/>
                <w:sz w:val="24"/>
              </w:rPr>
              <w:t>本项目与类比项目对比一览表（废水）</w:t>
            </w:r>
          </w:p>
          <w:tbl>
            <w:tblPr>
              <w:tblStyle w:val="24"/>
              <w:tblW w:w="79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2727"/>
              <w:gridCol w:w="2913"/>
              <w:gridCol w:w="1154"/>
            </w:tblGrid>
            <w:tr w14:paraId="4CFCC0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184" w:type="dxa"/>
                  <w:tcBorders>
                    <w:tl2br w:val="nil"/>
                    <w:tr2bl w:val="nil"/>
                  </w:tcBorders>
                  <w:vAlign w:val="center"/>
                </w:tcPr>
                <w:p w14:paraId="4C3F1001">
                  <w:pPr>
                    <w:adjustRightInd w:val="0"/>
                    <w:snapToGrid w:val="0"/>
                    <w:jc w:val="center"/>
                    <w:rPr>
                      <w:rFonts w:hint="eastAsia" w:eastAsia="宋体"/>
                      <w:b/>
                      <w:bCs/>
                      <w:color w:val="auto"/>
                      <w:kern w:val="0"/>
                      <w:szCs w:val="21"/>
                      <w:lang w:val="en-US" w:eastAsia="zh-CN"/>
                    </w:rPr>
                  </w:pPr>
                  <w:r>
                    <w:rPr>
                      <w:rFonts w:hint="eastAsia"/>
                      <w:b/>
                      <w:bCs/>
                      <w:color w:val="auto"/>
                      <w:kern w:val="0"/>
                      <w:szCs w:val="21"/>
                      <w:lang w:val="en-US" w:eastAsia="zh-CN"/>
                    </w:rPr>
                    <w:t>名称</w:t>
                  </w:r>
                </w:p>
              </w:tc>
              <w:tc>
                <w:tcPr>
                  <w:tcW w:w="2727" w:type="dxa"/>
                  <w:tcBorders>
                    <w:tl2br w:val="nil"/>
                    <w:tr2bl w:val="nil"/>
                  </w:tcBorders>
                  <w:vAlign w:val="center"/>
                </w:tcPr>
                <w:p w14:paraId="0587ECE4">
                  <w:pPr>
                    <w:adjustRightInd w:val="0"/>
                    <w:snapToGrid w:val="0"/>
                    <w:jc w:val="center"/>
                    <w:rPr>
                      <w:b/>
                      <w:bCs/>
                      <w:color w:val="auto"/>
                      <w:kern w:val="0"/>
                      <w:szCs w:val="21"/>
                    </w:rPr>
                  </w:pPr>
                  <w:r>
                    <w:rPr>
                      <w:b/>
                      <w:bCs/>
                      <w:color w:val="auto"/>
                      <w:kern w:val="0"/>
                      <w:szCs w:val="21"/>
                    </w:rPr>
                    <w:t>本项目</w:t>
                  </w:r>
                </w:p>
              </w:tc>
              <w:tc>
                <w:tcPr>
                  <w:tcW w:w="2913" w:type="dxa"/>
                  <w:tcBorders>
                    <w:tl2br w:val="nil"/>
                    <w:tr2bl w:val="nil"/>
                  </w:tcBorders>
                  <w:vAlign w:val="center"/>
                </w:tcPr>
                <w:p w14:paraId="0A583B43">
                  <w:pPr>
                    <w:adjustRightInd w:val="0"/>
                    <w:snapToGrid w:val="0"/>
                    <w:jc w:val="center"/>
                    <w:rPr>
                      <w:b/>
                      <w:bCs/>
                      <w:color w:val="auto"/>
                      <w:kern w:val="0"/>
                      <w:szCs w:val="21"/>
                    </w:rPr>
                  </w:pPr>
                  <w:r>
                    <w:rPr>
                      <w:b/>
                      <w:bCs/>
                      <w:color w:val="auto"/>
                      <w:kern w:val="0"/>
                      <w:szCs w:val="21"/>
                    </w:rPr>
                    <w:t>类比项目</w:t>
                  </w:r>
                </w:p>
              </w:tc>
              <w:tc>
                <w:tcPr>
                  <w:tcW w:w="1154" w:type="dxa"/>
                  <w:tcBorders>
                    <w:tl2br w:val="nil"/>
                    <w:tr2bl w:val="nil"/>
                  </w:tcBorders>
                  <w:vAlign w:val="center"/>
                </w:tcPr>
                <w:p w14:paraId="017A7EA5">
                  <w:pPr>
                    <w:adjustRightInd w:val="0"/>
                    <w:snapToGrid w:val="0"/>
                    <w:jc w:val="center"/>
                    <w:rPr>
                      <w:rFonts w:hint="default" w:eastAsia="宋体"/>
                      <w:b/>
                      <w:bCs/>
                      <w:color w:val="auto"/>
                      <w:kern w:val="0"/>
                      <w:szCs w:val="21"/>
                      <w:lang w:val="en-US" w:eastAsia="zh-CN"/>
                    </w:rPr>
                  </w:pPr>
                  <w:r>
                    <w:rPr>
                      <w:rFonts w:hint="eastAsia"/>
                      <w:b/>
                      <w:bCs/>
                      <w:color w:val="auto"/>
                      <w:kern w:val="0"/>
                      <w:szCs w:val="21"/>
                      <w:lang w:val="en-US" w:eastAsia="zh-CN"/>
                    </w:rPr>
                    <w:t>可类比性</w:t>
                  </w:r>
                </w:p>
              </w:tc>
            </w:tr>
            <w:tr w14:paraId="3A4FA2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184" w:type="dxa"/>
                  <w:tcBorders>
                    <w:tl2br w:val="nil"/>
                    <w:tr2bl w:val="nil"/>
                  </w:tcBorders>
                  <w:vAlign w:val="center"/>
                </w:tcPr>
                <w:p w14:paraId="5977DA20">
                  <w:pPr>
                    <w:adjustRightInd w:val="0"/>
                    <w:snapToGrid w:val="0"/>
                    <w:jc w:val="center"/>
                    <w:rPr>
                      <w:rFonts w:hint="eastAsia" w:eastAsia="宋体"/>
                      <w:color w:val="auto"/>
                      <w:kern w:val="0"/>
                      <w:szCs w:val="21"/>
                      <w:lang w:eastAsia="zh-CN"/>
                    </w:rPr>
                  </w:pPr>
                  <w:r>
                    <w:rPr>
                      <w:color w:val="auto"/>
                      <w:kern w:val="0"/>
                      <w:szCs w:val="21"/>
                    </w:rPr>
                    <w:t>项目</w:t>
                  </w:r>
                  <w:r>
                    <w:rPr>
                      <w:rFonts w:hint="eastAsia"/>
                      <w:color w:val="auto"/>
                      <w:kern w:val="0"/>
                      <w:szCs w:val="21"/>
                      <w:lang w:val="en-US" w:eastAsia="zh-CN"/>
                    </w:rPr>
                    <w:t>性质</w:t>
                  </w:r>
                </w:p>
              </w:tc>
              <w:tc>
                <w:tcPr>
                  <w:tcW w:w="2727" w:type="dxa"/>
                  <w:tcBorders>
                    <w:tl2br w:val="nil"/>
                    <w:tr2bl w:val="nil"/>
                  </w:tcBorders>
                  <w:vAlign w:val="center"/>
                </w:tcPr>
                <w:p w14:paraId="6C6A45AF">
                  <w:pPr>
                    <w:adjustRightInd w:val="0"/>
                    <w:snapToGrid w:val="0"/>
                    <w:jc w:val="center"/>
                    <w:rPr>
                      <w:color w:val="auto"/>
                      <w:kern w:val="0"/>
                      <w:szCs w:val="21"/>
                    </w:rPr>
                  </w:pPr>
                  <w:r>
                    <w:rPr>
                      <w:rFonts w:hint="eastAsia"/>
                      <w:color w:val="auto"/>
                      <w:kern w:val="0"/>
                      <w:szCs w:val="21"/>
                      <w:lang w:val="en-US" w:eastAsia="zh-CN"/>
                    </w:rPr>
                    <w:t>新建</w:t>
                  </w:r>
                </w:p>
              </w:tc>
              <w:tc>
                <w:tcPr>
                  <w:tcW w:w="2913" w:type="dxa"/>
                  <w:tcBorders>
                    <w:tl2br w:val="nil"/>
                    <w:tr2bl w:val="nil"/>
                  </w:tcBorders>
                  <w:vAlign w:val="center"/>
                </w:tcPr>
                <w:p w14:paraId="57DBC2E6">
                  <w:pPr>
                    <w:adjustRightInd w:val="0"/>
                    <w:snapToGrid w:val="0"/>
                    <w:jc w:val="center"/>
                    <w:rPr>
                      <w:rFonts w:hint="eastAsia" w:eastAsia="宋体"/>
                      <w:color w:val="auto"/>
                      <w:kern w:val="0"/>
                      <w:szCs w:val="21"/>
                      <w:lang w:eastAsia="zh-CN"/>
                    </w:rPr>
                  </w:pPr>
                  <w:r>
                    <w:rPr>
                      <w:rFonts w:hint="eastAsia"/>
                      <w:color w:val="auto"/>
                      <w:kern w:val="0"/>
                      <w:szCs w:val="21"/>
                      <w:lang w:val="en-US" w:eastAsia="zh-CN"/>
                    </w:rPr>
                    <w:t>新建</w:t>
                  </w:r>
                </w:p>
              </w:tc>
              <w:tc>
                <w:tcPr>
                  <w:tcW w:w="1154" w:type="dxa"/>
                  <w:tcBorders>
                    <w:tl2br w:val="nil"/>
                    <w:tr2bl w:val="nil"/>
                  </w:tcBorders>
                  <w:vAlign w:val="center"/>
                </w:tcPr>
                <w:p w14:paraId="534B9FE4">
                  <w:pPr>
                    <w:adjustRightInd w:val="0"/>
                    <w:snapToGrid w:val="0"/>
                    <w:jc w:val="center"/>
                    <w:rPr>
                      <w:rFonts w:hint="eastAsia"/>
                      <w:color w:val="auto"/>
                      <w:kern w:val="0"/>
                      <w:szCs w:val="21"/>
                      <w:lang w:val="en-US" w:eastAsia="zh-CN"/>
                    </w:rPr>
                  </w:pPr>
                  <w:r>
                    <w:rPr>
                      <w:rFonts w:hint="default" w:ascii="Times New Roman" w:hAnsi="Times New Roman" w:eastAsia="宋体" w:cs="Times New Roman"/>
                      <w:color w:val="auto"/>
                      <w:highlight w:val="none"/>
                      <w:lang w:val="en-US" w:eastAsia="zh-CN"/>
                    </w:rPr>
                    <w:t>可类比</w:t>
                  </w:r>
                </w:p>
              </w:tc>
            </w:tr>
            <w:tr w14:paraId="5F2B7D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84" w:type="dxa"/>
                  <w:tcBorders>
                    <w:tl2br w:val="nil"/>
                    <w:tr2bl w:val="nil"/>
                  </w:tcBorders>
                  <w:vAlign w:val="center"/>
                </w:tcPr>
                <w:p w14:paraId="567FFBFB">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项目内容</w:t>
                  </w:r>
                </w:p>
              </w:tc>
              <w:tc>
                <w:tcPr>
                  <w:tcW w:w="2727" w:type="dxa"/>
                  <w:tcBorders>
                    <w:tl2br w:val="nil"/>
                    <w:tr2bl w:val="nil"/>
                  </w:tcBorders>
                  <w:shd w:val="clear" w:color="auto" w:fill="auto"/>
                  <w:vAlign w:val="center"/>
                </w:tcPr>
                <w:p w14:paraId="14F96FE9">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检测实验</w:t>
                  </w:r>
                </w:p>
              </w:tc>
              <w:tc>
                <w:tcPr>
                  <w:tcW w:w="2913" w:type="dxa"/>
                  <w:tcBorders>
                    <w:tl2br w:val="nil"/>
                    <w:tr2bl w:val="nil"/>
                  </w:tcBorders>
                  <w:vAlign w:val="center"/>
                </w:tcPr>
                <w:p w14:paraId="48546CC0">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检测实验</w:t>
                  </w:r>
                </w:p>
              </w:tc>
              <w:tc>
                <w:tcPr>
                  <w:tcW w:w="1154" w:type="dxa"/>
                  <w:tcBorders>
                    <w:tl2br w:val="nil"/>
                    <w:tr2bl w:val="nil"/>
                  </w:tcBorders>
                  <w:vAlign w:val="center"/>
                </w:tcPr>
                <w:p w14:paraId="7C6C977B">
                  <w:pPr>
                    <w:adjustRightInd w:val="0"/>
                    <w:snapToGrid w:val="0"/>
                    <w:jc w:val="center"/>
                    <w:rPr>
                      <w:rFonts w:hint="eastAsia"/>
                      <w:color w:val="auto"/>
                      <w:kern w:val="0"/>
                      <w:szCs w:val="21"/>
                      <w:lang w:val="en-US" w:eastAsia="zh-CN"/>
                    </w:rPr>
                  </w:pPr>
                  <w:r>
                    <w:rPr>
                      <w:rFonts w:hint="default" w:ascii="Times New Roman" w:hAnsi="Times New Roman" w:eastAsia="宋体" w:cs="Times New Roman"/>
                      <w:color w:val="auto"/>
                      <w:highlight w:val="none"/>
                      <w:lang w:val="en-US" w:eastAsia="zh-CN"/>
                    </w:rPr>
                    <w:t>可类比</w:t>
                  </w:r>
                </w:p>
              </w:tc>
            </w:tr>
            <w:tr w14:paraId="6802B6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184" w:type="dxa"/>
                  <w:tcBorders>
                    <w:tl2br w:val="nil"/>
                    <w:tr2bl w:val="nil"/>
                  </w:tcBorders>
                  <w:vAlign w:val="center"/>
                </w:tcPr>
                <w:p w14:paraId="18E6522E">
                  <w:pPr>
                    <w:adjustRightInd w:val="0"/>
                    <w:snapToGrid w:val="0"/>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废水类别</w:t>
                  </w:r>
                </w:p>
              </w:tc>
              <w:tc>
                <w:tcPr>
                  <w:tcW w:w="2727" w:type="dxa"/>
                  <w:tcBorders>
                    <w:tl2br w:val="nil"/>
                    <w:tr2bl w:val="nil"/>
                  </w:tcBorders>
                  <w:shd w:val="clear" w:color="auto" w:fill="auto"/>
                  <w:vAlign w:val="center"/>
                </w:tcPr>
                <w:p w14:paraId="51740B96">
                  <w:pPr>
                    <w:adjustRightInd w:val="0"/>
                    <w:snapToGrid w:val="0"/>
                    <w:jc w:val="center"/>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员工生活污水、</w:t>
                  </w:r>
                  <w:r>
                    <w:rPr>
                      <w:rFonts w:hint="eastAsia" w:cs="Times New Roman"/>
                      <w:color w:val="auto"/>
                      <w:kern w:val="0"/>
                      <w:szCs w:val="21"/>
                      <w:lang w:val="en-US" w:eastAsia="zh-CN"/>
                    </w:rPr>
                    <w:t>容器</w:t>
                  </w:r>
                  <w:r>
                    <w:rPr>
                      <w:rFonts w:hint="eastAsia" w:ascii="Times New Roman" w:hAnsi="Times New Roman" w:cs="Times New Roman"/>
                      <w:color w:val="auto"/>
                      <w:kern w:val="0"/>
                      <w:szCs w:val="21"/>
                      <w:lang w:val="en-US" w:eastAsia="zh-CN"/>
                    </w:rPr>
                    <w:t>第</w:t>
                  </w:r>
                  <w:r>
                    <w:rPr>
                      <w:rFonts w:hint="default" w:ascii="Times New Roman" w:hAnsi="Times New Roman" w:cs="Times New Roman"/>
                      <w:color w:val="auto"/>
                      <w:kern w:val="0"/>
                      <w:szCs w:val="21"/>
                      <w:lang w:val="en-US" w:eastAsia="zh-CN"/>
                    </w:rPr>
                    <w:t>三遍</w:t>
                  </w:r>
                  <w:r>
                    <w:rPr>
                      <w:rFonts w:hint="eastAsia" w:cs="Times New Roman"/>
                      <w:color w:val="auto"/>
                      <w:kern w:val="0"/>
                      <w:szCs w:val="21"/>
                      <w:lang w:val="en-US" w:eastAsia="zh-CN"/>
                    </w:rPr>
                    <w:t>及以后</w:t>
                  </w:r>
                  <w:r>
                    <w:rPr>
                      <w:rFonts w:hint="default" w:ascii="Times New Roman" w:hAnsi="Times New Roman" w:cs="Times New Roman"/>
                      <w:color w:val="auto"/>
                      <w:kern w:val="0"/>
                      <w:szCs w:val="21"/>
                      <w:lang w:val="en-US" w:eastAsia="zh-CN"/>
                    </w:rPr>
                    <w:t>清洗废水</w:t>
                  </w:r>
                  <w:r>
                    <w:rPr>
                      <w:rFonts w:hint="eastAsia" w:ascii="Times New Roman" w:hAnsi="Times New Roman" w:cs="Times New Roman"/>
                      <w:color w:val="auto"/>
                      <w:kern w:val="0"/>
                      <w:szCs w:val="21"/>
                      <w:lang w:val="en-US" w:eastAsia="zh-CN"/>
                    </w:rPr>
                    <w:t>、</w:t>
                  </w:r>
                  <w:r>
                    <w:rPr>
                      <w:rFonts w:hint="eastAsia" w:cs="Times New Roman"/>
                      <w:color w:val="auto"/>
                      <w:kern w:val="0"/>
                      <w:szCs w:val="21"/>
                      <w:lang w:val="en-US" w:eastAsia="zh-CN"/>
                    </w:rPr>
                    <w:t>高压灭菌蒸汽冷凝废水、地面清洗废水</w:t>
                  </w:r>
                </w:p>
              </w:tc>
              <w:tc>
                <w:tcPr>
                  <w:tcW w:w="2913" w:type="dxa"/>
                  <w:tcBorders>
                    <w:tl2br w:val="nil"/>
                    <w:tr2bl w:val="nil"/>
                  </w:tcBorders>
                  <w:vAlign w:val="center"/>
                </w:tcPr>
                <w:p w14:paraId="4C3B95E5">
                  <w:pPr>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纯水系统产生的浓水、第三遍器皿清洗废水</w:t>
                  </w:r>
                  <w:r>
                    <w:rPr>
                      <w:rFonts w:hint="eastAsia" w:cs="Times New Roman"/>
                      <w:color w:val="auto"/>
                      <w:kern w:val="0"/>
                      <w:szCs w:val="21"/>
                      <w:lang w:val="en-US" w:eastAsia="zh-CN"/>
                    </w:rPr>
                    <w:t>、</w:t>
                  </w:r>
                  <w:r>
                    <w:rPr>
                      <w:rFonts w:hint="default" w:ascii="Times New Roman" w:hAnsi="Times New Roman" w:cs="Times New Roman"/>
                      <w:color w:val="auto"/>
                      <w:kern w:val="0"/>
                      <w:szCs w:val="21"/>
                      <w:lang w:val="en-US" w:eastAsia="zh-CN"/>
                    </w:rPr>
                    <w:t>仪器设备废水</w:t>
                  </w:r>
                </w:p>
              </w:tc>
              <w:tc>
                <w:tcPr>
                  <w:tcW w:w="1154" w:type="dxa"/>
                  <w:tcBorders>
                    <w:tl2br w:val="nil"/>
                    <w:tr2bl w:val="nil"/>
                  </w:tcBorders>
                  <w:vAlign w:val="center"/>
                </w:tcPr>
                <w:p w14:paraId="4BF0059A">
                  <w:pPr>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highlight w:val="none"/>
                      <w:lang w:val="en-US" w:eastAsia="zh-CN"/>
                    </w:rPr>
                    <w:t>可类比</w:t>
                  </w:r>
                </w:p>
              </w:tc>
            </w:tr>
            <w:tr w14:paraId="5BECD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1184" w:type="dxa"/>
                  <w:tcBorders>
                    <w:tl2br w:val="nil"/>
                    <w:tr2bl w:val="nil"/>
                  </w:tcBorders>
                  <w:vAlign w:val="center"/>
                </w:tcPr>
                <w:p w14:paraId="1ECE35B0">
                  <w:pPr>
                    <w:adjustRightInd w:val="0"/>
                    <w:snapToGrid w:val="0"/>
                    <w:jc w:val="center"/>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废水处理措施及排放方式</w:t>
                  </w:r>
                </w:p>
              </w:tc>
              <w:tc>
                <w:tcPr>
                  <w:tcW w:w="2727" w:type="dxa"/>
                  <w:tcBorders>
                    <w:tl2br w:val="nil"/>
                    <w:tr2bl w:val="nil"/>
                  </w:tcBorders>
                  <w:vAlign w:val="center"/>
                </w:tcPr>
                <w:p w14:paraId="55FF0110">
                  <w:pPr>
                    <w:adjustRightInd w:val="0"/>
                    <w:snapToGrid w:val="0"/>
                    <w:jc w:val="center"/>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化粪池预处理，然后排入市政污水管网</w:t>
                  </w:r>
                </w:p>
              </w:tc>
              <w:tc>
                <w:tcPr>
                  <w:tcW w:w="2913" w:type="dxa"/>
                  <w:tcBorders>
                    <w:tl2br w:val="nil"/>
                    <w:tr2bl w:val="nil"/>
                  </w:tcBorders>
                  <w:vAlign w:val="center"/>
                </w:tcPr>
                <w:p w14:paraId="11465A06">
                  <w:pPr>
                    <w:adjustRightInd w:val="0"/>
                    <w:snapToGrid w:val="0"/>
                    <w:jc w:val="center"/>
                    <w:rPr>
                      <w:rFonts w:hint="eastAsia"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化粪池预处理，然后排入市政污水管网</w:t>
                  </w:r>
                </w:p>
              </w:tc>
              <w:tc>
                <w:tcPr>
                  <w:tcW w:w="1154" w:type="dxa"/>
                  <w:tcBorders>
                    <w:tl2br w:val="nil"/>
                    <w:tr2bl w:val="nil"/>
                  </w:tcBorders>
                  <w:vAlign w:val="center"/>
                </w:tcPr>
                <w:p w14:paraId="590737CC">
                  <w:pPr>
                    <w:adjustRightInd w:val="0"/>
                    <w:snapToGrid w:val="0"/>
                    <w:jc w:val="center"/>
                    <w:rPr>
                      <w:rFonts w:hint="default" w:ascii="Times New Roman" w:hAnsi="Times New Roman" w:cs="Times New Roman"/>
                      <w:color w:val="auto"/>
                      <w:kern w:val="0"/>
                      <w:szCs w:val="21"/>
                      <w:lang w:val="en-US" w:eastAsia="zh-CN"/>
                    </w:rPr>
                  </w:pPr>
                  <w:r>
                    <w:rPr>
                      <w:rFonts w:hint="default" w:ascii="Times New Roman" w:hAnsi="Times New Roman" w:eastAsia="宋体" w:cs="Times New Roman"/>
                      <w:color w:val="auto"/>
                      <w:highlight w:val="none"/>
                      <w:lang w:val="en-US" w:eastAsia="zh-CN"/>
                    </w:rPr>
                    <w:t>可类比</w:t>
                  </w:r>
                </w:p>
              </w:tc>
            </w:tr>
          </w:tbl>
          <w:p w14:paraId="4F12BE3E">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类比项目检测报告中废水污染物最高排放浓度为：COD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：97.5mg/L，氨氮：40.2mg/L</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则本项目COD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、氨氮排放量如下：</w:t>
            </w:r>
          </w:p>
          <w:p w14:paraId="2EC2F627">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COD</w:t>
            </w:r>
            <w:r>
              <w:rPr>
                <w:rFonts w:hint="default" w:ascii="Times New Roman" w:hAnsi="Times New Roman" w:eastAsia="宋体" w:cs="Times New Roman"/>
                <w:color w:val="auto"/>
                <w:sz w:val="24"/>
                <w:highlight w:val="none"/>
                <w:vertAlign w:val="subscript"/>
                <w:lang w:val="en-US" w:eastAsia="zh-CN"/>
              </w:rPr>
              <w:t>Cr</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403.29</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97.5</w:t>
            </w:r>
            <w:r>
              <w:rPr>
                <w:rFonts w:hint="default" w:ascii="Times New Roman" w:hAnsi="Times New Roman" w:eastAsia="宋体" w:cs="Times New Roman"/>
                <w:color w:val="auto"/>
                <w:sz w:val="24"/>
                <w:highlight w:val="none"/>
                <w:lang w:val="en-US" w:eastAsia="zh-CN"/>
              </w:rPr>
              <w:t>mg/L×10</w:t>
            </w:r>
            <w:r>
              <w:rPr>
                <w:rFonts w:hint="default" w:ascii="Times New Roman" w:hAnsi="Times New Roman" w:eastAsia="宋体" w:cs="Times New Roman"/>
                <w:color w:val="auto"/>
                <w:sz w:val="24"/>
                <w:highlight w:val="none"/>
                <w:vertAlign w:val="superscript"/>
                <w:lang w:val="en-US" w:eastAsia="zh-CN"/>
              </w:rPr>
              <w:t>-6</w:t>
            </w:r>
            <w:r>
              <w:rPr>
                <w:rFonts w:hint="eastAsia" w:cs="Times New Roman"/>
                <w:color w:val="auto"/>
                <w:sz w:val="24"/>
                <w:highlight w:val="none"/>
                <w:vertAlign w:val="superscript"/>
                <w:lang w:val="en-US" w:eastAsia="zh-CN"/>
              </w:rPr>
              <w:t xml:space="preserve"> </w:t>
            </w:r>
            <w:r>
              <w:rPr>
                <w:rFonts w:hint="default" w:ascii="Times New Roman" w:hAnsi="Times New Roman" w:eastAsia="宋体" w:cs="Times New Roman"/>
                <w:color w:val="auto"/>
                <w:sz w:val="24"/>
                <w:highlight w:val="none"/>
                <w:lang w:val="en-US" w:eastAsia="zh-CN"/>
              </w:rPr>
              <w:t>=0.0</w:t>
            </w:r>
            <w:r>
              <w:rPr>
                <w:rFonts w:hint="eastAsia" w:cs="Times New Roman"/>
                <w:color w:val="auto"/>
                <w:sz w:val="24"/>
                <w:highlight w:val="none"/>
                <w:lang w:val="en-US" w:eastAsia="zh-CN"/>
              </w:rPr>
              <w:t>393</w:t>
            </w:r>
            <w:r>
              <w:rPr>
                <w:rFonts w:hint="default" w:ascii="Times New Roman" w:hAnsi="Times New Roman" w:eastAsia="宋体" w:cs="Times New Roman"/>
                <w:color w:val="auto"/>
                <w:sz w:val="24"/>
                <w:highlight w:val="none"/>
                <w:lang w:val="en-US" w:eastAsia="zh-CN"/>
              </w:rPr>
              <w:t>t/a</w:t>
            </w:r>
          </w:p>
          <w:p w14:paraId="6F583F81">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氨氮=</w:t>
            </w:r>
            <w:r>
              <w:rPr>
                <w:rFonts w:hint="eastAsia" w:cs="Times New Roman"/>
                <w:color w:val="auto"/>
                <w:sz w:val="24"/>
                <w:highlight w:val="none"/>
                <w:lang w:val="en-US" w:eastAsia="zh-CN"/>
              </w:rPr>
              <w:t>403.29</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40.2</w:t>
            </w:r>
            <w:r>
              <w:rPr>
                <w:rFonts w:hint="default" w:ascii="Times New Roman" w:hAnsi="Times New Roman" w:eastAsia="宋体" w:cs="Times New Roman"/>
                <w:color w:val="auto"/>
                <w:sz w:val="24"/>
                <w:highlight w:val="none"/>
                <w:lang w:val="en-US" w:eastAsia="zh-CN"/>
              </w:rPr>
              <w:t>mg/L×10</w:t>
            </w:r>
            <w:r>
              <w:rPr>
                <w:rFonts w:hint="default" w:ascii="Times New Roman" w:hAnsi="Times New Roman" w:eastAsia="宋体" w:cs="Times New Roman"/>
                <w:color w:val="auto"/>
                <w:sz w:val="24"/>
                <w:highlight w:val="none"/>
                <w:vertAlign w:val="superscript"/>
                <w:lang w:val="en-US" w:eastAsia="zh-CN"/>
              </w:rPr>
              <w:t>-6</w:t>
            </w:r>
            <w:r>
              <w:rPr>
                <w:rFonts w:hint="eastAsia" w:cs="Times New Roman"/>
                <w:color w:val="auto"/>
                <w:sz w:val="24"/>
                <w:highlight w:val="none"/>
                <w:vertAlign w:val="superscript"/>
                <w:lang w:val="en-US" w:eastAsia="zh-CN"/>
              </w:rPr>
              <w:t xml:space="preserve"> </w:t>
            </w:r>
            <w:r>
              <w:rPr>
                <w:rFonts w:hint="default" w:ascii="Times New Roman" w:hAnsi="Times New Roman" w:eastAsia="宋体" w:cs="Times New Roman"/>
                <w:color w:val="auto"/>
                <w:sz w:val="24"/>
                <w:highlight w:val="none"/>
                <w:lang w:val="en-US" w:eastAsia="zh-CN"/>
              </w:rPr>
              <w:t>=0.0</w:t>
            </w:r>
            <w:r>
              <w:rPr>
                <w:rFonts w:hint="eastAsia" w:cs="Times New Roman"/>
                <w:color w:val="auto"/>
                <w:sz w:val="24"/>
                <w:highlight w:val="none"/>
                <w:lang w:val="en-US" w:eastAsia="zh-CN"/>
              </w:rPr>
              <w:t>162</w:t>
            </w:r>
            <w:r>
              <w:rPr>
                <w:rFonts w:hint="default" w:ascii="Times New Roman" w:hAnsi="Times New Roman" w:eastAsia="宋体" w:cs="Times New Roman"/>
                <w:color w:val="auto"/>
                <w:sz w:val="24"/>
                <w:highlight w:val="none"/>
                <w:lang w:val="en-US" w:eastAsia="zh-CN"/>
              </w:rPr>
              <w:t>t/a</w:t>
            </w:r>
          </w:p>
          <w:p w14:paraId="266B44CC">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综上，据上述两种源强核算方法分析，考虑到不同企业实际运行过程中存在差异，类比数据存在一定的误差。因此，本项目选用排污系数法进行总量核算</w:t>
            </w:r>
            <w:r>
              <w:rPr>
                <w:rFonts w:hint="eastAsia" w:cs="Times New Roman"/>
                <w:color w:val="auto"/>
                <w:sz w:val="24"/>
                <w:highlight w:val="none"/>
                <w:lang w:val="en-US" w:eastAsia="zh-CN"/>
              </w:rPr>
              <w:t>排放量</w:t>
            </w:r>
            <w:r>
              <w:rPr>
                <w:rFonts w:hint="default" w:ascii="Times New Roman" w:hAnsi="Times New Roman" w:eastAsia="宋体" w:cs="Times New Roman"/>
                <w:color w:val="auto"/>
                <w:sz w:val="24"/>
                <w:highlight w:val="none"/>
                <w:lang w:val="en-US" w:eastAsia="zh-CN"/>
              </w:rPr>
              <w:t>，即COD</w:t>
            </w:r>
            <w:r>
              <w:rPr>
                <w:rFonts w:hint="default" w:ascii="Times New Roman" w:hAnsi="Times New Roman" w:eastAsia="宋体" w:cs="Times New Roman"/>
                <w:color w:val="auto"/>
                <w:sz w:val="24"/>
                <w:highlight w:val="none"/>
                <w:vertAlign w:val="subscript"/>
                <w:lang w:val="en-US" w:eastAsia="zh-CN"/>
              </w:rPr>
              <w:t>Cr</w:t>
            </w:r>
            <w:r>
              <w:rPr>
                <w:rFonts w:hint="eastAsia" w:cs="Times New Roman"/>
                <w:color w:val="auto"/>
                <w:sz w:val="24"/>
                <w:highlight w:val="none"/>
                <w:vertAlign w:val="baseline"/>
                <w:lang w:val="en-US" w:eastAsia="zh-CN"/>
              </w:rPr>
              <w:t>为</w:t>
            </w:r>
            <w:r>
              <w:rPr>
                <w:rFonts w:hint="eastAsia" w:cs="Times New Roman"/>
                <w:color w:val="auto"/>
                <w:sz w:val="24"/>
                <w:highlight w:val="none"/>
                <w:lang w:val="en-US" w:eastAsia="zh-CN"/>
              </w:rPr>
              <w:t>0.1540</w:t>
            </w:r>
            <w:r>
              <w:rPr>
                <w:rFonts w:hint="default" w:ascii="Times New Roman" w:hAnsi="Times New Roman" w:eastAsia="宋体" w:cs="Times New Roman"/>
                <w:color w:val="auto"/>
                <w:sz w:val="24"/>
                <w:highlight w:val="none"/>
                <w:lang w:val="en-US" w:eastAsia="zh-CN"/>
              </w:rPr>
              <w:t>t/a，氨氮为0.</w:t>
            </w:r>
            <w:r>
              <w:rPr>
                <w:rFonts w:hint="eastAsia" w:cs="Times New Roman"/>
                <w:color w:val="auto"/>
                <w:sz w:val="24"/>
                <w:highlight w:val="none"/>
                <w:lang w:val="en-US" w:eastAsia="zh-CN"/>
              </w:rPr>
              <w:t>0156</w:t>
            </w:r>
            <w:r>
              <w:rPr>
                <w:rFonts w:hint="default" w:ascii="Times New Roman" w:hAnsi="Times New Roman" w:eastAsia="宋体" w:cs="Times New Roman"/>
                <w:color w:val="auto"/>
                <w:sz w:val="24"/>
                <w:highlight w:val="none"/>
                <w:lang w:val="en-US" w:eastAsia="zh-CN"/>
              </w:rPr>
              <w:t>t/a。</w:t>
            </w:r>
          </w:p>
          <w:p w14:paraId="52ACD64A">
            <w:pPr>
              <w:pStyle w:val="6"/>
              <w:adjustRightInd w:val="0"/>
              <w:spacing w:line="360" w:lineRule="auto"/>
              <w:ind w:firstLine="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 xml:space="preserve">三、减排潜力分析 </w:t>
            </w:r>
          </w:p>
          <w:p w14:paraId="3EE3C210">
            <w:pPr>
              <w:snapToGrid w:val="0"/>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迁建后原址相关设施均全部移至新址，原址不再保留，建设单位除本项目外在本区域无其他相关联项目，因此无相关减排来源，不具备污染物减排潜力。</w:t>
            </w:r>
          </w:p>
          <w:p w14:paraId="06ADB6EA">
            <w:pPr>
              <w:pStyle w:val="6"/>
              <w:adjustRightInd w:val="0"/>
              <w:spacing w:line="360" w:lineRule="auto"/>
              <w:ind w:firstLine="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四、总量来源</w:t>
            </w:r>
          </w:p>
          <w:p w14:paraId="16D2726A">
            <w:pPr>
              <w:adjustRightInd w:val="0"/>
              <w:spacing w:line="360" w:lineRule="auto"/>
              <w:ind w:firstLine="480" w:firstLineChars="200"/>
              <w:jc w:val="left"/>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根据北京市环境保护局关于《转发环境保护部&lt;建设项目主要污染物排放总量指标审核及管理暂行办法&gt;的通知（京环发[2015]19号，2015年7月15日起执行）中的相关规定：</w:t>
            </w:r>
            <w:r>
              <w:rPr>
                <w:rFonts w:hint="eastAsia" w:cs="Times New Roman"/>
                <w:bCs/>
                <w:color w:val="auto"/>
                <w:sz w:val="24"/>
                <w:highlight w:val="none"/>
                <w:lang w:eastAsia="zh-CN"/>
              </w:rPr>
              <w:t>“</w:t>
            </w:r>
            <w:r>
              <w:rPr>
                <w:rFonts w:hint="default" w:ascii="Times New Roman" w:hAnsi="Times New Roman" w:eastAsia="宋体" w:cs="Times New Roman"/>
                <w:bCs/>
                <w:color w:val="auto"/>
                <w:sz w:val="24"/>
                <w:highlight w:val="none"/>
              </w:rPr>
              <w:t>该办法适用于各级环境保护主管部门对建设项目（不含城镇生活污水处理厂、垃圾处理场、危险废物和医疗废物处置场）主要污染排放总量指标的审核与管理。上一年度环境空气质量平均浓度不达标的城市、水环境质量未到要求的市县，相关污染物应按照建设项目所需替代的主要排放总量指标2倍进行削减替代。</w:t>
            </w:r>
            <w:r>
              <w:rPr>
                <w:rFonts w:hint="eastAsia" w:cs="Times New Roman"/>
                <w:bCs/>
                <w:color w:val="auto"/>
                <w:sz w:val="24"/>
                <w:highlight w:val="none"/>
                <w:lang w:eastAsia="zh-CN"/>
              </w:rPr>
              <w:t>”</w:t>
            </w:r>
          </w:p>
          <w:p w14:paraId="67B30247">
            <w:pPr>
              <w:tabs>
                <w:tab w:val="left" w:pos="1484"/>
              </w:tabs>
              <w:adjustRightInd w:val="0"/>
              <w:snapToGrid w:val="0"/>
              <w:spacing w:line="360" w:lineRule="auto"/>
              <w:ind w:firstLine="480" w:firstLineChars="200"/>
              <w:rPr>
                <w:rFonts w:hint="eastAsia" w:cs="Times New Roman"/>
                <w:color w:val="auto"/>
                <w:sz w:val="24"/>
                <w:highlight w:val="none"/>
                <w:lang w:val="en-US" w:eastAsia="zh-CN"/>
              </w:rPr>
            </w:pPr>
            <w:r>
              <w:rPr>
                <w:rFonts w:hint="default" w:ascii="Times New Roman" w:hAnsi="Times New Roman" w:eastAsia="宋体" w:cs="Times New Roman"/>
                <w:color w:val="auto"/>
                <w:sz w:val="24"/>
                <w:highlight w:val="none"/>
                <w:lang w:val="en-US"/>
              </w:rPr>
              <w:t>《北京市人民政府办公厅关于印发《推进美丽北京建设持续深入打好污染防治攻坚战2025年行动计划》的通知》（京政办发〔2025〕3号）中蓝天保卫战2025年行动计划，北京市2025年大气污染总量减排目标的工作措施为</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各区完成</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十四五</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挥发性有机物(VOCs)、氮氧化物(NOx)减排目标任务。新增涉气建设项目严格执行VOCs、NOx等主要污染物排放总量控制，实施</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减二增一</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rPr>
              <w:t>削减量替代审批制度。本项目挥发性有机物</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氮氧化物</w:t>
            </w:r>
            <w:r>
              <w:rPr>
                <w:rFonts w:hint="default" w:ascii="Times New Roman" w:hAnsi="Times New Roman" w:eastAsia="宋体" w:cs="Times New Roman"/>
                <w:color w:val="auto"/>
                <w:sz w:val="24"/>
                <w:highlight w:val="none"/>
                <w:lang w:val="en-US"/>
              </w:rPr>
              <w:t>进行2倍削减替代</w:t>
            </w:r>
            <w:r>
              <w:rPr>
                <w:rFonts w:hint="eastAsia" w:cs="Times New Roman"/>
                <w:color w:val="auto"/>
                <w:sz w:val="24"/>
                <w:highlight w:val="none"/>
                <w:lang w:val="en-US" w:eastAsia="zh-CN"/>
              </w:rPr>
              <w:t>。</w:t>
            </w:r>
          </w:p>
          <w:p w14:paraId="2D4C7EA1">
            <w:pPr>
              <w:tabs>
                <w:tab w:val="left" w:pos="1484"/>
              </w:tabs>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本项目属于迁建项目，</w:t>
            </w:r>
            <w:r>
              <w:rPr>
                <w:rFonts w:hint="eastAsia" w:cs="Times New Roman"/>
                <w:color w:val="auto"/>
                <w:sz w:val="24"/>
                <w:highlight w:val="none"/>
                <w:lang w:val="en-US" w:eastAsia="zh-CN"/>
              </w:rPr>
              <w:t>迁建后原项目停止运营，</w:t>
            </w:r>
            <w:r>
              <w:rPr>
                <w:rFonts w:hint="eastAsia" w:ascii="Times New Roman" w:hAnsi="Times New Roman" w:eastAsia="宋体" w:cs="Times New Roman"/>
                <w:color w:val="auto"/>
                <w:sz w:val="24"/>
                <w:highlight w:val="none"/>
                <w:lang w:val="en-US" w:eastAsia="zh-CN"/>
              </w:rPr>
              <w:t>原址与新址均</w:t>
            </w:r>
            <w:r>
              <w:rPr>
                <w:rFonts w:hint="eastAsia" w:cs="Times New Roman"/>
                <w:color w:val="auto"/>
                <w:sz w:val="24"/>
                <w:highlight w:val="none"/>
                <w:lang w:val="en-US" w:eastAsia="zh-CN"/>
              </w:rPr>
              <w:t>在同一园区内，均</w:t>
            </w:r>
            <w:r>
              <w:rPr>
                <w:rFonts w:hint="eastAsia" w:ascii="Times New Roman" w:hAnsi="Times New Roman" w:eastAsia="宋体" w:cs="Times New Roman"/>
                <w:color w:val="auto"/>
                <w:sz w:val="24"/>
                <w:highlight w:val="none"/>
                <w:lang w:val="en-US" w:eastAsia="zh-CN"/>
              </w:rPr>
              <w:t>属于北京经济技术开发区，故本项目总量指标利用原有指标的基础上进行分析。综上，迁建后运营期间污染物排放总量控制指标见</w:t>
            </w:r>
            <w:r>
              <w:rPr>
                <w:rFonts w:hint="eastAsia" w:cs="Times New Roman"/>
                <w:color w:val="auto"/>
                <w:sz w:val="24"/>
                <w:highlight w:val="none"/>
                <w:lang w:val="en-US" w:eastAsia="zh-CN"/>
              </w:rPr>
              <w:t>下</w:t>
            </w:r>
            <w:r>
              <w:rPr>
                <w:rFonts w:hint="eastAsia" w:ascii="Times New Roman" w:hAnsi="Times New Roman" w:eastAsia="宋体" w:cs="Times New Roman"/>
                <w:color w:val="auto"/>
                <w:sz w:val="24"/>
                <w:highlight w:val="none"/>
                <w:lang w:val="en-US" w:eastAsia="zh-CN"/>
              </w:rPr>
              <w:t>表</w:t>
            </w:r>
            <w:r>
              <w:rPr>
                <w:rFonts w:hint="default" w:ascii="Times New Roman" w:hAnsi="Times New Roman" w:eastAsia="宋体" w:cs="Times New Roman"/>
                <w:color w:val="auto"/>
                <w:sz w:val="24"/>
                <w:highlight w:val="none"/>
                <w:lang w:val="en-US"/>
              </w:rPr>
              <w:t>。</w:t>
            </w:r>
          </w:p>
          <w:p w14:paraId="0C8D1235">
            <w:pPr>
              <w:numPr>
                <w:ilvl w:val="0"/>
                <w:numId w:val="24"/>
              </w:numPr>
              <w:spacing w:line="360" w:lineRule="auto"/>
              <w:jc w:val="center"/>
              <w:rPr>
                <w:rFonts w:hint="default" w:ascii="Times New Roman" w:hAnsi="Times New Roman" w:eastAsia="宋体" w:cs="Times New Roman"/>
                <w:b/>
                <w:color w:val="auto"/>
                <w:sz w:val="24"/>
                <w:highlight w:val="none"/>
                <w:lang w:val="zh-CN"/>
              </w:rPr>
            </w:pPr>
            <w:r>
              <w:rPr>
                <w:rFonts w:hint="default" w:ascii="Times New Roman" w:hAnsi="Times New Roman" w:eastAsia="宋体" w:cs="Times New Roman"/>
                <w:b/>
                <w:color w:val="auto"/>
                <w:sz w:val="24"/>
                <w:highlight w:val="none"/>
              </w:rPr>
              <w:t>总量控制指标</w:t>
            </w:r>
          </w:p>
          <w:tbl>
            <w:tblPr>
              <w:tblStyle w:val="24"/>
              <w:tblW w:w="801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508"/>
              <w:gridCol w:w="1509"/>
              <w:gridCol w:w="1102"/>
              <w:gridCol w:w="982"/>
              <w:gridCol w:w="1113"/>
              <w:gridCol w:w="1123"/>
            </w:tblGrid>
            <w:tr w14:paraId="069F7C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vAlign w:val="center"/>
                </w:tcPr>
                <w:p w14:paraId="3D5526DC">
                  <w:pPr>
                    <w:adjustRightInd w:val="0"/>
                    <w:snapToGrid w:val="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类别</w:t>
                  </w:r>
                </w:p>
              </w:tc>
              <w:tc>
                <w:tcPr>
                  <w:tcW w:w="1508" w:type="dxa"/>
                  <w:tcBorders>
                    <w:tl2br w:val="nil"/>
                    <w:tr2bl w:val="nil"/>
                  </w:tcBorders>
                  <w:vAlign w:val="center"/>
                </w:tcPr>
                <w:p w14:paraId="07E35F9F">
                  <w:pPr>
                    <w:adjustRightInd w:val="0"/>
                    <w:snapToGrid w:val="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污染物污染物</w:t>
                  </w:r>
                </w:p>
              </w:tc>
              <w:tc>
                <w:tcPr>
                  <w:tcW w:w="1509" w:type="dxa"/>
                  <w:tcBorders>
                    <w:tl2br w:val="nil"/>
                    <w:tr2bl w:val="nil"/>
                  </w:tcBorders>
                  <w:vAlign w:val="center"/>
                </w:tcPr>
                <w:p w14:paraId="7AE5FAB3">
                  <w:pPr>
                    <w:adjustRightInd w:val="0"/>
                    <w:snapToGrid w:val="0"/>
                    <w:jc w:val="center"/>
                    <w:rPr>
                      <w:rFonts w:hint="default" w:ascii="Times New Roman" w:hAnsi="Times New Roman" w:eastAsia="宋体" w:cs="Times New Roman"/>
                      <w:b/>
                      <w:bCs/>
                      <w:color w:val="auto"/>
                      <w:szCs w:val="21"/>
                      <w:highlight w:val="none"/>
                      <w:lang w:val="zh-CN"/>
                    </w:rPr>
                  </w:pPr>
                  <w:r>
                    <w:rPr>
                      <w:rFonts w:hint="eastAsia" w:cs="Times New Roman"/>
                      <w:b/>
                      <w:bCs/>
                      <w:color w:val="auto"/>
                      <w:szCs w:val="21"/>
                      <w:highlight w:val="none"/>
                      <w:lang w:val="en-US" w:eastAsia="zh-CN"/>
                    </w:rPr>
                    <w:t>现有项目许可</w:t>
                  </w:r>
                  <w:r>
                    <w:rPr>
                      <w:rFonts w:hint="default" w:ascii="Times New Roman" w:hAnsi="Times New Roman" w:eastAsia="宋体" w:cs="Times New Roman"/>
                      <w:b/>
                      <w:bCs/>
                      <w:color w:val="auto"/>
                      <w:szCs w:val="21"/>
                      <w:highlight w:val="none"/>
                      <w:lang w:val="zh-CN"/>
                    </w:rPr>
                    <w:t>排放量（t/a）</w:t>
                  </w:r>
                </w:p>
              </w:tc>
              <w:tc>
                <w:tcPr>
                  <w:tcW w:w="1102" w:type="dxa"/>
                  <w:tcBorders>
                    <w:tl2br w:val="nil"/>
                    <w:tr2bl w:val="nil"/>
                  </w:tcBorders>
                  <w:vAlign w:val="center"/>
                </w:tcPr>
                <w:p w14:paraId="646E4DCC">
                  <w:pPr>
                    <w:adjustRightInd w:val="0"/>
                    <w:snapToGrid w:val="0"/>
                    <w:jc w:val="center"/>
                    <w:rPr>
                      <w:rFonts w:hint="default" w:ascii="Times New Roman" w:hAnsi="Times New Roman" w:eastAsia="宋体" w:cs="Times New Roman"/>
                      <w:b/>
                      <w:bCs/>
                      <w:color w:val="auto"/>
                      <w:szCs w:val="21"/>
                      <w:highlight w:val="none"/>
                      <w:lang w:val="zh-CN"/>
                    </w:rPr>
                  </w:pPr>
                  <w:r>
                    <w:rPr>
                      <w:rFonts w:hint="eastAsia" w:cs="Times New Roman"/>
                      <w:b/>
                      <w:bCs/>
                      <w:color w:val="auto"/>
                      <w:szCs w:val="21"/>
                      <w:highlight w:val="none"/>
                      <w:lang w:val="en-US" w:eastAsia="zh-CN"/>
                    </w:rPr>
                    <w:t>本项目</w:t>
                  </w:r>
                  <w:r>
                    <w:rPr>
                      <w:rFonts w:hint="default" w:ascii="Times New Roman" w:hAnsi="Times New Roman" w:eastAsia="宋体" w:cs="Times New Roman"/>
                      <w:b/>
                      <w:bCs/>
                      <w:color w:val="auto"/>
                      <w:szCs w:val="21"/>
                      <w:highlight w:val="none"/>
                      <w:lang w:val="zh-CN"/>
                    </w:rPr>
                    <w:t>排放量（t/a）</w:t>
                  </w:r>
                </w:p>
              </w:tc>
              <w:tc>
                <w:tcPr>
                  <w:tcW w:w="982" w:type="dxa"/>
                  <w:tcBorders>
                    <w:tl2br w:val="nil"/>
                    <w:tr2bl w:val="nil"/>
                  </w:tcBorders>
                  <w:vAlign w:val="center"/>
                </w:tcPr>
                <w:p w14:paraId="5F49494F">
                  <w:pPr>
                    <w:adjustRightInd w:val="0"/>
                    <w:snapToGrid w:val="0"/>
                    <w:jc w:val="center"/>
                    <w:rPr>
                      <w:rFonts w:hint="eastAsia"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增减量</w:t>
                  </w:r>
                  <w:r>
                    <w:rPr>
                      <w:rFonts w:hint="default" w:ascii="Times New Roman" w:hAnsi="Times New Roman" w:eastAsia="宋体" w:cs="Times New Roman"/>
                      <w:b/>
                      <w:bCs/>
                      <w:color w:val="auto"/>
                      <w:szCs w:val="21"/>
                      <w:highlight w:val="none"/>
                      <w:lang w:val="zh-CN"/>
                    </w:rPr>
                    <w:t>（t/a）</w:t>
                  </w:r>
                </w:p>
              </w:tc>
              <w:tc>
                <w:tcPr>
                  <w:tcW w:w="1113" w:type="dxa"/>
                  <w:tcBorders>
                    <w:tl2br w:val="nil"/>
                    <w:tr2bl w:val="nil"/>
                  </w:tcBorders>
                  <w:vAlign w:val="center"/>
                </w:tcPr>
                <w:p w14:paraId="57F358DD">
                  <w:pPr>
                    <w:adjustRightInd w:val="0"/>
                    <w:snapToGrid w:val="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1倍削减量（t/a）</w:t>
                  </w:r>
                </w:p>
              </w:tc>
              <w:tc>
                <w:tcPr>
                  <w:tcW w:w="1123" w:type="dxa"/>
                  <w:tcBorders>
                    <w:tl2br w:val="nil"/>
                    <w:tr2bl w:val="nil"/>
                  </w:tcBorders>
                  <w:vAlign w:val="center"/>
                </w:tcPr>
                <w:p w14:paraId="732CCB1F">
                  <w:pPr>
                    <w:adjustRightInd w:val="0"/>
                    <w:snapToGrid w:val="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2倍削减量（t/a）</w:t>
                  </w:r>
                </w:p>
              </w:tc>
            </w:tr>
            <w:tr w14:paraId="4B903A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restart"/>
                  <w:tcBorders>
                    <w:tl2br w:val="nil"/>
                    <w:tr2bl w:val="nil"/>
                  </w:tcBorders>
                  <w:vAlign w:val="center"/>
                </w:tcPr>
                <w:p w14:paraId="528B7563">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废气</w:t>
                  </w:r>
                </w:p>
              </w:tc>
              <w:tc>
                <w:tcPr>
                  <w:tcW w:w="1508" w:type="dxa"/>
                  <w:tcBorders>
                    <w:tl2br w:val="nil"/>
                    <w:tr2bl w:val="nil"/>
                  </w:tcBorders>
                  <w:vAlign w:val="center"/>
                </w:tcPr>
                <w:p w14:paraId="068A3AE2">
                  <w:pPr>
                    <w:adjustRightInd w:val="0"/>
                    <w:snapToGrid w:val="0"/>
                    <w:jc w:val="center"/>
                    <w:rPr>
                      <w:rFonts w:hint="default" w:ascii="Times New Roman" w:hAnsi="Times New Roman" w:eastAsia="宋体" w:cs="Times New Roman"/>
                      <w:bCs/>
                      <w:color w:val="auto"/>
                      <w:szCs w:val="21"/>
                      <w:highlight w:val="none"/>
                      <w:lang w:val="zh-CN" w:eastAsia="zh-CN"/>
                    </w:rPr>
                  </w:pPr>
                  <w:r>
                    <w:rPr>
                      <w:rFonts w:hint="default" w:ascii="Times New Roman" w:hAnsi="Times New Roman" w:eastAsia="宋体" w:cs="Times New Roman"/>
                      <w:bCs/>
                      <w:color w:val="auto"/>
                      <w:szCs w:val="21"/>
                      <w:highlight w:val="none"/>
                      <w:lang w:val="en-US" w:eastAsia="zh-CN"/>
                    </w:rPr>
                    <w:t>挥发性有机物</w:t>
                  </w:r>
                </w:p>
              </w:tc>
              <w:tc>
                <w:tcPr>
                  <w:tcW w:w="1509" w:type="dxa"/>
                  <w:tcBorders>
                    <w:tl2br w:val="nil"/>
                    <w:tr2bl w:val="nil"/>
                  </w:tcBorders>
                  <w:shd w:val="clear" w:color="auto" w:fill="auto"/>
                  <w:vAlign w:val="center"/>
                </w:tcPr>
                <w:p w14:paraId="387705A2">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0.007</w:t>
                  </w:r>
                </w:p>
              </w:tc>
              <w:tc>
                <w:tcPr>
                  <w:tcW w:w="1102" w:type="dxa"/>
                  <w:tcBorders>
                    <w:tl2br w:val="nil"/>
                    <w:tr2bl w:val="nil"/>
                  </w:tcBorders>
                  <w:vAlign w:val="center"/>
                </w:tcPr>
                <w:p w14:paraId="0BB21D4B">
                  <w:pPr>
                    <w:adjustRightInd w:val="0"/>
                    <w:snapToGrid w:val="0"/>
                    <w:jc w:val="center"/>
                    <w:rPr>
                      <w:rFonts w:hint="default" w:ascii="Times New Roman" w:hAnsi="Times New Roman" w:eastAsia="宋体" w:cs="Times New Roman"/>
                      <w:bCs/>
                      <w:color w:val="auto"/>
                      <w:szCs w:val="21"/>
                      <w:highlight w:val="none"/>
                      <w:lang w:val="en-US" w:eastAsia="zh-CN"/>
                    </w:rPr>
                  </w:pPr>
                </w:p>
              </w:tc>
              <w:tc>
                <w:tcPr>
                  <w:tcW w:w="982" w:type="dxa"/>
                  <w:tcBorders>
                    <w:tl2br w:val="nil"/>
                    <w:tr2bl w:val="nil"/>
                  </w:tcBorders>
                  <w:vAlign w:val="center"/>
                </w:tcPr>
                <w:p w14:paraId="0B748032">
                  <w:pPr>
                    <w:adjustRightInd w:val="0"/>
                    <w:snapToGrid w:val="0"/>
                    <w:jc w:val="center"/>
                    <w:rPr>
                      <w:rFonts w:hint="default" w:ascii="Times New Roman" w:hAnsi="Times New Roman" w:eastAsia="宋体" w:cs="Times New Roman"/>
                      <w:bCs/>
                      <w:color w:val="auto"/>
                      <w:szCs w:val="21"/>
                      <w:highlight w:val="none"/>
                      <w:lang w:val="en-US" w:eastAsia="zh-CN"/>
                    </w:rPr>
                  </w:pPr>
                </w:p>
              </w:tc>
              <w:tc>
                <w:tcPr>
                  <w:tcW w:w="1113" w:type="dxa"/>
                  <w:tcBorders>
                    <w:tl2br w:val="nil"/>
                    <w:tr2bl w:val="nil"/>
                  </w:tcBorders>
                  <w:vAlign w:val="center"/>
                </w:tcPr>
                <w:p w14:paraId="43FC7478">
                  <w:pPr>
                    <w:adjustRightInd w:val="0"/>
                    <w:snapToGrid w:val="0"/>
                    <w:jc w:val="center"/>
                    <w:rPr>
                      <w:rFonts w:hint="default" w:ascii="Times New Roman" w:hAnsi="Times New Roman" w:eastAsia="宋体" w:cs="Times New Roman"/>
                      <w:bCs/>
                      <w:color w:val="auto"/>
                      <w:szCs w:val="21"/>
                      <w:highlight w:val="none"/>
                      <w:lang w:val="en-US" w:eastAsia="zh-CN"/>
                    </w:rPr>
                  </w:pPr>
                </w:p>
              </w:tc>
              <w:tc>
                <w:tcPr>
                  <w:tcW w:w="1123" w:type="dxa"/>
                  <w:tcBorders>
                    <w:tl2br w:val="nil"/>
                    <w:tr2bl w:val="nil"/>
                  </w:tcBorders>
                  <w:vAlign w:val="center"/>
                </w:tcPr>
                <w:p w14:paraId="349534C2">
                  <w:pPr>
                    <w:adjustRightInd w:val="0"/>
                    <w:snapToGrid w:val="0"/>
                    <w:jc w:val="center"/>
                    <w:rPr>
                      <w:rFonts w:hint="default" w:ascii="Times New Roman" w:hAnsi="Times New Roman" w:eastAsia="宋体" w:cs="Times New Roman"/>
                      <w:bCs/>
                      <w:color w:val="auto"/>
                      <w:szCs w:val="21"/>
                      <w:highlight w:val="none"/>
                      <w:lang w:val="en-US" w:eastAsia="zh-CN"/>
                    </w:rPr>
                  </w:pPr>
                </w:p>
              </w:tc>
            </w:tr>
            <w:tr w14:paraId="660274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atLeast"/>
                <w:jc w:val="center"/>
              </w:trPr>
              <w:tc>
                <w:tcPr>
                  <w:tcW w:w="678" w:type="dxa"/>
                  <w:vMerge w:val="continue"/>
                  <w:tcBorders>
                    <w:tl2br w:val="nil"/>
                    <w:tr2bl w:val="nil"/>
                  </w:tcBorders>
                  <w:vAlign w:val="center"/>
                </w:tcPr>
                <w:p w14:paraId="7AB6BC86">
                  <w:pPr>
                    <w:adjustRightInd w:val="0"/>
                    <w:snapToGrid w:val="0"/>
                    <w:jc w:val="center"/>
                    <w:rPr>
                      <w:rFonts w:hint="default" w:ascii="Times New Roman" w:hAnsi="Times New Roman" w:eastAsia="宋体" w:cs="Times New Roman"/>
                      <w:bCs/>
                      <w:color w:val="auto"/>
                      <w:szCs w:val="21"/>
                      <w:highlight w:val="none"/>
                      <w:lang w:val="en-US" w:eastAsia="zh-CN"/>
                    </w:rPr>
                  </w:pPr>
                </w:p>
              </w:tc>
              <w:tc>
                <w:tcPr>
                  <w:tcW w:w="1508" w:type="dxa"/>
                  <w:tcBorders>
                    <w:tl2br w:val="nil"/>
                    <w:tr2bl w:val="nil"/>
                  </w:tcBorders>
                  <w:vAlign w:val="center"/>
                </w:tcPr>
                <w:p w14:paraId="2AB60C5E">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氮氧化物</w:t>
                  </w:r>
                </w:p>
              </w:tc>
              <w:tc>
                <w:tcPr>
                  <w:tcW w:w="1509" w:type="dxa"/>
                  <w:tcBorders>
                    <w:tl2br w:val="nil"/>
                    <w:tr2bl w:val="nil"/>
                  </w:tcBorders>
                  <w:shd w:val="clear" w:color="auto" w:fill="auto"/>
                  <w:vAlign w:val="center"/>
                </w:tcPr>
                <w:p w14:paraId="506853CB">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w:t>
                  </w:r>
                </w:p>
              </w:tc>
              <w:tc>
                <w:tcPr>
                  <w:tcW w:w="1102" w:type="dxa"/>
                  <w:tcBorders>
                    <w:tl2br w:val="nil"/>
                    <w:tr2bl w:val="nil"/>
                  </w:tcBorders>
                  <w:vAlign w:val="center"/>
                </w:tcPr>
                <w:p w14:paraId="159180F4">
                  <w:pPr>
                    <w:adjustRightInd w:val="0"/>
                    <w:snapToGrid w:val="0"/>
                    <w:jc w:val="center"/>
                    <w:rPr>
                      <w:rFonts w:hint="default" w:ascii="Times New Roman" w:hAnsi="Times New Roman" w:eastAsia="宋体" w:cs="Times New Roman"/>
                      <w:bCs/>
                      <w:color w:val="auto"/>
                      <w:szCs w:val="21"/>
                      <w:highlight w:val="none"/>
                      <w:lang w:val="en-US" w:eastAsia="zh-CN"/>
                    </w:rPr>
                  </w:pPr>
                </w:p>
              </w:tc>
              <w:tc>
                <w:tcPr>
                  <w:tcW w:w="982" w:type="dxa"/>
                  <w:tcBorders>
                    <w:tl2br w:val="nil"/>
                    <w:tr2bl w:val="nil"/>
                  </w:tcBorders>
                  <w:vAlign w:val="center"/>
                </w:tcPr>
                <w:p w14:paraId="7CF1EB8B">
                  <w:pPr>
                    <w:adjustRightInd w:val="0"/>
                    <w:snapToGrid w:val="0"/>
                    <w:jc w:val="center"/>
                    <w:rPr>
                      <w:rFonts w:hint="default" w:ascii="Times New Roman" w:hAnsi="Times New Roman" w:eastAsia="宋体" w:cs="Times New Roman"/>
                      <w:bCs/>
                      <w:color w:val="auto"/>
                      <w:szCs w:val="21"/>
                      <w:highlight w:val="none"/>
                      <w:lang w:val="en-US" w:eastAsia="zh-CN"/>
                    </w:rPr>
                  </w:pPr>
                </w:p>
              </w:tc>
              <w:tc>
                <w:tcPr>
                  <w:tcW w:w="1113" w:type="dxa"/>
                  <w:tcBorders>
                    <w:tl2br w:val="nil"/>
                    <w:tr2bl w:val="nil"/>
                  </w:tcBorders>
                  <w:vAlign w:val="center"/>
                </w:tcPr>
                <w:p w14:paraId="7E6AC599">
                  <w:pPr>
                    <w:adjustRightInd w:val="0"/>
                    <w:snapToGrid w:val="0"/>
                    <w:jc w:val="center"/>
                    <w:rPr>
                      <w:rFonts w:hint="eastAsia" w:cs="Times New Roman"/>
                      <w:bCs/>
                      <w:color w:val="auto"/>
                      <w:szCs w:val="21"/>
                      <w:highlight w:val="none"/>
                      <w:lang w:val="en-US" w:eastAsia="zh-CN"/>
                    </w:rPr>
                  </w:pPr>
                </w:p>
              </w:tc>
              <w:tc>
                <w:tcPr>
                  <w:tcW w:w="1123" w:type="dxa"/>
                  <w:tcBorders>
                    <w:tl2br w:val="nil"/>
                    <w:tr2bl w:val="nil"/>
                  </w:tcBorders>
                  <w:vAlign w:val="center"/>
                </w:tcPr>
                <w:p w14:paraId="21F2D77B">
                  <w:pPr>
                    <w:adjustRightInd w:val="0"/>
                    <w:snapToGrid w:val="0"/>
                    <w:jc w:val="center"/>
                    <w:rPr>
                      <w:rFonts w:hint="eastAsia" w:cs="Times New Roman"/>
                      <w:bCs/>
                      <w:color w:val="auto"/>
                      <w:szCs w:val="21"/>
                      <w:highlight w:val="none"/>
                      <w:lang w:val="en-US" w:eastAsia="zh-CN"/>
                    </w:rPr>
                  </w:pPr>
                </w:p>
              </w:tc>
            </w:tr>
            <w:tr w14:paraId="3D65FC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restart"/>
                  <w:tcBorders>
                    <w:tl2br w:val="nil"/>
                    <w:tr2bl w:val="nil"/>
                  </w:tcBorders>
                  <w:vAlign w:val="center"/>
                </w:tcPr>
                <w:p w14:paraId="412D6D65">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废水</w:t>
                  </w:r>
                </w:p>
              </w:tc>
              <w:tc>
                <w:tcPr>
                  <w:tcW w:w="1508" w:type="dxa"/>
                  <w:tcBorders>
                    <w:tl2br w:val="nil"/>
                    <w:tr2bl w:val="nil"/>
                  </w:tcBorders>
                  <w:shd w:val="clear" w:color="auto" w:fill="auto"/>
                  <w:vAlign w:val="center"/>
                </w:tcPr>
                <w:p w14:paraId="413A98C4">
                  <w:pPr>
                    <w:adjustRightInd w:val="0"/>
                    <w:snapToGrid w:val="0"/>
                    <w:jc w:val="center"/>
                    <w:rPr>
                      <w:rFonts w:hint="default" w:ascii="Times New Roman" w:hAnsi="Times New Roman" w:eastAsia="宋体" w:cs="Times New Roman"/>
                      <w:bCs/>
                      <w:color w:val="auto"/>
                      <w:szCs w:val="21"/>
                      <w:highlight w:val="none"/>
                      <w:lang w:val="zh-CN" w:eastAsia="zh-CN"/>
                    </w:rPr>
                  </w:pPr>
                  <w:r>
                    <w:rPr>
                      <w:rFonts w:hint="default" w:ascii="Times New Roman" w:hAnsi="Times New Roman" w:eastAsia="宋体" w:cs="Times New Roman"/>
                      <w:bCs/>
                      <w:color w:val="auto"/>
                      <w:szCs w:val="21"/>
                      <w:highlight w:val="none"/>
                    </w:rPr>
                    <w:t>COD</w:t>
                  </w:r>
                  <w:r>
                    <w:rPr>
                      <w:rFonts w:hint="default" w:ascii="Times New Roman" w:hAnsi="Times New Roman" w:eastAsia="宋体" w:cs="Times New Roman"/>
                      <w:bCs/>
                      <w:color w:val="auto"/>
                      <w:szCs w:val="21"/>
                      <w:highlight w:val="none"/>
                      <w:vertAlign w:val="subscript"/>
                    </w:rPr>
                    <w:t>Cr</w:t>
                  </w:r>
                </w:p>
              </w:tc>
              <w:tc>
                <w:tcPr>
                  <w:tcW w:w="1509" w:type="dxa"/>
                  <w:tcBorders>
                    <w:tl2br w:val="nil"/>
                    <w:tr2bl w:val="nil"/>
                  </w:tcBorders>
                  <w:shd w:val="clear" w:color="auto" w:fill="auto"/>
                  <w:vAlign w:val="center"/>
                </w:tcPr>
                <w:p w14:paraId="458B1B31">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0.1282</w:t>
                  </w:r>
                </w:p>
              </w:tc>
              <w:tc>
                <w:tcPr>
                  <w:tcW w:w="1102" w:type="dxa"/>
                  <w:tcBorders>
                    <w:tl2br w:val="nil"/>
                    <w:tr2bl w:val="nil"/>
                  </w:tcBorders>
                  <w:shd w:val="clear" w:color="auto" w:fill="auto"/>
                  <w:vAlign w:val="center"/>
                </w:tcPr>
                <w:p w14:paraId="7DD535D1">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Cs w:val="21"/>
                      <w:highlight w:val="none"/>
                      <w:lang w:val="en-US" w:eastAsia="zh-CN"/>
                    </w:rPr>
                    <w:t>0.1540</w:t>
                  </w:r>
                </w:p>
              </w:tc>
              <w:tc>
                <w:tcPr>
                  <w:tcW w:w="982" w:type="dxa"/>
                  <w:tcBorders>
                    <w:tl2br w:val="nil"/>
                    <w:tr2bl w:val="nil"/>
                  </w:tcBorders>
                  <w:vAlign w:val="center"/>
                </w:tcPr>
                <w:p w14:paraId="4CA91B2C">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+0.0258</w:t>
                  </w:r>
                </w:p>
              </w:tc>
              <w:tc>
                <w:tcPr>
                  <w:tcW w:w="1113" w:type="dxa"/>
                  <w:tcBorders>
                    <w:tl2br w:val="nil"/>
                    <w:tr2bl w:val="nil"/>
                  </w:tcBorders>
                  <w:shd w:val="clear" w:color="auto" w:fill="auto"/>
                  <w:vAlign w:val="center"/>
                </w:tcPr>
                <w:p w14:paraId="0A79E81A">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Cs w:val="21"/>
                      <w:highlight w:val="none"/>
                      <w:lang w:val="en-US" w:eastAsia="zh-CN"/>
                    </w:rPr>
                    <w:t>0.0258</w:t>
                  </w:r>
                </w:p>
              </w:tc>
              <w:tc>
                <w:tcPr>
                  <w:tcW w:w="1123" w:type="dxa"/>
                  <w:tcBorders>
                    <w:tl2br w:val="nil"/>
                    <w:tr2bl w:val="nil"/>
                  </w:tcBorders>
                  <w:shd w:val="clear" w:color="auto" w:fill="auto"/>
                  <w:vAlign w:val="center"/>
                </w:tcPr>
                <w:p w14:paraId="0A34C126">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Cs w:val="21"/>
                      <w:highlight w:val="none"/>
                      <w:lang w:val="en-US" w:eastAsia="zh-CN"/>
                    </w:rPr>
                    <w:t>0.0258</w:t>
                  </w:r>
                </w:p>
              </w:tc>
            </w:tr>
            <w:tr w14:paraId="7605E9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vAlign w:val="center"/>
                </w:tcPr>
                <w:p w14:paraId="4E52BC72">
                  <w:pPr>
                    <w:adjustRightInd w:val="0"/>
                    <w:snapToGrid w:val="0"/>
                    <w:jc w:val="center"/>
                    <w:rPr>
                      <w:rFonts w:hint="default" w:ascii="Times New Roman" w:hAnsi="Times New Roman" w:eastAsia="宋体" w:cs="Times New Roman"/>
                      <w:bCs/>
                      <w:color w:val="auto"/>
                      <w:szCs w:val="21"/>
                      <w:highlight w:val="none"/>
                      <w:lang w:val="zh-CN"/>
                    </w:rPr>
                  </w:pPr>
                </w:p>
              </w:tc>
              <w:tc>
                <w:tcPr>
                  <w:tcW w:w="1508" w:type="dxa"/>
                  <w:tcBorders>
                    <w:tl2br w:val="nil"/>
                    <w:tr2bl w:val="nil"/>
                  </w:tcBorders>
                  <w:shd w:val="clear" w:color="auto" w:fill="auto"/>
                  <w:vAlign w:val="center"/>
                </w:tcPr>
                <w:p w14:paraId="08491448">
                  <w:pPr>
                    <w:adjustRightInd w:val="0"/>
                    <w:snapToGrid w:val="0"/>
                    <w:jc w:val="center"/>
                    <w:rPr>
                      <w:rFonts w:hint="default" w:ascii="Times New Roman" w:hAnsi="Times New Roman" w:eastAsia="宋体" w:cs="Times New Roman"/>
                      <w:bCs/>
                      <w:color w:val="auto"/>
                      <w:szCs w:val="21"/>
                      <w:highlight w:val="none"/>
                      <w:lang w:val="zh-CN" w:eastAsia="zh-CN"/>
                    </w:rPr>
                  </w:pPr>
                  <w:r>
                    <w:rPr>
                      <w:rFonts w:hint="default" w:ascii="Times New Roman" w:hAnsi="Times New Roman" w:eastAsia="宋体" w:cs="Times New Roman"/>
                      <w:bCs/>
                      <w:color w:val="auto"/>
                      <w:szCs w:val="21"/>
                      <w:highlight w:val="none"/>
                    </w:rPr>
                    <w:t>NH</w:t>
                  </w:r>
                  <w:r>
                    <w:rPr>
                      <w:rFonts w:hint="default" w:ascii="Times New Roman" w:hAnsi="Times New Roman" w:eastAsia="宋体" w:cs="Times New Roman"/>
                      <w:bCs/>
                      <w:color w:val="auto"/>
                      <w:szCs w:val="21"/>
                      <w:highlight w:val="none"/>
                      <w:vertAlign w:val="subscript"/>
                    </w:rPr>
                    <w:t>3</w:t>
                  </w:r>
                  <w:r>
                    <w:rPr>
                      <w:rFonts w:hint="default" w:ascii="Times New Roman" w:hAnsi="Times New Roman" w:eastAsia="宋体" w:cs="Times New Roman"/>
                      <w:bCs/>
                      <w:color w:val="auto"/>
                      <w:szCs w:val="21"/>
                      <w:highlight w:val="none"/>
                    </w:rPr>
                    <w:t>-N</w:t>
                  </w:r>
                </w:p>
              </w:tc>
              <w:tc>
                <w:tcPr>
                  <w:tcW w:w="1509" w:type="dxa"/>
                  <w:tcBorders>
                    <w:tl2br w:val="nil"/>
                    <w:tr2bl w:val="nil"/>
                  </w:tcBorders>
                  <w:shd w:val="clear" w:color="auto" w:fill="auto"/>
                  <w:vAlign w:val="center"/>
                </w:tcPr>
                <w:p w14:paraId="0F7FC21B">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0.0165</w:t>
                  </w:r>
                </w:p>
              </w:tc>
              <w:tc>
                <w:tcPr>
                  <w:tcW w:w="1102" w:type="dxa"/>
                  <w:tcBorders>
                    <w:tl2br w:val="nil"/>
                    <w:tr2bl w:val="nil"/>
                  </w:tcBorders>
                  <w:shd w:val="clear" w:color="auto" w:fill="auto"/>
                  <w:vAlign w:val="center"/>
                </w:tcPr>
                <w:p w14:paraId="0A1D553C">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Cs w:val="21"/>
                      <w:highlight w:val="none"/>
                      <w:lang w:val="en-US" w:eastAsia="zh-CN"/>
                    </w:rPr>
                    <w:t>0.0156</w:t>
                  </w:r>
                </w:p>
              </w:tc>
              <w:tc>
                <w:tcPr>
                  <w:tcW w:w="982" w:type="dxa"/>
                  <w:tcBorders>
                    <w:tl2br w:val="nil"/>
                    <w:tr2bl w:val="nil"/>
                  </w:tcBorders>
                  <w:vAlign w:val="center"/>
                </w:tcPr>
                <w:p w14:paraId="6C8C4D95">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-0.0009</w:t>
                  </w:r>
                </w:p>
              </w:tc>
              <w:tc>
                <w:tcPr>
                  <w:tcW w:w="1113" w:type="dxa"/>
                  <w:tcBorders>
                    <w:tl2br w:val="nil"/>
                    <w:tr2bl w:val="nil"/>
                  </w:tcBorders>
                  <w:shd w:val="clear" w:color="auto" w:fill="auto"/>
                  <w:vAlign w:val="center"/>
                </w:tcPr>
                <w:p w14:paraId="67D91081">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w:t>
                  </w:r>
                </w:p>
              </w:tc>
              <w:tc>
                <w:tcPr>
                  <w:tcW w:w="1123" w:type="dxa"/>
                  <w:tcBorders>
                    <w:tl2br w:val="nil"/>
                    <w:tr2bl w:val="nil"/>
                  </w:tcBorders>
                  <w:shd w:val="clear" w:color="auto" w:fill="auto"/>
                  <w:vAlign w:val="center"/>
                </w:tcPr>
                <w:p w14:paraId="534EBBCD">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Cs w:val="21"/>
                      <w:highlight w:val="none"/>
                      <w:lang w:val="en-US" w:eastAsia="zh-CN"/>
                    </w:rPr>
                    <w:t>0</w:t>
                  </w:r>
                </w:p>
              </w:tc>
            </w:tr>
          </w:tbl>
          <w:p w14:paraId="09B78C5B">
            <w:pPr>
              <w:adjustRightInd w:val="0"/>
              <w:spacing w:line="360" w:lineRule="auto"/>
              <w:rPr>
                <w:rFonts w:hint="default" w:ascii="Times New Roman" w:hAnsi="Times New Roman" w:eastAsia="宋体" w:cs="Times New Roman"/>
                <w:bCs/>
                <w:color w:val="auto"/>
                <w:sz w:val="24"/>
                <w:highlight w:val="none"/>
              </w:rPr>
            </w:pPr>
          </w:p>
        </w:tc>
      </w:tr>
    </w:tbl>
    <w:p w14:paraId="051E42BE">
      <w:pPr>
        <w:widowControl/>
        <w:jc w:val="left"/>
        <w:rPr>
          <w:rFonts w:hint="default" w:ascii="Times New Roman" w:hAnsi="Times New Roman" w:eastAsia="宋体" w:cs="Times New Roman"/>
          <w:color w:val="auto"/>
          <w:sz w:val="24"/>
          <w:szCs w:val="32"/>
          <w:highlight w:val="none"/>
        </w:rPr>
      </w:pPr>
    </w:p>
    <w:p w14:paraId="155EF4A4">
      <w:pPr>
        <w:widowControl/>
        <w:jc w:val="left"/>
        <w:rPr>
          <w:rFonts w:hint="default" w:ascii="Times New Roman" w:hAnsi="Times New Roman" w:eastAsia="宋体" w:cs="Times New Roman"/>
          <w:color w:val="auto"/>
          <w:sz w:val="24"/>
          <w:szCs w:val="32"/>
          <w:highlight w:val="none"/>
        </w:rPr>
      </w:pPr>
    </w:p>
    <w:p w14:paraId="7AFB9AC4">
      <w:pPr>
        <w:widowControl/>
        <w:jc w:val="left"/>
        <w:rPr>
          <w:rFonts w:hint="default" w:ascii="Times New Roman" w:hAnsi="Times New Roman" w:eastAsia="宋体" w:cs="Times New Roman"/>
          <w:color w:val="auto"/>
          <w:sz w:val="24"/>
          <w:szCs w:val="32"/>
          <w:highlight w:val="none"/>
        </w:rPr>
      </w:pPr>
    </w:p>
    <w:p w14:paraId="46111887">
      <w:pPr>
        <w:widowControl/>
        <w:jc w:val="left"/>
        <w:rPr>
          <w:rFonts w:hint="default" w:ascii="Times New Roman" w:hAnsi="Times New Roman" w:eastAsia="宋体" w:cs="Times New Roman"/>
          <w:color w:val="auto"/>
          <w:sz w:val="24"/>
          <w:szCs w:val="32"/>
          <w:highlight w:val="none"/>
        </w:rPr>
      </w:pPr>
    </w:p>
    <w:p w14:paraId="6D9A0337">
      <w:pPr>
        <w:widowControl/>
        <w:jc w:val="left"/>
        <w:rPr>
          <w:rFonts w:hint="default" w:ascii="Times New Roman" w:hAnsi="Times New Roman" w:eastAsia="宋体" w:cs="Times New Roman"/>
          <w:color w:val="auto"/>
          <w:sz w:val="24"/>
          <w:szCs w:val="32"/>
          <w:highlight w:val="none"/>
        </w:rPr>
      </w:pPr>
    </w:p>
    <w:p w14:paraId="597D330B">
      <w:pPr>
        <w:widowControl/>
        <w:jc w:val="left"/>
        <w:rPr>
          <w:rFonts w:hint="default" w:ascii="Times New Roman" w:hAnsi="Times New Roman" w:eastAsia="宋体" w:cs="Times New Roman"/>
          <w:color w:val="auto"/>
          <w:sz w:val="24"/>
          <w:szCs w:val="32"/>
          <w:highlight w:val="none"/>
        </w:rPr>
      </w:pPr>
    </w:p>
    <w:p w14:paraId="0CC0A741">
      <w:pPr>
        <w:widowControl/>
        <w:jc w:val="left"/>
        <w:rPr>
          <w:rFonts w:hint="default" w:ascii="Times New Roman" w:hAnsi="Times New Roman" w:eastAsia="宋体" w:cs="Times New Roman"/>
          <w:color w:val="auto"/>
          <w:sz w:val="24"/>
          <w:szCs w:val="32"/>
          <w:highlight w:val="none"/>
        </w:rPr>
      </w:pPr>
    </w:p>
    <w:p w14:paraId="547C08FC">
      <w:pPr>
        <w:widowControl/>
        <w:jc w:val="left"/>
        <w:rPr>
          <w:rFonts w:hint="default" w:ascii="Times New Roman" w:hAnsi="Times New Roman" w:eastAsia="宋体" w:cs="Times New Roman"/>
          <w:color w:val="auto"/>
          <w:sz w:val="24"/>
          <w:szCs w:val="32"/>
          <w:highlight w:val="none"/>
        </w:rPr>
      </w:pPr>
    </w:p>
    <w:p w14:paraId="67AD1E13">
      <w:pPr>
        <w:widowControl/>
        <w:jc w:val="left"/>
        <w:rPr>
          <w:rFonts w:hint="default" w:ascii="Times New Roman" w:hAnsi="Times New Roman" w:eastAsia="宋体" w:cs="Times New Roman"/>
          <w:color w:val="auto"/>
          <w:sz w:val="24"/>
          <w:szCs w:val="32"/>
          <w:highlight w:val="none"/>
        </w:rPr>
      </w:pPr>
    </w:p>
    <w:p w14:paraId="03A7E1A3">
      <w:pPr>
        <w:widowControl/>
        <w:jc w:val="left"/>
        <w:rPr>
          <w:rFonts w:hint="default" w:ascii="Times New Roman" w:hAnsi="Times New Roman" w:eastAsia="宋体" w:cs="Times New Roman"/>
          <w:color w:val="auto"/>
          <w:sz w:val="24"/>
          <w:szCs w:val="32"/>
          <w:highlight w:val="none"/>
        </w:rPr>
      </w:pPr>
    </w:p>
    <w:p w14:paraId="37DBCE69">
      <w:pPr>
        <w:widowControl/>
        <w:jc w:val="left"/>
        <w:rPr>
          <w:rFonts w:hint="default" w:ascii="Times New Roman" w:hAnsi="Times New Roman" w:eastAsia="宋体" w:cs="Times New Roman"/>
          <w:color w:val="auto"/>
          <w:sz w:val="24"/>
          <w:szCs w:val="32"/>
          <w:highlight w:val="none"/>
        </w:rPr>
      </w:pPr>
    </w:p>
    <w:p w14:paraId="5390E09F">
      <w:pPr>
        <w:widowControl/>
        <w:jc w:val="left"/>
        <w:rPr>
          <w:rFonts w:hint="default" w:ascii="Times New Roman" w:hAnsi="Times New Roman" w:eastAsia="宋体" w:cs="Times New Roman"/>
          <w:color w:val="auto"/>
          <w:sz w:val="24"/>
          <w:szCs w:val="32"/>
          <w:highlight w:val="none"/>
        </w:rPr>
      </w:pPr>
    </w:p>
    <w:p w14:paraId="05ADF59A">
      <w:pPr>
        <w:widowControl/>
        <w:jc w:val="left"/>
        <w:rPr>
          <w:rFonts w:hint="default" w:ascii="Times New Roman" w:hAnsi="Times New Roman" w:eastAsia="宋体" w:cs="Times New Roman"/>
          <w:color w:val="auto"/>
          <w:sz w:val="24"/>
          <w:szCs w:val="32"/>
          <w:highlight w:val="none"/>
        </w:rPr>
      </w:pPr>
    </w:p>
    <w:p w14:paraId="5CF7040A">
      <w:pPr>
        <w:widowControl/>
        <w:jc w:val="left"/>
        <w:rPr>
          <w:rFonts w:hint="default" w:ascii="Times New Roman" w:hAnsi="Times New Roman" w:eastAsia="宋体" w:cs="Times New Roman"/>
          <w:color w:val="auto"/>
          <w:sz w:val="24"/>
          <w:szCs w:val="32"/>
          <w:highlight w:val="none"/>
        </w:rPr>
      </w:pPr>
    </w:p>
    <w:p w14:paraId="74F31CFB">
      <w:pPr>
        <w:pStyle w:val="2"/>
        <w:jc w:val="center"/>
        <w:rPr>
          <w:rFonts w:hint="default" w:ascii="Times New Roman" w:hAnsi="Times New Roman" w:eastAsia="宋体" w:cs="Times New Roman"/>
          <w:b w:val="0"/>
          <w:bCs w:val="0"/>
          <w:color w:val="auto"/>
          <w:sz w:val="36"/>
          <w:szCs w:val="36"/>
          <w:highlight w:val="none"/>
        </w:rPr>
      </w:pPr>
      <w:r>
        <w:rPr>
          <w:rFonts w:hint="default" w:ascii="Times New Roman" w:hAnsi="Times New Roman" w:eastAsia="宋体" w:cs="Times New Roman"/>
          <w:b w:val="0"/>
          <w:bCs w:val="0"/>
          <w:color w:val="auto"/>
          <w:sz w:val="36"/>
          <w:szCs w:val="36"/>
          <w:highlight w:val="none"/>
        </w:rPr>
        <w:t>四、主要环境影响和保护措施</w:t>
      </w:r>
    </w:p>
    <w:tbl>
      <w:tblPr>
        <w:tblStyle w:val="2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7784"/>
      </w:tblGrid>
      <w:tr w14:paraId="46634F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tcMar>
              <w:left w:w="28" w:type="dxa"/>
              <w:right w:w="28" w:type="dxa"/>
            </w:tcMar>
            <w:vAlign w:val="center"/>
          </w:tcPr>
          <w:p w14:paraId="2DABBE99">
            <w:pPr>
              <w:widowControl/>
              <w:adjustRightInd w:val="0"/>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rPr>
              <w:t>施工期环境保护措施</w:t>
            </w:r>
          </w:p>
        </w:tc>
        <w:tc>
          <w:tcPr>
            <w:tcW w:w="7784" w:type="dxa"/>
            <w:vAlign w:val="center"/>
          </w:tcPr>
          <w:p w14:paraId="30BBBF56">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本项目</w:t>
            </w:r>
            <w:r>
              <w:rPr>
                <w:rFonts w:hint="eastAsia" w:cs="Times New Roman"/>
                <w:color w:val="auto"/>
                <w:kern w:val="0"/>
                <w:sz w:val="24"/>
                <w:highlight w:val="none"/>
                <w:lang w:val="en-US" w:eastAsia="zh-CN"/>
              </w:rPr>
              <w:t>为迁建新建项目，新租用园区闲置的现有建筑进行装修建设，</w:t>
            </w:r>
            <w:r>
              <w:rPr>
                <w:rFonts w:hint="default" w:cs="Times New Roman"/>
                <w:color w:val="auto"/>
                <w:kern w:val="0"/>
                <w:sz w:val="24"/>
                <w:highlight w:val="none"/>
                <w:lang w:val="en-US" w:eastAsia="zh-CN"/>
              </w:rPr>
              <w:t>施工期无土石方施工，仅室内装修</w:t>
            </w:r>
            <w:r>
              <w:rPr>
                <w:rFonts w:hint="eastAsia" w:cs="Times New Roman"/>
                <w:color w:val="auto"/>
                <w:kern w:val="0"/>
                <w:sz w:val="24"/>
                <w:highlight w:val="none"/>
                <w:lang w:val="en-US" w:eastAsia="zh-CN"/>
              </w:rPr>
              <w:t>(</w:t>
            </w:r>
            <w:r>
              <w:rPr>
                <w:rFonts w:hint="default" w:cs="Times New Roman"/>
                <w:color w:val="auto"/>
                <w:kern w:val="0"/>
                <w:sz w:val="24"/>
                <w:highlight w:val="none"/>
                <w:lang w:val="en-US" w:eastAsia="zh-CN"/>
              </w:rPr>
              <w:t>如内墙表面粉刷、设备安装</w:t>
            </w:r>
            <w:r>
              <w:rPr>
                <w:rFonts w:hint="default" w:ascii="Times New Roman" w:hAnsi="Times New Roman" w:eastAsia="宋体" w:cs="Times New Roman"/>
                <w:color w:val="auto"/>
                <w:kern w:val="0"/>
                <w:sz w:val="24"/>
                <w:highlight w:val="none"/>
              </w:rPr>
              <w:t>等</w:t>
            </w:r>
            <w:r>
              <w:rPr>
                <w:rFonts w:hint="eastAsia"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rPr>
              <w:t>。主要污染物为施工扬尘，施工人员生活污水，施工噪声，施工固体废物</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装修垃圾、生活垃圾等</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w:t>
            </w:r>
          </w:p>
          <w:p w14:paraId="276BB610">
            <w:pPr>
              <w:numPr>
                <w:ilvl w:val="0"/>
                <w:numId w:val="29"/>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废气：扬尘主要产生在装修施工期间的各种作业，其产生量与天气、温度、施工队文明程度和管理水平等因素有关，施工时要加强管理，及时清除建筑装修垃圾、做好洒水抑尘、关闭门窗施工等。油漆粉刷时产生的少量挥发性有机气体，</w:t>
            </w:r>
            <w:r>
              <w:rPr>
                <w:rFonts w:hint="eastAsia" w:cs="Times New Roman"/>
                <w:color w:val="auto"/>
                <w:kern w:val="0"/>
                <w:sz w:val="24"/>
                <w:highlight w:val="none"/>
                <w:lang w:val="en-US" w:eastAsia="zh-CN"/>
              </w:rPr>
              <w:t>要</w:t>
            </w:r>
            <w:r>
              <w:rPr>
                <w:rFonts w:hint="default" w:ascii="Times New Roman" w:hAnsi="Times New Roman" w:eastAsia="宋体" w:cs="Times New Roman"/>
                <w:color w:val="auto"/>
                <w:kern w:val="0"/>
                <w:sz w:val="24"/>
                <w:highlight w:val="none"/>
              </w:rPr>
              <w:t>加强通风、选用优质的低污染油漆和涂料等措施。</w:t>
            </w:r>
          </w:p>
          <w:p w14:paraId="413E8345">
            <w:pPr>
              <w:numPr>
                <w:ilvl w:val="0"/>
                <w:numId w:val="29"/>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废水：本项目施工期不设施工营地，食宿自行解决，故施工期产生的废水主要为生活污水，生活污水主要依托园区的化粪池进行处理。</w:t>
            </w:r>
          </w:p>
          <w:p w14:paraId="10EFF127">
            <w:pPr>
              <w:numPr>
                <w:ilvl w:val="0"/>
                <w:numId w:val="29"/>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噪声：施工期间噪声主要来自项目内部装修和设备安装过程中使用的电钻、木工设备和空气压缩机等设备。施工阶段应按规定操作机械设备，遵守作业规定，减少人为机械碰撞噪声；规划施工方案，尽量避免高噪声机械设备同时使用；施工时间应安排在白天，禁止夜间装修扰民；建设单位及装修施工单位应配备必要的专职或兼职环保监管人员，负责监督装修施工过程中噪声防治措施的落实情况。</w:t>
            </w:r>
          </w:p>
          <w:p w14:paraId="459E7E6B">
            <w:pPr>
              <w:numPr>
                <w:ilvl w:val="0"/>
                <w:numId w:val="29"/>
              </w:num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固体废物：施工期固体废物主要为施工人员生活垃圾、施工渣土及损坏或浪费的各种建筑装修材料。施工中固体废物应集中堆放、及时清运，外运到环卫部门指定地点，防止露天长期堆放可能产生的二次污染；对于可回收废料应尽量由施工单位回收利用。建设单位在施工过程中必须严格按照《北京市建设工程施工现场环境保护标准》(京建施[2003]3号)和《北京市建设工程施工现场管理办法》(2013年市政府令第247号)对施工现场进行管理，以尽量降低施工过程对周围环境的影响。</w:t>
            </w:r>
          </w:p>
        </w:tc>
      </w:tr>
      <w:tr w14:paraId="64965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6" w:hRule="atLeast"/>
          <w:jc w:val="center"/>
        </w:trPr>
        <w:tc>
          <w:tcPr>
            <w:tcW w:w="1197" w:type="dxa"/>
            <w:tcMar>
              <w:left w:w="28" w:type="dxa"/>
              <w:right w:w="28" w:type="dxa"/>
            </w:tcMar>
            <w:vAlign w:val="center"/>
          </w:tcPr>
          <w:p w14:paraId="6AF39A9F">
            <w:pPr>
              <w:adjustRightInd w:val="0"/>
              <w:snapToGrid w:val="0"/>
              <w:jc w:val="center"/>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运营期环境影响和保护措施</w:t>
            </w:r>
          </w:p>
        </w:tc>
        <w:tc>
          <w:tcPr>
            <w:tcW w:w="7784" w:type="dxa"/>
            <w:shd w:val="clear" w:color="auto" w:fill="auto"/>
            <w:vAlign w:val="center"/>
          </w:tcPr>
          <w:p w14:paraId="1E7FC79D">
            <w:pPr>
              <w:numPr>
                <w:ilvl w:val="0"/>
                <w:numId w:val="30"/>
              </w:numPr>
              <w:adjustRightInd w:val="0"/>
              <w:snapToGrid w:val="0"/>
              <w:spacing w:line="360" w:lineRule="auto"/>
              <w:jc w:val="both"/>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废气</w:t>
            </w:r>
          </w:p>
          <w:p w14:paraId="30CF9909">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1、源强核算</w:t>
            </w:r>
          </w:p>
          <w:p w14:paraId="38DE5753">
            <w:pPr>
              <w:numPr>
                <w:ilvl w:val="0"/>
                <w:numId w:val="0"/>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eastAsia" w:cs="Times New Roman"/>
                <w:color w:val="auto"/>
                <w:kern w:val="0"/>
                <w:sz w:val="24"/>
                <w:highlight w:val="none"/>
                <w:lang w:val="en-US" w:eastAsia="zh-CN"/>
              </w:rPr>
              <w:t>本项目</w:t>
            </w:r>
            <w:r>
              <w:rPr>
                <w:rFonts w:hint="eastAsia" w:ascii="Times New Roman" w:hAnsi="Times New Roman" w:eastAsia="宋体" w:cs="Times New Roman"/>
                <w:color w:val="auto"/>
                <w:kern w:val="0"/>
                <w:sz w:val="24"/>
                <w:highlight w:val="none"/>
                <w:lang w:val="en-US" w:eastAsia="zh-CN"/>
              </w:rPr>
              <w:t>废气主要</w:t>
            </w:r>
            <w:r>
              <w:rPr>
                <w:rFonts w:hint="eastAsia" w:cs="Times New Roman"/>
                <w:color w:val="auto"/>
                <w:kern w:val="0"/>
                <w:sz w:val="24"/>
                <w:highlight w:val="none"/>
                <w:lang w:val="en-US" w:eastAsia="zh-CN"/>
              </w:rPr>
              <w:t>为试剂配制、样品前处理、实验检测过程产生的实验</w:t>
            </w:r>
            <w:r>
              <w:rPr>
                <w:rFonts w:hint="eastAsia" w:ascii="Times New Roman" w:hAnsi="Times New Roman" w:eastAsia="宋体" w:cs="Times New Roman"/>
                <w:color w:val="auto"/>
                <w:kern w:val="0"/>
                <w:sz w:val="24"/>
                <w:highlight w:val="none"/>
                <w:lang w:val="en-US" w:eastAsia="zh-CN"/>
              </w:rPr>
              <w:t>无机废气</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挥发性有机废气，</w:t>
            </w:r>
            <w:r>
              <w:rPr>
                <w:rFonts w:hint="eastAsia" w:cs="Times New Roman"/>
                <w:color w:val="auto"/>
                <w:kern w:val="0"/>
                <w:sz w:val="24"/>
                <w:highlight w:val="none"/>
                <w:lang w:val="en-US" w:eastAsia="zh-CN"/>
              </w:rPr>
              <w:t>以上</w:t>
            </w:r>
            <w:r>
              <w:rPr>
                <w:rFonts w:hint="eastAsia" w:ascii="Times New Roman" w:hAnsi="Times New Roman" w:eastAsia="宋体" w:cs="Times New Roman"/>
                <w:color w:val="auto"/>
                <w:kern w:val="0"/>
                <w:sz w:val="24"/>
                <w:highlight w:val="none"/>
                <w:lang w:val="en-US" w:eastAsia="zh-CN"/>
              </w:rPr>
              <w:t>废气</w:t>
            </w:r>
            <w:r>
              <w:rPr>
                <w:rFonts w:hint="eastAsia" w:cs="Times New Roman"/>
                <w:color w:val="auto"/>
                <w:kern w:val="0"/>
                <w:sz w:val="24"/>
                <w:highlight w:val="none"/>
                <w:lang w:val="en-US" w:eastAsia="zh-CN"/>
              </w:rPr>
              <w:t>分别经通风橱、万向罩收集后进一套干式过滤器（酸式吸附剂+碱式吸附剂+活性炭）吸附处理，最后经一根28m高的</w:t>
            </w:r>
            <w:r>
              <w:rPr>
                <w:rFonts w:hint="eastAsia" w:ascii="Times New Roman" w:hAnsi="Times New Roman" w:eastAsia="宋体" w:cs="Times New Roman"/>
                <w:color w:val="auto"/>
                <w:kern w:val="0"/>
                <w:sz w:val="24"/>
                <w:highlight w:val="none"/>
                <w:lang w:val="en-US" w:eastAsia="zh-CN"/>
              </w:rPr>
              <w:t>排气筒</w:t>
            </w:r>
            <w:r>
              <w:rPr>
                <w:rFonts w:hint="default" w:ascii="Times New Roman" w:hAnsi="Times New Roman" w:eastAsia="宋体" w:cs="Times New Roman"/>
                <w:color w:val="auto"/>
                <w:kern w:val="0"/>
                <w:sz w:val="24"/>
                <w:highlight w:val="none"/>
                <w:lang w:val="en-US" w:eastAsia="zh-CN"/>
              </w:rPr>
              <w:t>DA001</w:t>
            </w:r>
            <w:r>
              <w:rPr>
                <w:rFonts w:hint="eastAsia" w:ascii="Times New Roman" w:hAnsi="Times New Roman" w:eastAsia="宋体" w:cs="Times New Roman"/>
                <w:color w:val="auto"/>
                <w:kern w:val="0"/>
                <w:sz w:val="24"/>
                <w:highlight w:val="none"/>
                <w:lang w:val="en-US" w:eastAsia="zh-CN"/>
              </w:rPr>
              <w:t>排放。</w:t>
            </w:r>
          </w:p>
          <w:p w14:paraId="532FE2D5">
            <w:pPr>
              <w:numPr>
                <w:ilvl w:val="0"/>
                <w:numId w:val="31"/>
              </w:numPr>
              <w:adjustRightInd w:val="0"/>
              <w:snapToGrid w:val="0"/>
              <w:spacing w:line="360" w:lineRule="auto"/>
              <w:ind w:firstLine="482" w:firstLineChars="200"/>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废气产生量</w:t>
            </w:r>
          </w:p>
          <w:p w14:paraId="0CA65E4B">
            <w:pPr>
              <w:numPr>
                <w:ilvl w:val="0"/>
                <w:numId w:val="0"/>
              </w:numPr>
              <w:adjustRightInd w:val="0"/>
              <w:snapToGrid w:val="0"/>
              <w:spacing w:line="360" w:lineRule="auto"/>
              <w:ind w:firstLine="480" w:firstLineChars="200"/>
              <w:rPr>
                <w:rFonts w:hint="eastAsia" w:cs="Times New Roman"/>
                <w:color w:val="auto"/>
                <w:kern w:val="0"/>
                <w:sz w:val="24"/>
                <w:highlight w:val="none"/>
                <w:lang w:val="en-US" w:eastAsia="zh-CN"/>
              </w:rPr>
            </w:pPr>
            <w:r>
              <w:rPr>
                <w:rFonts w:hint="eastAsia" w:cs="Times New Roman"/>
                <w:color w:val="auto"/>
                <w:kern w:val="0"/>
                <w:sz w:val="24"/>
                <w:highlight w:val="none"/>
                <w:lang w:val="en-US" w:eastAsia="zh-CN"/>
              </w:rPr>
              <w:t>本项目挥发性试剂的使用量统计见下表。</w:t>
            </w:r>
          </w:p>
          <w:p w14:paraId="5AEF0D8E">
            <w:pPr>
              <w:keepNext w:val="0"/>
              <w:keepLines w:val="0"/>
              <w:widowControl/>
              <w:numPr>
                <w:ilvl w:val="0"/>
                <w:numId w:val="32"/>
              </w:numPr>
              <w:suppressLineNumbers w:val="0"/>
              <w:ind w:left="425" w:leftChars="0" w:hanging="425" w:firstLineChars="0"/>
              <w:jc w:val="center"/>
              <w:rPr>
                <w:rFonts w:hint="eastAsia" w:ascii="Times New Roman" w:hAnsi="Times New Roman" w:eastAsia="宋体" w:cs="Times New Roman"/>
                <w:b/>
                <w:bCs/>
                <w:color w:val="auto"/>
                <w:kern w:val="0"/>
                <w:sz w:val="24"/>
                <w:szCs w:val="24"/>
                <w:highlight w:val="none"/>
                <w:lang w:val="en-US" w:eastAsia="zh-CN"/>
              </w:rPr>
            </w:pPr>
            <w:r>
              <w:rPr>
                <w:rFonts w:hint="eastAsia" w:ascii="宋体" w:hAnsi="宋体" w:cs="宋体"/>
                <w:b/>
                <w:bCs/>
                <w:color w:val="auto"/>
                <w:kern w:val="0"/>
                <w:sz w:val="24"/>
                <w:szCs w:val="24"/>
                <w:lang w:val="en-US" w:eastAsia="zh-CN" w:bidi="ar"/>
              </w:rPr>
              <w:t>本</w:t>
            </w:r>
            <w:r>
              <w:rPr>
                <w:rFonts w:hint="eastAsia" w:ascii="宋体" w:hAnsi="宋体" w:eastAsia="宋体" w:cs="宋体"/>
                <w:b/>
                <w:bCs/>
                <w:color w:val="auto"/>
                <w:kern w:val="0"/>
                <w:sz w:val="24"/>
                <w:szCs w:val="24"/>
                <w:lang w:val="en-US" w:eastAsia="zh-CN" w:bidi="ar"/>
              </w:rPr>
              <w:t>项目挥发性试剂用量</w:t>
            </w:r>
            <w:r>
              <w:rPr>
                <w:rFonts w:hint="eastAsia" w:ascii="宋体" w:hAnsi="宋体" w:cs="宋体"/>
                <w:b/>
                <w:bCs/>
                <w:color w:val="auto"/>
                <w:kern w:val="0"/>
                <w:sz w:val="24"/>
                <w:szCs w:val="24"/>
                <w:lang w:val="en-US" w:eastAsia="zh-CN" w:bidi="ar"/>
              </w:rPr>
              <w:t>统计</w:t>
            </w:r>
            <w:r>
              <w:rPr>
                <w:rFonts w:hint="eastAsia" w:ascii="宋体" w:hAnsi="宋体" w:eastAsia="宋体" w:cs="宋体"/>
                <w:b/>
                <w:bCs/>
                <w:color w:val="auto"/>
                <w:kern w:val="0"/>
                <w:sz w:val="24"/>
                <w:szCs w:val="24"/>
                <w:lang w:val="en-US" w:eastAsia="zh-CN" w:bidi="ar"/>
              </w:rPr>
              <w:t>表</w:t>
            </w:r>
          </w:p>
          <w:tbl>
            <w:tblPr>
              <w:tblStyle w:val="24"/>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245"/>
              <w:gridCol w:w="1254"/>
              <w:gridCol w:w="1473"/>
              <w:gridCol w:w="1407"/>
              <w:gridCol w:w="1389"/>
            </w:tblGrid>
            <w:tr w14:paraId="1E11D7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49" w:type="dxa"/>
                  <w:tcBorders>
                    <w:tl2br w:val="nil"/>
                    <w:tr2bl w:val="nil"/>
                  </w:tcBorders>
                  <w:vAlign w:val="center"/>
                </w:tcPr>
                <w:p w14:paraId="30C86A33">
                  <w:pPr>
                    <w:numPr>
                      <w:ilvl w:val="0"/>
                      <w:numId w:val="0"/>
                    </w:numPr>
                    <w:spacing w:line="240" w:lineRule="auto"/>
                    <w:jc w:val="center"/>
                    <w:rPr>
                      <w:rFonts w:hint="eastAsia"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序号</w:t>
                  </w:r>
                </w:p>
              </w:tc>
              <w:tc>
                <w:tcPr>
                  <w:tcW w:w="1245" w:type="dxa"/>
                  <w:tcBorders>
                    <w:tl2br w:val="nil"/>
                    <w:tr2bl w:val="nil"/>
                  </w:tcBorders>
                  <w:vAlign w:val="center"/>
                </w:tcPr>
                <w:p w14:paraId="173C1809">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名称</w:t>
                  </w:r>
                </w:p>
              </w:tc>
              <w:tc>
                <w:tcPr>
                  <w:tcW w:w="1254" w:type="dxa"/>
                  <w:tcBorders>
                    <w:tl2br w:val="nil"/>
                    <w:tr2bl w:val="nil"/>
                  </w:tcBorders>
                  <w:vAlign w:val="center"/>
                </w:tcPr>
                <w:p w14:paraId="0065D646">
                  <w:pPr>
                    <w:numPr>
                      <w:ilvl w:val="0"/>
                      <w:numId w:val="0"/>
                    </w:numPr>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规格</w:t>
                  </w:r>
                </w:p>
              </w:tc>
              <w:tc>
                <w:tcPr>
                  <w:tcW w:w="1473" w:type="dxa"/>
                  <w:tcBorders>
                    <w:tl2br w:val="nil"/>
                    <w:tr2bl w:val="nil"/>
                  </w:tcBorders>
                  <w:shd w:val="clear" w:color="auto" w:fill="auto"/>
                  <w:vAlign w:val="center"/>
                </w:tcPr>
                <w:p w14:paraId="3B9E3109">
                  <w:pPr>
                    <w:numPr>
                      <w:ilvl w:val="0"/>
                      <w:numId w:val="0"/>
                    </w:numPr>
                    <w:spacing w:line="240" w:lineRule="auto"/>
                    <w:ind w:left="0" w:leftChars="0" w:firstLine="0" w:firstLineChars="0"/>
                    <w:jc w:val="center"/>
                    <w:rPr>
                      <w:rFonts w:hint="default" w:ascii="Times New Roman" w:hAnsi="Times New Roman" w:eastAsia="宋体" w:cs="Times New Roman"/>
                      <w:b/>
                      <w:bCs/>
                      <w:color w:val="auto"/>
                      <w:kern w:val="2"/>
                      <w:sz w:val="21"/>
                      <w:szCs w:val="21"/>
                      <w:highlight w:val="none"/>
                      <w:vertAlign w:val="baseline"/>
                      <w:lang w:val="en-US" w:eastAsia="zh-CN" w:bidi="ar-SA"/>
                    </w:rPr>
                  </w:pPr>
                  <w:r>
                    <w:rPr>
                      <w:rFonts w:hint="eastAsia" w:cs="Times New Roman"/>
                      <w:b/>
                      <w:bCs/>
                      <w:color w:val="auto"/>
                      <w:sz w:val="21"/>
                      <w:szCs w:val="21"/>
                      <w:highlight w:val="none"/>
                      <w:vertAlign w:val="baseline"/>
                      <w:lang w:val="en-US" w:eastAsia="zh-CN"/>
                    </w:rPr>
                    <w:t>年使用量，瓶</w:t>
                  </w:r>
                </w:p>
              </w:tc>
              <w:tc>
                <w:tcPr>
                  <w:tcW w:w="1407" w:type="dxa"/>
                  <w:tcBorders>
                    <w:tl2br w:val="nil"/>
                    <w:tr2bl w:val="nil"/>
                  </w:tcBorders>
                  <w:vAlign w:val="center"/>
                </w:tcPr>
                <w:p w14:paraId="6476489E">
                  <w:pPr>
                    <w:numPr>
                      <w:ilvl w:val="0"/>
                      <w:numId w:val="0"/>
                    </w:numPr>
                    <w:spacing w:line="240" w:lineRule="auto"/>
                    <w:ind w:left="0" w:leftChars="0" w:firstLine="0" w:firstLineChars="0"/>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密度，g/cm³</w:t>
                  </w:r>
                </w:p>
              </w:tc>
              <w:tc>
                <w:tcPr>
                  <w:tcW w:w="1389" w:type="dxa"/>
                  <w:tcBorders>
                    <w:tl2br w:val="nil"/>
                    <w:tr2bl w:val="nil"/>
                  </w:tcBorders>
                  <w:vAlign w:val="center"/>
                </w:tcPr>
                <w:p w14:paraId="4B62B42F">
                  <w:pPr>
                    <w:numPr>
                      <w:ilvl w:val="0"/>
                      <w:numId w:val="0"/>
                    </w:numPr>
                    <w:spacing w:line="240" w:lineRule="auto"/>
                    <w:jc w:val="center"/>
                    <w:rPr>
                      <w:rFonts w:hint="default" w:cs="Times New Roman"/>
                      <w:b/>
                      <w:bCs/>
                      <w:color w:val="auto"/>
                      <w:sz w:val="21"/>
                      <w:szCs w:val="21"/>
                      <w:highlight w:val="none"/>
                      <w:vertAlign w:val="baseline"/>
                      <w:lang w:val="en-US" w:eastAsia="zh-CN"/>
                    </w:rPr>
                  </w:pPr>
                  <w:r>
                    <w:rPr>
                      <w:rFonts w:hint="eastAsia" w:cs="Times New Roman"/>
                      <w:b/>
                      <w:bCs/>
                      <w:color w:val="auto"/>
                      <w:sz w:val="21"/>
                      <w:szCs w:val="21"/>
                      <w:highlight w:val="none"/>
                      <w:vertAlign w:val="baseline"/>
                      <w:lang w:val="en-US" w:eastAsia="zh-CN"/>
                    </w:rPr>
                    <w:t>年使用量，kg</w:t>
                  </w:r>
                </w:p>
              </w:tc>
            </w:tr>
            <w:tr w14:paraId="2D0D5F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6749FEFF">
                  <w:pPr>
                    <w:numPr>
                      <w:ilvl w:val="0"/>
                      <w:numId w:val="3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245" w:type="dxa"/>
                  <w:tcBorders>
                    <w:tl2br w:val="nil"/>
                    <w:tr2bl w:val="nil"/>
                  </w:tcBorders>
                  <w:shd w:val="clear" w:color="auto" w:fill="auto"/>
                  <w:vAlign w:val="center"/>
                </w:tcPr>
                <w:p w14:paraId="1D7BBAA0">
                  <w:pPr>
                    <w:jc w:val="center"/>
                    <w:rPr>
                      <w:rFonts w:hint="default" w:ascii="Times New Roman" w:hAnsi="Times New Roman" w:eastAsia="宋体" w:cs="Times New Roman"/>
                      <w:color w:val="auto"/>
                      <w:kern w:val="2"/>
                      <w:sz w:val="21"/>
                      <w:szCs w:val="21"/>
                      <w:highlight w:val="none"/>
                      <w:lang w:val="en-US" w:eastAsia="zh-CN" w:bidi="ar-SA"/>
                    </w:rPr>
                  </w:pPr>
                  <w:r>
                    <w:rPr>
                      <w:rFonts w:hint="eastAsia"/>
                    </w:rPr>
                    <w:t>盐酸</w:t>
                  </w:r>
                </w:p>
              </w:tc>
              <w:tc>
                <w:tcPr>
                  <w:tcW w:w="1254" w:type="dxa"/>
                  <w:tcBorders>
                    <w:tl2br w:val="nil"/>
                    <w:tr2bl w:val="nil"/>
                  </w:tcBorders>
                  <w:shd w:val="clear" w:color="auto" w:fill="auto"/>
                  <w:vAlign w:val="center"/>
                </w:tcPr>
                <w:p w14:paraId="4BEF8EA9">
                  <w:pPr>
                    <w:jc w:val="center"/>
                    <w:rPr>
                      <w:rFonts w:hint="eastAsia" w:eastAsia="宋体"/>
                      <w:color w:val="auto"/>
                      <w:spacing w:val="-4"/>
                      <w:szCs w:val="21"/>
                      <w:highlight w:val="none"/>
                      <w:lang w:val="en-US" w:eastAsia="zh-CN"/>
                    </w:rPr>
                  </w:pPr>
                  <w:r>
                    <w:rPr>
                      <w:rFonts w:hint="eastAsia"/>
                    </w:rPr>
                    <w:t>500ml</w:t>
                  </w:r>
                </w:p>
              </w:tc>
              <w:tc>
                <w:tcPr>
                  <w:tcW w:w="1473" w:type="dxa"/>
                  <w:tcBorders>
                    <w:tl2br w:val="nil"/>
                    <w:tr2bl w:val="nil"/>
                  </w:tcBorders>
                  <w:shd w:val="clear" w:color="auto" w:fill="auto"/>
                  <w:vAlign w:val="center"/>
                </w:tcPr>
                <w:p w14:paraId="277085BF">
                  <w:pPr>
                    <w:jc w:val="center"/>
                    <w:rPr>
                      <w:rFonts w:hint="eastAsia" w:eastAsia="Times New Roman" w:cs="Times New Roman"/>
                      <w:color w:val="auto"/>
                      <w:spacing w:val="6"/>
                      <w:kern w:val="2"/>
                      <w:sz w:val="21"/>
                      <w:szCs w:val="21"/>
                      <w:highlight w:val="none"/>
                      <w:lang w:val="en-US" w:eastAsia="zh-CN" w:bidi="ar-SA"/>
                    </w:rPr>
                  </w:pPr>
                  <w:r>
                    <w:rPr>
                      <w:rFonts w:hint="eastAsia"/>
                    </w:rPr>
                    <w:t>3.5L</w:t>
                  </w:r>
                </w:p>
              </w:tc>
              <w:tc>
                <w:tcPr>
                  <w:tcW w:w="1407" w:type="dxa"/>
                  <w:tcBorders>
                    <w:tl2br w:val="nil"/>
                    <w:tr2bl w:val="nil"/>
                  </w:tcBorders>
                  <w:shd w:val="clear" w:color="auto" w:fill="auto"/>
                  <w:vAlign w:val="center"/>
                </w:tcPr>
                <w:p w14:paraId="6863BBFA">
                  <w:pPr>
                    <w:numPr>
                      <w:ilvl w:val="0"/>
                      <w:numId w:val="0"/>
                    </w:numPr>
                    <w:spacing w:line="240" w:lineRule="auto"/>
                    <w:ind w:left="0" w:leftChars="0" w:firstLine="0" w:firstLineChars="0"/>
                    <w:jc w:val="center"/>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1.095</w:t>
                  </w:r>
                </w:p>
              </w:tc>
              <w:tc>
                <w:tcPr>
                  <w:tcW w:w="1389" w:type="dxa"/>
                  <w:tcBorders>
                    <w:tl2br w:val="nil"/>
                    <w:tr2bl w:val="nil"/>
                  </w:tcBorders>
                  <w:shd w:val="clear" w:color="auto" w:fill="auto"/>
                  <w:vAlign w:val="center"/>
                </w:tcPr>
                <w:p w14:paraId="18FBA9AD">
                  <w:pPr>
                    <w:numPr>
                      <w:ilvl w:val="0"/>
                      <w:numId w:val="0"/>
                    </w:numPr>
                    <w:spacing w:line="240" w:lineRule="auto"/>
                    <w:ind w:left="0" w:leftChars="0" w:firstLine="0" w:firstLineChars="0"/>
                    <w:jc w:val="center"/>
                    <w:rPr>
                      <w:rFonts w:hint="eastAsia"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3.83</w:t>
                  </w:r>
                </w:p>
              </w:tc>
            </w:tr>
            <w:tr w14:paraId="5E5253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2F4D0EF6">
                  <w:pPr>
                    <w:numPr>
                      <w:ilvl w:val="0"/>
                      <w:numId w:val="3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245" w:type="dxa"/>
                  <w:tcBorders>
                    <w:tl2br w:val="nil"/>
                    <w:tr2bl w:val="nil"/>
                  </w:tcBorders>
                  <w:shd w:val="clear" w:color="auto" w:fill="auto"/>
                  <w:vAlign w:val="center"/>
                </w:tcPr>
                <w:p w14:paraId="60A96077">
                  <w:pPr>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rPr>
                    <w:t>硝酸</w:t>
                  </w:r>
                </w:p>
              </w:tc>
              <w:tc>
                <w:tcPr>
                  <w:tcW w:w="1254" w:type="dxa"/>
                  <w:tcBorders>
                    <w:tl2br w:val="nil"/>
                    <w:tr2bl w:val="nil"/>
                  </w:tcBorders>
                  <w:shd w:val="clear" w:color="auto" w:fill="auto"/>
                  <w:vAlign w:val="center"/>
                </w:tcPr>
                <w:p w14:paraId="0D670EF0">
                  <w:pPr>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rPr>
                    <w:t>500ml</w:t>
                  </w:r>
                </w:p>
              </w:tc>
              <w:tc>
                <w:tcPr>
                  <w:tcW w:w="1473" w:type="dxa"/>
                  <w:tcBorders>
                    <w:tl2br w:val="nil"/>
                    <w:tr2bl w:val="nil"/>
                  </w:tcBorders>
                  <w:shd w:val="clear" w:color="auto" w:fill="auto"/>
                  <w:vAlign w:val="center"/>
                </w:tcPr>
                <w:p w14:paraId="7CBD0370">
                  <w:pPr>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rPr>
                    <w:t>4.5L</w:t>
                  </w:r>
                </w:p>
              </w:tc>
              <w:tc>
                <w:tcPr>
                  <w:tcW w:w="1407" w:type="dxa"/>
                  <w:tcBorders>
                    <w:tl2br w:val="nil"/>
                    <w:tr2bl w:val="nil"/>
                  </w:tcBorders>
                  <w:shd w:val="clear" w:color="auto" w:fill="auto"/>
                  <w:vAlign w:val="center"/>
                </w:tcPr>
                <w:p w14:paraId="74BCA44F">
                  <w:pPr>
                    <w:numPr>
                      <w:ilvl w:val="0"/>
                      <w:numId w:val="0"/>
                    </w:numPr>
                    <w:spacing w:line="240" w:lineRule="auto"/>
                    <w:ind w:left="0" w:leftChars="0" w:firstLine="0" w:firstLineChars="0"/>
                    <w:jc w:val="center"/>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1.649</w:t>
                  </w:r>
                </w:p>
              </w:tc>
              <w:tc>
                <w:tcPr>
                  <w:tcW w:w="1389" w:type="dxa"/>
                  <w:tcBorders>
                    <w:tl2br w:val="nil"/>
                    <w:tr2bl w:val="nil"/>
                  </w:tcBorders>
                  <w:shd w:val="clear" w:color="auto" w:fill="auto"/>
                  <w:vAlign w:val="center"/>
                </w:tcPr>
                <w:p w14:paraId="19592D9C">
                  <w:pPr>
                    <w:numPr>
                      <w:ilvl w:val="0"/>
                      <w:numId w:val="0"/>
                    </w:numPr>
                    <w:spacing w:line="240" w:lineRule="auto"/>
                    <w:ind w:left="0" w:leftChars="0" w:firstLine="0" w:firstLineChars="0"/>
                    <w:jc w:val="center"/>
                    <w:rPr>
                      <w:rFonts w:hint="eastAsia"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7.42</w:t>
                  </w:r>
                </w:p>
              </w:tc>
            </w:tr>
            <w:tr w14:paraId="10B5D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005EDB06">
                  <w:pPr>
                    <w:numPr>
                      <w:ilvl w:val="0"/>
                      <w:numId w:val="3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245" w:type="dxa"/>
                  <w:tcBorders>
                    <w:tl2br w:val="nil"/>
                    <w:tr2bl w:val="nil"/>
                  </w:tcBorders>
                  <w:shd w:val="clear" w:color="auto" w:fill="auto"/>
                  <w:vAlign w:val="center"/>
                </w:tcPr>
                <w:p w14:paraId="40E7C7C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rPr>
                    <w:t>硫酸</w:t>
                  </w:r>
                </w:p>
              </w:tc>
              <w:tc>
                <w:tcPr>
                  <w:tcW w:w="1254" w:type="dxa"/>
                  <w:tcBorders>
                    <w:tl2br w:val="nil"/>
                    <w:tr2bl w:val="nil"/>
                  </w:tcBorders>
                  <w:shd w:val="clear" w:color="auto" w:fill="auto"/>
                  <w:vAlign w:val="center"/>
                </w:tcPr>
                <w:p w14:paraId="67F4B1E0">
                  <w:pPr>
                    <w:jc w:val="center"/>
                    <w:rPr>
                      <w:rFonts w:hint="eastAsia" w:ascii="Times New Roman" w:hAnsi="Times New Roman" w:eastAsia="宋体" w:cs="Times New Roman"/>
                      <w:color w:val="auto"/>
                      <w:spacing w:val="-4"/>
                      <w:kern w:val="2"/>
                      <w:sz w:val="21"/>
                      <w:szCs w:val="21"/>
                      <w:highlight w:val="none"/>
                      <w:lang w:val="en-US" w:eastAsia="zh-CN" w:bidi="ar-SA"/>
                    </w:rPr>
                  </w:pPr>
                  <w:r>
                    <w:rPr>
                      <w:rFonts w:hint="eastAsia"/>
                    </w:rPr>
                    <w:t>500ml</w:t>
                  </w:r>
                </w:p>
              </w:tc>
              <w:tc>
                <w:tcPr>
                  <w:tcW w:w="1473" w:type="dxa"/>
                  <w:tcBorders>
                    <w:tl2br w:val="nil"/>
                    <w:tr2bl w:val="nil"/>
                  </w:tcBorders>
                  <w:shd w:val="clear" w:color="auto" w:fill="auto"/>
                  <w:vAlign w:val="center"/>
                </w:tcPr>
                <w:p w14:paraId="4E62BF68">
                  <w:pPr>
                    <w:jc w:val="center"/>
                    <w:rPr>
                      <w:rFonts w:hint="eastAsia" w:ascii="Times New Roman" w:hAnsi="Times New Roman" w:eastAsia="宋体" w:cs="Times New Roman"/>
                      <w:color w:val="auto"/>
                      <w:kern w:val="2"/>
                      <w:sz w:val="21"/>
                      <w:szCs w:val="21"/>
                      <w:highlight w:val="none"/>
                      <w:lang w:val="en-US" w:eastAsia="zh-CN" w:bidi="ar-SA"/>
                    </w:rPr>
                  </w:pPr>
                  <w:r>
                    <w:rPr>
                      <w:rFonts w:hint="eastAsia"/>
                    </w:rPr>
                    <w:t>300L</w:t>
                  </w:r>
                </w:p>
              </w:tc>
              <w:tc>
                <w:tcPr>
                  <w:tcW w:w="1407" w:type="dxa"/>
                  <w:tcBorders>
                    <w:tl2br w:val="nil"/>
                    <w:tr2bl w:val="nil"/>
                  </w:tcBorders>
                  <w:shd w:val="clear" w:color="auto" w:fill="auto"/>
                  <w:vAlign w:val="center"/>
                </w:tcPr>
                <w:p w14:paraId="1A67CEDC">
                  <w:pPr>
                    <w:numPr>
                      <w:ilvl w:val="0"/>
                      <w:numId w:val="0"/>
                    </w:numPr>
                    <w:spacing w:line="240" w:lineRule="auto"/>
                    <w:ind w:left="0" w:leftChars="0" w:firstLine="0" w:firstLineChars="0"/>
                    <w:jc w:val="center"/>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1.836</w:t>
                  </w:r>
                </w:p>
              </w:tc>
              <w:tc>
                <w:tcPr>
                  <w:tcW w:w="1389" w:type="dxa"/>
                  <w:tcBorders>
                    <w:tl2br w:val="nil"/>
                    <w:tr2bl w:val="nil"/>
                  </w:tcBorders>
                  <w:shd w:val="clear" w:color="auto" w:fill="auto"/>
                  <w:vAlign w:val="center"/>
                </w:tcPr>
                <w:p w14:paraId="0BBCB783">
                  <w:pPr>
                    <w:numPr>
                      <w:ilvl w:val="0"/>
                      <w:numId w:val="0"/>
                    </w:numPr>
                    <w:spacing w:line="240" w:lineRule="auto"/>
                    <w:ind w:left="0" w:leftChars="0" w:firstLine="0" w:firstLineChars="0"/>
                    <w:jc w:val="center"/>
                    <w:rPr>
                      <w:rFonts w:hint="eastAsia"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550.80</w:t>
                  </w:r>
                </w:p>
              </w:tc>
            </w:tr>
            <w:tr w14:paraId="64D7B7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1F9D0640">
                  <w:pPr>
                    <w:numPr>
                      <w:ilvl w:val="0"/>
                      <w:numId w:val="3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245" w:type="dxa"/>
                  <w:tcBorders>
                    <w:tl2br w:val="nil"/>
                    <w:tr2bl w:val="nil"/>
                  </w:tcBorders>
                  <w:shd w:val="clear" w:color="auto" w:fill="auto"/>
                  <w:vAlign w:val="center"/>
                </w:tcPr>
                <w:p w14:paraId="5C10566C">
                  <w:pPr>
                    <w:jc w:val="center"/>
                    <w:rPr>
                      <w:rFonts w:hint="eastAsia" w:ascii="Times New Roman" w:hAnsi="Times New Roman" w:eastAsia="宋体" w:cs="Times New Roman"/>
                      <w:color w:val="auto"/>
                      <w:kern w:val="2"/>
                      <w:sz w:val="21"/>
                      <w:szCs w:val="21"/>
                      <w:highlight w:val="none"/>
                      <w:lang w:val="en-US" w:eastAsia="zh-CN" w:bidi="ar-SA"/>
                    </w:rPr>
                  </w:pPr>
                  <w:r>
                    <w:rPr>
                      <w:rFonts w:hint="eastAsia"/>
                    </w:rPr>
                    <w:t>氨水</w:t>
                  </w:r>
                </w:p>
              </w:tc>
              <w:tc>
                <w:tcPr>
                  <w:tcW w:w="1254" w:type="dxa"/>
                  <w:tcBorders>
                    <w:tl2br w:val="nil"/>
                    <w:tr2bl w:val="nil"/>
                  </w:tcBorders>
                  <w:shd w:val="clear" w:color="auto" w:fill="auto"/>
                  <w:vAlign w:val="center"/>
                </w:tcPr>
                <w:p w14:paraId="2C62473D">
                  <w:pPr>
                    <w:jc w:val="center"/>
                    <w:rPr>
                      <w:rFonts w:hint="eastAsia" w:ascii="Times New Roman" w:hAnsi="Times New Roman" w:eastAsia="宋体" w:cs="Times New Roman"/>
                      <w:color w:val="auto"/>
                      <w:spacing w:val="-4"/>
                      <w:kern w:val="2"/>
                      <w:sz w:val="21"/>
                      <w:szCs w:val="21"/>
                      <w:highlight w:val="none"/>
                      <w:lang w:val="en-US" w:eastAsia="zh-CN" w:bidi="ar-SA"/>
                    </w:rPr>
                  </w:pPr>
                  <w:r>
                    <w:rPr>
                      <w:rFonts w:hint="eastAsia"/>
                    </w:rPr>
                    <w:t>500ml</w:t>
                  </w:r>
                </w:p>
              </w:tc>
              <w:tc>
                <w:tcPr>
                  <w:tcW w:w="1473" w:type="dxa"/>
                  <w:tcBorders>
                    <w:tl2br w:val="nil"/>
                    <w:tr2bl w:val="nil"/>
                  </w:tcBorders>
                  <w:shd w:val="clear" w:color="auto" w:fill="auto"/>
                  <w:vAlign w:val="center"/>
                </w:tcPr>
                <w:p w14:paraId="647828BF">
                  <w:pPr>
                    <w:jc w:val="center"/>
                    <w:rPr>
                      <w:rFonts w:hint="eastAsia" w:ascii="Times New Roman" w:hAnsi="Times New Roman" w:eastAsia="宋体" w:cs="Times New Roman"/>
                      <w:color w:val="auto"/>
                      <w:kern w:val="2"/>
                      <w:sz w:val="21"/>
                      <w:szCs w:val="21"/>
                      <w:highlight w:val="none"/>
                      <w:lang w:val="en-US" w:eastAsia="zh-CN" w:bidi="ar-SA"/>
                    </w:rPr>
                  </w:pPr>
                  <w:r>
                    <w:rPr>
                      <w:rFonts w:hint="eastAsia"/>
                    </w:rPr>
                    <w:t>10L</w:t>
                  </w:r>
                </w:p>
              </w:tc>
              <w:tc>
                <w:tcPr>
                  <w:tcW w:w="1407" w:type="dxa"/>
                  <w:tcBorders>
                    <w:tl2br w:val="nil"/>
                    <w:tr2bl w:val="nil"/>
                  </w:tcBorders>
                  <w:shd w:val="clear" w:color="auto" w:fill="auto"/>
                  <w:vAlign w:val="center"/>
                </w:tcPr>
                <w:p w14:paraId="27FD8FE0">
                  <w:pPr>
                    <w:numPr>
                      <w:ilvl w:val="0"/>
                      <w:numId w:val="0"/>
                    </w:numPr>
                    <w:spacing w:line="240" w:lineRule="auto"/>
                    <w:ind w:left="0" w:leftChars="0" w:firstLine="0" w:firstLineChars="0"/>
                    <w:jc w:val="center"/>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0.908</w:t>
                  </w:r>
                </w:p>
              </w:tc>
              <w:tc>
                <w:tcPr>
                  <w:tcW w:w="1389" w:type="dxa"/>
                  <w:tcBorders>
                    <w:tl2br w:val="nil"/>
                    <w:tr2bl w:val="nil"/>
                  </w:tcBorders>
                  <w:shd w:val="clear" w:color="auto" w:fill="auto"/>
                  <w:vAlign w:val="center"/>
                </w:tcPr>
                <w:p w14:paraId="0FD88197">
                  <w:pPr>
                    <w:numPr>
                      <w:ilvl w:val="0"/>
                      <w:numId w:val="0"/>
                    </w:numPr>
                    <w:spacing w:line="240" w:lineRule="auto"/>
                    <w:ind w:left="0" w:leftChars="0" w:firstLine="0" w:firstLineChars="0"/>
                    <w:jc w:val="center"/>
                    <w:rPr>
                      <w:rFonts w:hint="eastAsia"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9.08</w:t>
                  </w:r>
                </w:p>
              </w:tc>
            </w:tr>
            <w:tr w14:paraId="777B1C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4EC784D3">
                  <w:pPr>
                    <w:numPr>
                      <w:ilvl w:val="0"/>
                      <w:numId w:val="3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245" w:type="dxa"/>
                  <w:tcBorders>
                    <w:tl2br w:val="nil"/>
                    <w:tr2bl w:val="nil"/>
                  </w:tcBorders>
                  <w:shd w:val="clear" w:color="auto" w:fill="auto"/>
                  <w:vAlign w:val="center"/>
                </w:tcPr>
                <w:p w14:paraId="32594F48">
                  <w:pPr>
                    <w:jc w:val="center"/>
                    <w:rPr>
                      <w:rFonts w:hint="default" w:ascii="Times New Roman" w:hAnsi="Times New Roman" w:eastAsia="宋体" w:cs="Times New Roman"/>
                      <w:color w:val="auto"/>
                      <w:kern w:val="2"/>
                      <w:sz w:val="21"/>
                      <w:szCs w:val="21"/>
                      <w:highlight w:val="none"/>
                      <w:lang w:val="en-US" w:eastAsia="zh-CN" w:bidi="ar-SA"/>
                    </w:rPr>
                  </w:pPr>
                  <w:r>
                    <w:rPr>
                      <w:rFonts w:hint="eastAsia"/>
                    </w:rPr>
                    <w:t>甲醇</w:t>
                  </w:r>
                </w:p>
              </w:tc>
              <w:tc>
                <w:tcPr>
                  <w:tcW w:w="1254" w:type="dxa"/>
                  <w:tcBorders>
                    <w:tl2br w:val="nil"/>
                    <w:tr2bl w:val="nil"/>
                  </w:tcBorders>
                  <w:shd w:val="clear" w:color="auto" w:fill="auto"/>
                  <w:vAlign w:val="center"/>
                </w:tcPr>
                <w:p w14:paraId="5F05AAAC">
                  <w:pPr>
                    <w:jc w:val="center"/>
                    <w:rPr>
                      <w:rFonts w:hint="default" w:eastAsia="宋体"/>
                      <w:color w:val="auto"/>
                      <w:spacing w:val="-4"/>
                      <w:szCs w:val="21"/>
                      <w:highlight w:val="none"/>
                      <w:lang w:val="en-US" w:eastAsia="zh-CN"/>
                    </w:rPr>
                  </w:pPr>
                  <w:r>
                    <w:rPr>
                      <w:rFonts w:hint="eastAsia"/>
                    </w:rPr>
                    <w:t>500ml</w:t>
                  </w:r>
                </w:p>
              </w:tc>
              <w:tc>
                <w:tcPr>
                  <w:tcW w:w="1473" w:type="dxa"/>
                  <w:tcBorders>
                    <w:tl2br w:val="nil"/>
                    <w:tr2bl w:val="nil"/>
                  </w:tcBorders>
                  <w:shd w:val="clear" w:color="auto" w:fill="auto"/>
                  <w:vAlign w:val="center"/>
                </w:tcPr>
                <w:p w14:paraId="63A98174">
                  <w:pPr>
                    <w:jc w:val="center"/>
                    <w:rPr>
                      <w:rFonts w:hint="default" w:ascii="Times New Roman" w:hAnsi="Times New Roman" w:eastAsia="宋体" w:cs="Times New Roman"/>
                      <w:color w:val="auto"/>
                      <w:kern w:val="2"/>
                      <w:sz w:val="21"/>
                      <w:szCs w:val="21"/>
                      <w:highlight w:val="none"/>
                      <w:lang w:val="en-US" w:eastAsia="zh-CN" w:bidi="ar-SA"/>
                    </w:rPr>
                  </w:pPr>
                  <w:r>
                    <w:rPr>
                      <w:rFonts w:hint="eastAsia"/>
                    </w:rPr>
                    <w:t>350ml</w:t>
                  </w:r>
                </w:p>
              </w:tc>
              <w:tc>
                <w:tcPr>
                  <w:tcW w:w="1407" w:type="dxa"/>
                  <w:tcBorders>
                    <w:tl2br w:val="nil"/>
                    <w:tr2bl w:val="nil"/>
                  </w:tcBorders>
                  <w:shd w:val="clear" w:color="auto" w:fill="auto"/>
                  <w:vAlign w:val="center"/>
                </w:tcPr>
                <w:p w14:paraId="06C61DBD">
                  <w:pPr>
                    <w:spacing w:before="87"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0.791</w:t>
                  </w:r>
                </w:p>
              </w:tc>
              <w:tc>
                <w:tcPr>
                  <w:tcW w:w="1389" w:type="dxa"/>
                  <w:tcBorders>
                    <w:tl2br w:val="nil"/>
                    <w:tr2bl w:val="nil"/>
                  </w:tcBorders>
                  <w:shd w:val="clear" w:color="auto" w:fill="auto"/>
                  <w:vAlign w:val="center"/>
                </w:tcPr>
                <w:p w14:paraId="7298F0CC">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0.28</w:t>
                  </w:r>
                </w:p>
              </w:tc>
            </w:tr>
            <w:tr w14:paraId="2F8CE4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224DB3D4">
                  <w:pPr>
                    <w:numPr>
                      <w:ilvl w:val="0"/>
                      <w:numId w:val="3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245" w:type="dxa"/>
                  <w:tcBorders>
                    <w:tl2br w:val="nil"/>
                    <w:tr2bl w:val="nil"/>
                  </w:tcBorders>
                  <w:shd w:val="clear" w:color="auto" w:fill="auto"/>
                  <w:vAlign w:val="center"/>
                </w:tcPr>
                <w:p w14:paraId="180DA6F5">
                  <w:pPr>
                    <w:jc w:val="center"/>
                    <w:rPr>
                      <w:rFonts w:hint="default" w:ascii="Times New Roman" w:hAnsi="Times New Roman" w:eastAsia="宋体" w:cs="Times New Roman"/>
                      <w:color w:val="auto"/>
                      <w:kern w:val="2"/>
                      <w:sz w:val="21"/>
                      <w:szCs w:val="21"/>
                      <w:highlight w:val="none"/>
                      <w:lang w:val="en-US" w:eastAsia="zh-CN" w:bidi="ar-SA"/>
                    </w:rPr>
                  </w:pPr>
                  <w:r>
                    <w:rPr>
                      <w:rFonts w:hint="eastAsia"/>
                    </w:rPr>
                    <w:t>乙醇</w:t>
                  </w:r>
                </w:p>
              </w:tc>
              <w:tc>
                <w:tcPr>
                  <w:tcW w:w="1254" w:type="dxa"/>
                  <w:tcBorders>
                    <w:tl2br w:val="nil"/>
                    <w:tr2bl w:val="nil"/>
                  </w:tcBorders>
                  <w:shd w:val="clear" w:color="auto" w:fill="auto"/>
                  <w:vAlign w:val="center"/>
                </w:tcPr>
                <w:p w14:paraId="230A25F5">
                  <w:pPr>
                    <w:jc w:val="center"/>
                    <w:rPr>
                      <w:rFonts w:hint="default" w:eastAsia="宋体"/>
                      <w:color w:val="auto"/>
                      <w:spacing w:val="-4"/>
                      <w:szCs w:val="21"/>
                      <w:highlight w:val="none"/>
                      <w:lang w:val="en-US" w:eastAsia="zh-CN"/>
                    </w:rPr>
                  </w:pPr>
                  <w:r>
                    <w:rPr>
                      <w:rFonts w:hint="eastAsia"/>
                    </w:rPr>
                    <w:t>500ml</w:t>
                  </w:r>
                </w:p>
              </w:tc>
              <w:tc>
                <w:tcPr>
                  <w:tcW w:w="1473" w:type="dxa"/>
                  <w:tcBorders>
                    <w:tl2br w:val="nil"/>
                    <w:tr2bl w:val="nil"/>
                  </w:tcBorders>
                  <w:shd w:val="clear" w:color="auto" w:fill="auto"/>
                  <w:vAlign w:val="center"/>
                </w:tcPr>
                <w:p w14:paraId="6CDCB308">
                  <w:pPr>
                    <w:jc w:val="center"/>
                    <w:rPr>
                      <w:rFonts w:hint="default" w:ascii="Times New Roman" w:hAnsi="Times New Roman" w:eastAsia="宋体" w:cs="Times New Roman"/>
                      <w:color w:val="auto"/>
                      <w:kern w:val="2"/>
                      <w:sz w:val="21"/>
                      <w:szCs w:val="21"/>
                      <w:highlight w:val="none"/>
                      <w:lang w:val="en-US" w:eastAsia="zh-CN" w:bidi="ar-SA"/>
                    </w:rPr>
                  </w:pPr>
                  <w:r>
                    <w:rPr>
                      <w:rFonts w:hint="eastAsia"/>
                    </w:rPr>
                    <w:t>4L</w:t>
                  </w:r>
                </w:p>
              </w:tc>
              <w:tc>
                <w:tcPr>
                  <w:tcW w:w="1407" w:type="dxa"/>
                  <w:tcBorders>
                    <w:tl2br w:val="nil"/>
                    <w:tr2bl w:val="nil"/>
                  </w:tcBorders>
                  <w:shd w:val="clear" w:color="auto" w:fill="auto"/>
                  <w:vAlign w:val="center"/>
                </w:tcPr>
                <w:p w14:paraId="6CF4BF7D">
                  <w:pPr>
                    <w:spacing w:before="89"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0.789</w:t>
                  </w:r>
                </w:p>
              </w:tc>
              <w:tc>
                <w:tcPr>
                  <w:tcW w:w="1389" w:type="dxa"/>
                  <w:tcBorders>
                    <w:tl2br w:val="nil"/>
                    <w:tr2bl w:val="nil"/>
                  </w:tcBorders>
                  <w:shd w:val="clear" w:color="auto" w:fill="auto"/>
                  <w:vAlign w:val="center"/>
                </w:tcPr>
                <w:p w14:paraId="1EB60270">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3.16</w:t>
                  </w:r>
                </w:p>
              </w:tc>
            </w:tr>
            <w:tr w14:paraId="0A8010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5A1067BF">
                  <w:pPr>
                    <w:numPr>
                      <w:ilvl w:val="0"/>
                      <w:numId w:val="3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245" w:type="dxa"/>
                  <w:tcBorders>
                    <w:tl2br w:val="nil"/>
                    <w:tr2bl w:val="nil"/>
                  </w:tcBorders>
                  <w:shd w:val="clear" w:color="auto" w:fill="auto"/>
                  <w:vAlign w:val="center"/>
                </w:tcPr>
                <w:p w14:paraId="1A084A8C">
                  <w:pPr>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eastAsia"/>
                    </w:rPr>
                    <w:t>异丙酮</w:t>
                  </w:r>
                </w:p>
              </w:tc>
              <w:tc>
                <w:tcPr>
                  <w:tcW w:w="1254" w:type="dxa"/>
                  <w:tcBorders>
                    <w:tl2br w:val="nil"/>
                    <w:tr2bl w:val="nil"/>
                  </w:tcBorders>
                  <w:shd w:val="clear" w:color="auto" w:fill="auto"/>
                  <w:vAlign w:val="center"/>
                </w:tcPr>
                <w:p w14:paraId="5A8E91F4">
                  <w:pPr>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rPr>
                    <w:t>500ml</w:t>
                  </w:r>
                </w:p>
              </w:tc>
              <w:tc>
                <w:tcPr>
                  <w:tcW w:w="1473" w:type="dxa"/>
                  <w:tcBorders>
                    <w:tl2br w:val="nil"/>
                    <w:tr2bl w:val="nil"/>
                  </w:tcBorders>
                  <w:shd w:val="clear" w:color="auto" w:fill="auto"/>
                  <w:vAlign w:val="center"/>
                </w:tcPr>
                <w:p w14:paraId="1FD8D531">
                  <w:pPr>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rPr>
                    <w:t>1L</w:t>
                  </w:r>
                </w:p>
              </w:tc>
              <w:tc>
                <w:tcPr>
                  <w:tcW w:w="1407" w:type="dxa"/>
                  <w:tcBorders>
                    <w:tl2br w:val="nil"/>
                    <w:tr2bl w:val="nil"/>
                  </w:tcBorders>
                  <w:shd w:val="clear" w:color="auto" w:fill="auto"/>
                  <w:vAlign w:val="center"/>
                </w:tcPr>
                <w:p w14:paraId="38DD51A5">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0.785</w:t>
                  </w:r>
                </w:p>
              </w:tc>
              <w:tc>
                <w:tcPr>
                  <w:tcW w:w="1389" w:type="dxa"/>
                  <w:tcBorders>
                    <w:tl2br w:val="nil"/>
                    <w:tr2bl w:val="nil"/>
                  </w:tcBorders>
                  <w:shd w:val="clear" w:color="auto" w:fill="auto"/>
                  <w:vAlign w:val="center"/>
                </w:tcPr>
                <w:p w14:paraId="2C88A7B9">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0.79</w:t>
                  </w:r>
                </w:p>
              </w:tc>
            </w:tr>
            <w:tr w14:paraId="78687F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7B798681">
                  <w:pPr>
                    <w:numPr>
                      <w:ilvl w:val="0"/>
                      <w:numId w:val="3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245" w:type="dxa"/>
                  <w:tcBorders>
                    <w:tl2br w:val="nil"/>
                    <w:tr2bl w:val="nil"/>
                  </w:tcBorders>
                  <w:shd w:val="clear" w:color="auto" w:fill="auto"/>
                  <w:vAlign w:val="center"/>
                </w:tcPr>
                <w:p w14:paraId="6CCD5589">
                  <w:pPr>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rPr>
                    <w:t>丙酮</w:t>
                  </w:r>
                </w:p>
              </w:tc>
              <w:tc>
                <w:tcPr>
                  <w:tcW w:w="1254" w:type="dxa"/>
                  <w:tcBorders>
                    <w:tl2br w:val="nil"/>
                    <w:tr2bl w:val="nil"/>
                  </w:tcBorders>
                  <w:shd w:val="clear" w:color="auto" w:fill="auto"/>
                  <w:vAlign w:val="center"/>
                </w:tcPr>
                <w:p w14:paraId="5A150CA8">
                  <w:pPr>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rPr>
                    <w:t>500ml</w:t>
                  </w:r>
                </w:p>
              </w:tc>
              <w:tc>
                <w:tcPr>
                  <w:tcW w:w="1473" w:type="dxa"/>
                  <w:tcBorders>
                    <w:tl2br w:val="nil"/>
                    <w:tr2bl w:val="nil"/>
                  </w:tcBorders>
                  <w:shd w:val="clear" w:color="auto" w:fill="auto"/>
                  <w:vAlign w:val="center"/>
                </w:tcPr>
                <w:p w14:paraId="11B86BF6">
                  <w:pPr>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rPr>
                    <w:t>5L</w:t>
                  </w:r>
                </w:p>
              </w:tc>
              <w:tc>
                <w:tcPr>
                  <w:tcW w:w="1407" w:type="dxa"/>
                  <w:tcBorders>
                    <w:tl2br w:val="nil"/>
                    <w:tr2bl w:val="nil"/>
                  </w:tcBorders>
                  <w:shd w:val="clear" w:color="auto" w:fill="auto"/>
                  <w:vAlign w:val="center"/>
                </w:tcPr>
                <w:p w14:paraId="45DC504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0.789</w:t>
                  </w:r>
                </w:p>
              </w:tc>
              <w:tc>
                <w:tcPr>
                  <w:tcW w:w="1389" w:type="dxa"/>
                  <w:tcBorders>
                    <w:tl2br w:val="nil"/>
                    <w:tr2bl w:val="nil"/>
                  </w:tcBorders>
                  <w:shd w:val="clear" w:color="auto" w:fill="auto"/>
                  <w:vAlign w:val="center"/>
                </w:tcPr>
                <w:p w14:paraId="19DE56D8">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3.95</w:t>
                  </w:r>
                </w:p>
              </w:tc>
            </w:tr>
            <w:tr w14:paraId="770E7F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37AD4F44">
                  <w:pPr>
                    <w:numPr>
                      <w:ilvl w:val="0"/>
                      <w:numId w:val="3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245" w:type="dxa"/>
                  <w:tcBorders>
                    <w:tl2br w:val="nil"/>
                    <w:tr2bl w:val="nil"/>
                  </w:tcBorders>
                  <w:shd w:val="clear" w:color="auto" w:fill="auto"/>
                  <w:vAlign w:val="center"/>
                </w:tcPr>
                <w:p w14:paraId="6BDFCF4E">
                  <w:pPr>
                    <w:jc w:val="center"/>
                    <w:rPr>
                      <w:rFonts w:hint="default" w:ascii="Times New Roman" w:hAnsi="Times New Roman" w:eastAsia="宋体" w:cs="Times New Roman"/>
                      <w:color w:val="auto"/>
                      <w:kern w:val="2"/>
                      <w:sz w:val="21"/>
                      <w:szCs w:val="21"/>
                      <w:highlight w:val="none"/>
                      <w:lang w:val="en-US" w:eastAsia="zh-CN" w:bidi="ar-SA"/>
                    </w:rPr>
                  </w:pPr>
                  <w:r>
                    <w:rPr>
                      <w:rFonts w:hint="eastAsia"/>
                    </w:rPr>
                    <w:t>正己烷</w:t>
                  </w:r>
                </w:p>
              </w:tc>
              <w:tc>
                <w:tcPr>
                  <w:tcW w:w="1254" w:type="dxa"/>
                  <w:tcBorders>
                    <w:tl2br w:val="nil"/>
                    <w:tr2bl w:val="nil"/>
                  </w:tcBorders>
                  <w:shd w:val="clear" w:color="auto" w:fill="auto"/>
                  <w:vAlign w:val="center"/>
                </w:tcPr>
                <w:p w14:paraId="5E68A5A6">
                  <w:pPr>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rPr>
                    <w:t>500ml</w:t>
                  </w:r>
                </w:p>
              </w:tc>
              <w:tc>
                <w:tcPr>
                  <w:tcW w:w="1473" w:type="dxa"/>
                  <w:tcBorders>
                    <w:tl2br w:val="nil"/>
                    <w:tr2bl w:val="nil"/>
                  </w:tcBorders>
                  <w:shd w:val="clear" w:color="auto" w:fill="auto"/>
                  <w:vAlign w:val="center"/>
                </w:tcPr>
                <w:p w14:paraId="53FF76B0">
                  <w:pPr>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eastAsia"/>
                    </w:rPr>
                    <w:t>5L</w:t>
                  </w:r>
                </w:p>
              </w:tc>
              <w:tc>
                <w:tcPr>
                  <w:tcW w:w="1407" w:type="dxa"/>
                  <w:tcBorders>
                    <w:tl2br w:val="nil"/>
                    <w:tr2bl w:val="nil"/>
                  </w:tcBorders>
                  <w:shd w:val="clear" w:color="auto" w:fill="auto"/>
                  <w:vAlign w:val="center"/>
                </w:tcPr>
                <w:p w14:paraId="6223B95C">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0.659</w:t>
                  </w:r>
                </w:p>
              </w:tc>
              <w:tc>
                <w:tcPr>
                  <w:tcW w:w="1389" w:type="dxa"/>
                  <w:tcBorders>
                    <w:tl2br w:val="nil"/>
                    <w:tr2bl w:val="nil"/>
                  </w:tcBorders>
                  <w:shd w:val="clear" w:color="auto" w:fill="auto"/>
                  <w:vAlign w:val="center"/>
                </w:tcPr>
                <w:p w14:paraId="1DA73D3D">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3.30</w:t>
                  </w:r>
                </w:p>
              </w:tc>
            </w:tr>
            <w:tr w14:paraId="3C27F8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629C8720">
                  <w:pPr>
                    <w:numPr>
                      <w:ilvl w:val="0"/>
                      <w:numId w:val="3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245" w:type="dxa"/>
                  <w:tcBorders>
                    <w:tl2br w:val="nil"/>
                    <w:tr2bl w:val="nil"/>
                  </w:tcBorders>
                  <w:shd w:val="clear" w:color="auto" w:fill="auto"/>
                  <w:vAlign w:val="center"/>
                </w:tcPr>
                <w:p w14:paraId="67B6328B">
                  <w:pPr>
                    <w:jc w:val="center"/>
                    <w:rPr>
                      <w:color w:val="auto"/>
                      <w:spacing w:val="-6"/>
                      <w:szCs w:val="21"/>
                      <w:highlight w:val="none"/>
                    </w:rPr>
                  </w:pPr>
                  <w:r>
                    <w:rPr>
                      <w:rFonts w:hint="eastAsia"/>
                    </w:rPr>
                    <w:t>三氯甲烷</w:t>
                  </w:r>
                </w:p>
              </w:tc>
              <w:tc>
                <w:tcPr>
                  <w:tcW w:w="1254" w:type="dxa"/>
                  <w:tcBorders>
                    <w:tl2br w:val="nil"/>
                    <w:tr2bl w:val="nil"/>
                  </w:tcBorders>
                  <w:shd w:val="clear" w:color="auto" w:fill="auto"/>
                  <w:vAlign w:val="center"/>
                </w:tcPr>
                <w:p w14:paraId="5929396A">
                  <w:pPr>
                    <w:jc w:val="center"/>
                    <w:rPr>
                      <w:rFonts w:hint="eastAsia" w:eastAsia="宋体"/>
                      <w:color w:val="auto"/>
                      <w:spacing w:val="-4"/>
                      <w:szCs w:val="21"/>
                      <w:highlight w:val="none"/>
                      <w:lang w:val="en-US" w:eastAsia="zh-CN"/>
                    </w:rPr>
                  </w:pPr>
                  <w:r>
                    <w:rPr>
                      <w:rFonts w:hint="eastAsia"/>
                    </w:rPr>
                    <w:t>500ml</w:t>
                  </w:r>
                </w:p>
              </w:tc>
              <w:tc>
                <w:tcPr>
                  <w:tcW w:w="1473" w:type="dxa"/>
                  <w:tcBorders>
                    <w:tl2br w:val="nil"/>
                    <w:tr2bl w:val="nil"/>
                  </w:tcBorders>
                  <w:shd w:val="clear" w:color="auto" w:fill="auto"/>
                  <w:vAlign w:val="center"/>
                </w:tcPr>
                <w:p w14:paraId="3B91167B">
                  <w:pPr>
                    <w:jc w:val="center"/>
                    <w:rPr>
                      <w:rFonts w:hint="eastAsia" w:eastAsia="Times New Roman" w:cs="Times New Roman"/>
                      <w:color w:val="auto"/>
                      <w:spacing w:val="6"/>
                      <w:kern w:val="2"/>
                      <w:sz w:val="21"/>
                      <w:szCs w:val="21"/>
                      <w:highlight w:val="none"/>
                      <w:lang w:val="en-US" w:eastAsia="zh-CN" w:bidi="ar-SA"/>
                    </w:rPr>
                  </w:pPr>
                  <w:r>
                    <w:rPr>
                      <w:rFonts w:hint="eastAsia"/>
                    </w:rPr>
                    <w:t>100L</w:t>
                  </w:r>
                </w:p>
              </w:tc>
              <w:tc>
                <w:tcPr>
                  <w:tcW w:w="1407" w:type="dxa"/>
                  <w:tcBorders>
                    <w:tl2br w:val="nil"/>
                    <w:tr2bl w:val="nil"/>
                  </w:tcBorders>
                  <w:shd w:val="clear" w:color="auto" w:fill="auto"/>
                  <w:vAlign w:val="center"/>
                </w:tcPr>
                <w:p w14:paraId="02046492">
                  <w:pPr>
                    <w:numPr>
                      <w:ilvl w:val="0"/>
                      <w:numId w:val="0"/>
                    </w:numPr>
                    <w:spacing w:line="240" w:lineRule="auto"/>
                    <w:ind w:left="0" w:leftChars="0" w:firstLine="0" w:firstLineChars="0"/>
                    <w:jc w:val="center"/>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1.480</w:t>
                  </w:r>
                </w:p>
              </w:tc>
              <w:tc>
                <w:tcPr>
                  <w:tcW w:w="1389" w:type="dxa"/>
                  <w:tcBorders>
                    <w:tl2br w:val="nil"/>
                    <w:tr2bl w:val="nil"/>
                  </w:tcBorders>
                  <w:shd w:val="clear" w:color="auto" w:fill="auto"/>
                  <w:vAlign w:val="center"/>
                </w:tcPr>
                <w:p w14:paraId="130919EA">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148.00</w:t>
                  </w:r>
                </w:p>
              </w:tc>
            </w:tr>
            <w:tr w14:paraId="566AA1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6EDD9ABB">
                  <w:pPr>
                    <w:numPr>
                      <w:ilvl w:val="0"/>
                      <w:numId w:val="3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245" w:type="dxa"/>
                  <w:tcBorders>
                    <w:tl2br w:val="nil"/>
                    <w:tr2bl w:val="nil"/>
                  </w:tcBorders>
                  <w:shd w:val="clear" w:color="auto" w:fill="auto"/>
                  <w:vAlign w:val="center"/>
                </w:tcPr>
                <w:p w14:paraId="040B8AFD">
                  <w:pPr>
                    <w:jc w:val="center"/>
                    <w:rPr>
                      <w:color w:val="auto"/>
                      <w:spacing w:val="-6"/>
                      <w:szCs w:val="21"/>
                      <w:highlight w:val="none"/>
                    </w:rPr>
                  </w:pPr>
                  <w:r>
                    <w:rPr>
                      <w:rFonts w:hint="eastAsia"/>
                    </w:rPr>
                    <w:t>四氯乙烯</w:t>
                  </w:r>
                </w:p>
              </w:tc>
              <w:tc>
                <w:tcPr>
                  <w:tcW w:w="1254" w:type="dxa"/>
                  <w:tcBorders>
                    <w:tl2br w:val="nil"/>
                    <w:tr2bl w:val="nil"/>
                  </w:tcBorders>
                  <w:shd w:val="clear" w:color="auto" w:fill="auto"/>
                  <w:vAlign w:val="center"/>
                </w:tcPr>
                <w:p w14:paraId="093C647C">
                  <w:pPr>
                    <w:jc w:val="center"/>
                    <w:rPr>
                      <w:rFonts w:hint="eastAsia" w:eastAsia="宋体"/>
                      <w:color w:val="auto"/>
                      <w:spacing w:val="-4"/>
                      <w:szCs w:val="21"/>
                      <w:highlight w:val="none"/>
                      <w:lang w:val="en-US" w:eastAsia="zh-CN"/>
                    </w:rPr>
                  </w:pPr>
                  <w:r>
                    <w:rPr>
                      <w:rFonts w:hint="eastAsia"/>
                    </w:rPr>
                    <w:t>500ml</w:t>
                  </w:r>
                </w:p>
              </w:tc>
              <w:tc>
                <w:tcPr>
                  <w:tcW w:w="1473" w:type="dxa"/>
                  <w:tcBorders>
                    <w:tl2br w:val="nil"/>
                    <w:tr2bl w:val="nil"/>
                  </w:tcBorders>
                  <w:shd w:val="clear" w:color="auto" w:fill="auto"/>
                  <w:vAlign w:val="center"/>
                </w:tcPr>
                <w:p w14:paraId="3BB7E64B">
                  <w:pPr>
                    <w:jc w:val="center"/>
                    <w:rPr>
                      <w:rFonts w:hint="eastAsia" w:eastAsia="Times New Roman" w:cs="Times New Roman"/>
                      <w:color w:val="auto"/>
                      <w:spacing w:val="6"/>
                      <w:kern w:val="2"/>
                      <w:sz w:val="21"/>
                      <w:szCs w:val="21"/>
                      <w:highlight w:val="none"/>
                      <w:lang w:val="en-US" w:eastAsia="zh-CN" w:bidi="ar-SA"/>
                    </w:rPr>
                  </w:pPr>
                  <w:r>
                    <w:rPr>
                      <w:rFonts w:hint="eastAsia"/>
                    </w:rPr>
                    <w:t>100L</w:t>
                  </w:r>
                </w:p>
              </w:tc>
              <w:tc>
                <w:tcPr>
                  <w:tcW w:w="1407" w:type="dxa"/>
                  <w:tcBorders>
                    <w:tl2br w:val="nil"/>
                    <w:tr2bl w:val="nil"/>
                  </w:tcBorders>
                  <w:shd w:val="clear" w:color="auto" w:fill="auto"/>
                  <w:vAlign w:val="center"/>
                </w:tcPr>
                <w:p w14:paraId="27377E1C">
                  <w:pPr>
                    <w:numPr>
                      <w:ilvl w:val="0"/>
                      <w:numId w:val="0"/>
                    </w:numPr>
                    <w:spacing w:line="240" w:lineRule="auto"/>
                    <w:ind w:left="0" w:leftChars="0" w:firstLine="0" w:firstLineChars="0"/>
                    <w:jc w:val="center"/>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1.620</w:t>
                  </w:r>
                </w:p>
              </w:tc>
              <w:tc>
                <w:tcPr>
                  <w:tcW w:w="1389" w:type="dxa"/>
                  <w:tcBorders>
                    <w:tl2br w:val="nil"/>
                    <w:tr2bl w:val="nil"/>
                  </w:tcBorders>
                  <w:shd w:val="clear" w:color="auto" w:fill="auto"/>
                  <w:vAlign w:val="center"/>
                </w:tcPr>
                <w:p w14:paraId="02432611">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162.00</w:t>
                  </w:r>
                </w:p>
              </w:tc>
            </w:tr>
            <w:tr w14:paraId="7AEE43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49" w:type="dxa"/>
                  <w:tcBorders>
                    <w:tl2br w:val="nil"/>
                    <w:tr2bl w:val="nil"/>
                  </w:tcBorders>
                  <w:vAlign w:val="center"/>
                </w:tcPr>
                <w:p w14:paraId="6D59C6E8">
                  <w:pPr>
                    <w:numPr>
                      <w:ilvl w:val="0"/>
                      <w:numId w:val="33"/>
                    </w:numPr>
                    <w:spacing w:line="240" w:lineRule="auto"/>
                    <w:ind w:left="425" w:leftChars="0" w:hanging="425" w:firstLineChars="0"/>
                    <w:jc w:val="center"/>
                    <w:rPr>
                      <w:rFonts w:hint="default" w:ascii="Times New Roman" w:hAnsi="Times New Roman" w:eastAsia="宋体" w:cs="Times New Roman"/>
                      <w:b w:val="0"/>
                      <w:bCs w:val="0"/>
                      <w:color w:val="auto"/>
                      <w:sz w:val="21"/>
                      <w:szCs w:val="21"/>
                      <w:highlight w:val="none"/>
                      <w:vertAlign w:val="baseline"/>
                    </w:rPr>
                  </w:pPr>
                </w:p>
              </w:tc>
              <w:tc>
                <w:tcPr>
                  <w:tcW w:w="1245" w:type="dxa"/>
                  <w:tcBorders>
                    <w:tl2br w:val="nil"/>
                    <w:tr2bl w:val="nil"/>
                  </w:tcBorders>
                  <w:shd w:val="clear" w:color="auto" w:fill="auto"/>
                  <w:vAlign w:val="center"/>
                </w:tcPr>
                <w:p w14:paraId="616C863B">
                  <w:pPr>
                    <w:jc w:val="center"/>
                    <w:rPr>
                      <w:rFonts w:hint="eastAsia"/>
                    </w:rPr>
                  </w:pPr>
                  <w:r>
                    <w:rPr>
                      <w:rFonts w:hint="eastAsia"/>
                    </w:rPr>
                    <w:t>冰醋酸</w:t>
                  </w:r>
                </w:p>
              </w:tc>
              <w:tc>
                <w:tcPr>
                  <w:tcW w:w="1254" w:type="dxa"/>
                  <w:tcBorders>
                    <w:tl2br w:val="nil"/>
                    <w:tr2bl w:val="nil"/>
                  </w:tcBorders>
                  <w:shd w:val="clear" w:color="auto" w:fill="auto"/>
                  <w:vAlign w:val="center"/>
                </w:tcPr>
                <w:p w14:paraId="2B01BDE1">
                  <w:pPr>
                    <w:jc w:val="center"/>
                    <w:rPr>
                      <w:rFonts w:hint="eastAsia"/>
                    </w:rPr>
                  </w:pPr>
                  <w:r>
                    <w:rPr>
                      <w:rFonts w:hint="eastAsia"/>
                    </w:rPr>
                    <w:t>500ml</w:t>
                  </w:r>
                </w:p>
              </w:tc>
              <w:tc>
                <w:tcPr>
                  <w:tcW w:w="1473" w:type="dxa"/>
                  <w:tcBorders>
                    <w:tl2br w:val="nil"/>
                    <w:tr2bl w:val="nil"/>
                  </w:tcBorders>
                  <w:shd w:val="clear" w:color="auto" w:fill="auto"/>
                  <w:vAlign w:val="center"/>
                </w:tcPr>
                <w:p w14:paraId="429C11CE">
                  <w:pPr>
                    <w:jc w:val="center"/>
                    <w:rPr>
                      <w:rFonts w:hint="eastAsia"/>
                    </w:rPr>
                  </w:pPr>
                  <w:r>
                    <w:rPr>
                      <w:rFonts w:hint="eastAsia"/>
                    </w:rPr>
                    <w:t>5L</w:t>
                  </w:r>
                </w:p>
              </w:tc>
              <w:tc>
                <w:tcPr>
                  <w:tcW w:w="1407" w:type="dxa"/>
                  <w:tcBorders>
                    <w:tl2br w:val="nil"/>
                    <w:tr2bl w:val="nil"/>
                  </w:tcBorders>
                  <w:shd w:val="clear" w:color="auto" w:fill="auto"/>
                  <w:vAlign w:val="center"/>
                </w:tcPr>
                <w:p w14:paraId="5FEA8820">
                  <w:pPr>
                    <w:numPr>
                      <w:ilvl w:val="0"/>
                      <w:numId w:val="0"/>
                    </w:numPr>
                    <w:spacing w:line="240" w:lineRule="auto"/>
                    <w:ind w:left="0" w:leftChars="0" w:firstLine="0" w:firstLineChars="0"/>
                    <w:jc w:val="center"/>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1.050</w:t>
                  </w:r>
                </w:p>
              </w:tc>
              <w:tc>
                <w:tcPr>
                  <w:tcW w:w="1389" w:type="dxa"/>
                  <w:tcBorders>
                    <w:tl2br w:val="nil"/>
                    <w:tr2bl w:val="nil"/>
                  </w:tcBorders>
                  <w:shd w:val="clear" w:color="auto" w:fill="auto"/>
                  <w:vAlign w:val="center"/>
                </w:tcPr>
                <w:p w14:paraId="38095376">
                  <w:pPr>
                    <w:numPr>
                      <w:ilvl w:val="0"/>
                      <w:numId w:val="0"/>
                    </w:numPr>
                    <w:spacing w:line="240" w:lineRule="auto"/>
                    <w:ind w:left="0" w:leftChars="0" w:firstLine="0" w:firstLineChars="0"/>
                    <w:jc w:val="center"/>
                    <w:rPr>
                      <w:rFonts w:hint="eastAsia"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5.25</w:t>
                  </w:r>
                </w:p>
              </w:tc>
            </w:tr>
            <w:tr w14:paraId="0882BA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6028" w:type="dxa"/>
                  <w:gridSpan w:val="5"/>
                  <w:tcBorders>
                    <w:tl2br w:val="nil"/>
                    <w:tr2bl w:val="nil"/>
                  </w:tcBorders>
                  <w:vAlign w:val="center"/>
                </w:tcPr>
                <w:p w14:paraId="490EC9BF">
                  <w:pPr>
                    <w:numPr>
                      <w:ilvl w:val="0"/>
                      <w:numId w:val="0"/>
                    </w:numPr>
                    <w:spacing w:line="240" w:lineRule="auto"/>
                    <w:ind w:left="0" w:leftChars="0" w:firstLine="0" w:firstLineChars="0"/>
                    <w:jc w:val="center"/>
                    <w:rPr>
                      <w:rFonts w:hint="default"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产生挥发性有机物试剂合计</w:t>
                  </w:r>
                </w:p>
              </w:tc>
              <w:tc>
                <w:tcPr>
                  <w:tcW w:w="1389" w:type="dxa"/>
                  <w:tcBorders>
                    <w:tl2br w:val="nil"/>
                    <w:tr2bl w:val="nil"/>
                  </w:tcBorders>
                  <w:shd w:val="clear" w:color="auto" w:fill="auto"/>
                  <w:vAlign w:val="center"/>
                </w:tcPr>
                <w:p w14:paraId="38B2B3FE">
                  <w:pPr>
                    <w:spacing w:before="88" w:line="240" w:lineRule="auto"/>
                    <w:jc w:val="center"/>
                    <w:rPr>
                      <w:rFonts w:hint="default"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326.71</w:t>
                  </w:r>
                </w:p>
              </w:tc>
            </w:tr>
          </w:tbl>
          <w:p w14:paraId="274D787D">
            <w:pPr>
              <w:numPr>
                <w:ilvl w:val="0"/>
                <w:numId w:val="0"/>
              </w:numPr>
              <w:adjustRightInd w:val="0"/>
              <w:snapToGrid w:val="0"/>
              <w:spacing w:line="360" w:lineRule="auto"/>
              <w:ind w:leftChars="200"/>
              <w:rPr>
                <w:rFonts w:hint="default" w:ascii="Times New Roman" w:hAnsi="Times New Roman" w:eastAsia="宋体" w:cs="Times New Roman"/>
                <w:color w:val="auto"/>
                <w:kern w:val="0"/>
                <w:sz w:val="24"/>
                <w:highlight w:val="none"/>
              </w:rPr>
            </w:pPr>
            <w:r>
              <w:rPr>
                <w:rFonts w:hint="eastAsia" w:cs="Times New Roman"/>
                <w:color w:val="auto"/>
                <w:kern w:val="0"/>
                <w:sz w:val="24"/>
                <w:highlight w:val="none"/>
                <w:lang w:val="en-US" w:eastAsia="zh-CN"/>
              </w:rPr>
              <w:t>1）</w:t>
            </w:r>
            <w:r>
              <w:rPr>
                <w:rFonts w:hint="eastAsia" w:ascii="Times New Roman" w:hAnsi="Times New Roman" w:eastAsia="宋体" w:cs="Times New Roman"/>
                <w:color w:val="auto"/>
                <w:kern w:val="0"/>
                <w:sz w:val="24"/>
                <w:highlight w:val="none"/>
                <w:lang w:val="en-US" w:eastAsia="zh-CN"/>
              </w:rPr>
              <w:t>挥发性有机废气</w:t>
            </w:r>
          </w:p>
          <w:p w14:paraId="6E063E97">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项目使用的有机试剂主要有甲醇、乙醇</w:t>
            </w:r>
            <w:r>
              <w:rPr>
                <w:rFonts w:hint="eastAsia" w:cs="Times New Roman"/>
                <w:color w:val="auto"/>
                <w:kern w:val="0"/>
                <w:sz w:val="24"/>
                <w:highlight w:val="none"/>
                <w:lang w:val="en-US" w:eastAsia="zh-CN"/>
              </w:rPr>
              <w:t>、丙酮</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正己烷、三氯甲烷、四氯乙烯</w:t>
            </w:r>
            <w:r>
              <w:rPr>
                <w:rFonts w:hint="eastAsia" w:ascii="Times New Roman" w:hAnsi="Times New Roman" w:eastAsia="宋体" w:cs="Times New Roman"/>
                <w:color w:val="auto"/>
                <w:kern w:val="0"/>
                <w:sz w:val="24"/>
                <w:highlight w:val="none"/>
                <w:lang w:val="en-US" w:eastAsia="zh-CN"/>
              </w:rPr>
              <w:t>等，使用过程中会产生挥发性有机废气，企业每天有机试剂使用时间约</w:t>
            </w:r>
            <w:r>
              <w:rPr>
                <w:rFonts w:hint="eastAsia"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h</w:t>
            </w:r>
            <w:r>
              <w:rPr>
                <w:rFonts w:hint="eastAsia" w:ascii="Times New Roman" w:hAnsi="Times New Roman" w:eastAsia="宋体" w:cs="Times New Roman"/>
                <w:color w:val="auto"/>
                <w:kern w:val="0"/>
                <w:sz w:val="24"/>
                <w:highlight w:val="none"/>
                <w:lang w:val="en-US" w:eastAsia="zh-CN"/>
              </w:rPr>
              <w:t>，每年使用有机试剂天数为</w:t>
            </w:r>
            <w:r>
              <w:rPr>
                <w:rFonts w:hint="eastAsia" w:cs="Times New Roman"/>
                <w:color w:val="auto"/>
                <w:kern w:val="0"/>
                <w:sz w:val="24"/>
                <w:highlight w:val="none"/>
                <w:lang w:val="en-US" w:eastAsia="zh-CN"/>
              </w:rPr>
              <w:t>260</w:t>
            </w:r>
            <w:r>
              <w:rPr>
                <w:rFonts w:hint="eastAsia" w:ascii="Times New Roman" w:hAnsi="Times New Roman" w:eastAsia="宋体" w:cs="Times New Roman"/>
                <w:color w:val="auto"/>
                <w:kern w:val="0"/>
                <w:sz w:val="24"/>
                <w:highlight w:val="none"/>
                <w:lang w:val="en-US" w:eastAsia="zh-CN"/>
              </w:rPr>
              <w:t>天。</w:t>
            </w:r>
          </w:p>
          <w:p w14:paraId="5C679DD1">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根据美国环境保护局编写的《空气污染物排放和控制手册工业污染源调查与研究》等相关资料可知，在实验状态下，有机试剂的挥发比例一般为试剂使用量的</w:t>
            </w:r>
            <w:r>
              <w:rPr>
                <w:rFonts w:hint="default" w:ascii="Times New Roman" w:hAnsi="Times New Roman" w:eastAsia="宋体" w:cs="Times New Roman"/>
                <w:color w:val="auto"/>
                <w:kern w:val="0"/>
                <w:sz w:val="24"/>
                <w:highlight w:val="none"/>
                <w:lang w:val="en-US" w:eastAsia="zh-CN"/>
              </w:rPr>
              <w:t>1%-4%</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项目以最不利情况考虑，挥发比例以</w:t>
            </w:r>
            <w:r>
              <w:rPr>
                <w:rFonts w:hint="default" w:ascii="Times New Roman" w:hAnsi="Times New Roman" w:eastAsia="宋体" w:cs="Times New Roman"/>
                <w:color w:val="auto"/>
                <w:kern w:val="0"/>
                <w:sz w:val="24"/>
                <w:highlight w:val="none"/>
                <w:lang w:val="en-US" w:eastAsia="zh-CN"/>
              </w:rPr>
              <w:t>4%</w:t>
            </w:r>
            <w:r>
              <w:rPr>
                <w:rFonts w:hint="eastAsia" w:ascii="Times New Roman" w:hAnsi="Times New Roman" w:eastAsia="宋体" w:cs="Times New Roman"/>
                <w:color w:val="auto"/>
                <w:kern w:val="0"/>
                <w:sz w:val="24"/>
                <w:highlight w:val="none"/>
                <w:lang w:val="en-US" w:eastAsia="zh-CN"/>
              </w:rPr>
              <w:t>计。</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项目挥发性有机试剂的用量及挥发量见下表。</w:t>
            </w:r>
          </w:p>
          <w:p w14:paraId="25B4296C">
            <w:pPr>
              <w:keepNext w:val="0"/>
              <w:keepLines w:val="0"/>
              <w:widowControl/>
              <w:numPr>
                <w:ilvl w:val="0"/>
                <w:numId w:val="32"/>
              </w:numPr>
              <w:suppressLineNumbers w:val="0"/>
              <w:ind w:left="425" w:leftChars="0" w:hanging="425" w:firstLineChars="0"/>
              <w:jc w:val="center"/>
              <w:rPr>
                <w:rFonts w:hint="eastAsia" w:ascii="Times New Roman" w:hAnsi="Times New Roman" w:eastAsia="宋体" w:cs="Times New Roman"/>
                <w:b/>
                <w:bCs/>
                <w:color w:val="auto"/>
                <w:kern w:val="0"/>
                <w:sz w:val="24"/>
                <w:szCs w:val="24"/>
                <w:highlight w:val="none"/>
                <w:lang w:val="en-US" w:eastAsia="zh-CN"/>
              </w:rPr>
            </w:pPr>
            <w:r>
              <w:rPr>
                <w:rFonts w:hint="eastAsia" w:ascii="宋体" w:hAnsi="宋体" w:cs="宋体"/>
                <w:b/>
                <w:bCs/>
                <w:color w:val="auto"/>
                <w:kern w:val="0"/>
                <w:sz w:val="24"/>
                <w:szCs w:val="24"/>
                <w:lang w:val="en-US" w:eastAsia="zh-CN" w:bidi="ar"/>
              </w:rPr>
              <w:t>本</w:t>
            </w:r>
            <w:r>
              <w:rPr>
                <w:rFonts w:hint="eastAsia" w:ascii="宋体" w:hAnsi="宋体" w:eastAsia="宋体" w:cs="宋体"/>
                <w:b/>
                <w:bCs/>
                <w:color w:val="auto"/>
                <w:kern w:val="0"/>
                <w:sz w:val="24"/>
                <w:szCs w:val="24"/>
                <w:lang w:val="en-US" w:eastAsia="zh-CN" w:bidi="ar"/>
              </w:rPr>
              <w:t>项目挥发性有机试剂用量及挥发量一览表</w:t>
            </w:r>
          </w:p>
          <w:tbl>
            <w:tblPr>
              <w:tblStyle w:val="24"/>
              <w:tblW w:w="7556"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1008"/>
              <w:gridCol w:w="907"/>
              <w:gridCol w:w="730"/>
              <w:gridCol w:w="1814"/>
              <w:gridCol w:w="1201"/>
              <w:gridCol w:w="1201"/>
            </w:tblGrid>
            <w:tr w14:paraId="0F15A7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95" w:type="dxa"/>
                  <w:tcBorders>
                    <w:tl2br w:val="nil"/>
                    <w:tr2bl w:val="nil"/>
                  </w:tcBorders>
                  <w:vAlign w:val="center"/>
                </w:tcPr>
                <w:p w14:paraId="1CD67C21">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序号</w:t>
                  </w:r>
                </w:p>
              </w:tc>
              <w:tc>
                <w:tcPr>
                  <w:tcW w:w="1008" w:type="dxa"/>
                  <w:tcBorders>
                    <w:tl2br w:val="nil"/>
                    <w:tr2bl w:val="nil"/>
                  </w:tcBorders>
                  <w:vAlign w:val="center"/>
                </w:tcPr>
                <w:p w14:paraId="0DFDAE26">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试剂名称</w:t>
                  </w:r>
                </w:p>
              </w:tc>
              <w:tc>
                <w:tcPr>
                  <w:tcW w:w="907" w:type="dxa"/>
                  <w:tcBorders>
                    <w:tl2br w:val="nil"/>
                    <w:tr2bl w:val="nil"/>
                  </w:tcBorders>
                  <w:vAlign w:val="center"/>
                </w:tcPr>
                <w:p w14:paraId="492ADDAC">
                  <w:pPr>
                    <w:numPr>
                      <w:ilvl w:val="0"/>
                      <w:numId w:val="0"/>
                    </w:numPr>
                    <w:adjustRightInd w:val="0"/>
                    <w:snapToGrid w:val="0"/>
                    <w:spacing w:line="240" w:lineRule="auto"/>
                    <w:jc w:val="center"/>
                    <w:rPr>
                      <w:rFonts w:hint="eastAsia"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年用量（</w:t>
                  </w:r>
                  <w:r>
                    <w:rPr>
                      <w:rFonts w:hint="default" w:cs="Times New Roman"/>
                      <w:b/>
                      <w:bCs/>
                      <w:color w:val="auto"/>
                      <w:kern w:val="0"/>
                      <w:sz w:val="21"/>
                      <w:szCs w:val="21"/>
                      <w:highlight w:val="none"/>
                      <w:vertAlign w:val="baseline"/>
                      <w:lang w:val="en-US" w:eastAsia="zh-CN"/>
                    </w:rPr>
                    <w:t>kg/</w:t>
                  </w:r>
                  <w:r>
                    <w:rPr>
                      <w:rFonts w:hint="eastAsia" w:cs="Times New Roman"/>
                      <w:b/>
                      <w:bCs/>
                      <w:color w:val="auto"/>
                      <w:kern w:val="0"/>
                      <w:sz w:val="21"/>
                      <w:szCs w:val="21"/>
                      <w:highlight w:val="none"/>
                      <w:vertAlign w:val="baseline"/>
                      <w:lang w:val="en-US" w:eastAsia="zh-CN"/>
                    </w:rPr>
                    <w:t>a</w:t>
                  </w:r>
                </w:p>
              </w:tc>
              <w:tc>
                <w:tcPr>
                  <w:tcW w:w="730" w:type="dxa"/>
                  <w:tcBorders>
                    <w:tl2br w:val="nil"/>
                    <w:tr2bl w:val="nil"/>
                  </w:tcBorders>
                  <w:vAlign w:val="center"/>
                </w:tcPr>
                <w:p w14:paraId="3CAFF905">
                  <w:pPr>
                    <w:numPr>
                      <w:ilvl w:val="0"/>
                      <w:numId w:val="0"/>
                    </w:numPr>
                    <w:adjustRightInd w:val="0"/>
                    <w:snapToGrid w:val="0"/>
                    <w:spacing w:line="240" w:lineRule="auto"/>
                    <w:jc w:val="center"/>
                    <w:rPr>
                      <w:rFonts w:hint="eastAsia"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挥发</w:t>
                  </w:r>
                </w:p>
                <w:p w14:paraId="6E6C27B1">
                  <w:pPr>
                    <w:numPr>
                      <w:ilvl w:val="0"/>
                      <w:numId w:val="0"/>
                    </w:numPr>
                    <w:adjustRightInd w:val="0"/>
                    <w:snapToGrid w:val="0"/>
                    <w:spacing w:line="240" w:lineRule="auto"/>
                    <w:jc w:val="center"/>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比例</w:t>
                  </w:r>
                </w:p>
              </w:tc>
              <w:tc>
                <w:tcPr>
                  <w:tcW w:w="1814" w:type="dxa"/>
                  <w:tcBorders>
                    <w:tl2br w:val="nil"/>
                    <w:tr2bl w:val="nil"/>
                  </w:tcBorders>
                  <w:vAlign w:val="center"/>
                </w:tcPr>
                <w:p w14:paraId="32F5FC85">
                  <w:pPr>
                    <w:numPr>
                      <w:ilvl w:val="0"/>
                      <w:numId w:val="0"/>
                    </w:numPr>
                    <w:adjustRightInd w:val="0"/>
                    <w:snapToGrid w:val="0"/>
                    <w:spacing w:line="240" w:lineRule="auto"/>
                    <w:jc w:val="center"/>
                    <w:rPr>
                      <w:rFonts w:hint="eastAsia"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污染物名称</w:t>
                  </w:r>
                </w:p>
              </w:tc>
              <w:tc>
                <w:tcPr>
                  <w:tcW w:w="1201" w:type="dxa"/>
                  <w:tcBorders>
                    <w:tl2br w:val="nil"/>
                    <w:tr2bl w:val="nil"/>
                  </w:tcBorders>
                  <w:vAlign w:val="center"/>
                </w:tcPr>
                <w:p w14:paraId="5A910E3C">
                  <w:pPr>
                    <w:numPr>
                      <w:ilvl w:val="0"/>
                      <w:numId w:val="0"/>
                    </w:numPr>
                    <w:adjustRightInd w:val="0"/>
                    <w:snapToGrid w:val="0"/>
                    <w:spacing w:line="240" w:lineRule="auto"/>
                    <w:jc w:val="center"/>
                    <w:rPr>
                      <w:rFonts w:hint="eastAsia"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污染物产生量（</w:t>
                  </w:r>
                  <w:r>
                    <w:rPr>
                      <w:rFonts w:hint="default" w:cs="Times New Roman"/>
                      <w:b/>
                      <w:bCs/>
                      <w:color w:val="auto"/>
                      <w:kern w:val="0"/>
                      <w:sz w:val="21"/>
                      <w:szCs w:val="21"/>
                      <w:highlight w:val="none"/>
                      <w:vertAlign w:val="baseline"/>
                      <w:lang w:val="en-US" w:eastAsia="zh-CN"/>
                    </w:rPr>
                    <w:t>kg/</w:t>
                  </w:r>
                  <w:r>
                    <w:rPr>
                      <w:rFonts w:hint="eastAsia" w:cs="Times New Roman"/>
                      <w:b/>
                      <w:bCs/>
                      <w:color w:val="auto"/>
                      <w:kern w:val="0"/>
                      <w:sz w:val="21"/>
                      <w:szCs w:val="21"/>
                      <w:highlight w:val="none"/>
                      <w:vertAlign w:val="baseline"/>
                      <w:lang w:val="en-US" w:eastAsia="zh-CN"/>
                    </w:rPr>
                    <w:t>a)</w:t>
                  </w:r>
                </w:p>
              </w:tc>
              <w:tc>
                <w:tcPr>
                  <w:tcW w:w="1201" w:type="dxa"/>
                  <w:tcBorders>
                    <w:tl2br w:val="nil"/>
                    <w:tr2bl w:val="nil"/>
                  </w:tcBorders>
                  <w:vAlign w:val="center"/>
                </w:tcPr>
                <w:p w14:paraId="1F8BBF89">
                  <w:pPr>
                    <w:numPr>
                      <w:ilvl w:val="0"/>
                      <w:numId w:val="0"/>
                    </w:numPr>
                    <w:adjustRightInd w:val="0"/>
                    <w:snapToGrid w:val="0"/>
                    <w:spacing w:line="240" w:lineRule="auto"/>
                    <w:jc w:val="center"/>
                    <w:rPr>
                      <w:rFonts w:hint="default" w:cs="Times New Roman"/>
                      <w:b/>
                      <w:bCs/>
                      <w:color w:val="auto"/>
                      <w:kern w:val="0"/>
                      <w:sz w:val="21"/>
                      <w:szCs w:val="21"/>
                      <w:highlight w:val="none"/>
                      <w:vertAlign w:val="baseline"/>
                      <w:lang w:val="en-US" w:eastAsia="zh-CN"/>
                    </w:rPr>
                  </w:pPr>
                  <w:r>
                    <w:rPr>
                      <w:rFonts w:hint="eastAsia" w:cs="Times New Roman"/>
                      <w:b/>
                      <w:bCs/>
                      <w:color w:val="auto"/>
                      <w:kern w:val="0"/>
                      <w:sz w:val="21"/>
                      <w:szCs w:val="21"/>
                      <w:highlight w:val="none"/>
                      <w:vertAlign w:val="baseline"/>
                      <w:lang w:val="en-US" w:eastAsia="zh-CN"/>
                    </w:rPr>
                    <w:t>产生速率（</w:t>
                  </w:r>
                  <w:r>
                    <w:rPr>
                      <w:rFonts w:hint="default" w:cs="Times New Roman"/>
                      <w:b/>
                      <w:bCs/>
                      <w:color w:val="auto"/>
                      <w:kern w:val="0"/>
                      <w:sz w:val="21"/>
                      <w:szCs w:val="21"/>
                      <w:highlight w:val="none"/>
                      <w:vertAlign w:val="baseline"/>
                      <w:lang w:val="en-US" w:eastAsia="zh-CN"/>
                    </w:rPr>
                    <w:t>kg/</w:t>
                  </w:r>
                  <w:r>
                    <w:rPr>
                      <w:rFonts w:hint="eastAsia" w:cs="Times New Roman"/>
                      <w:b/>
                      <w:bCs/>
                      <w:color w:val="auto"/>
                      <w:kern w:val="0"/>
                      <w:sz w:val="21"/>
                      <w:szCs w:val="21"/>
                      <w:highlight w:val="none"/>
                      <w:vertAlign w:val="baseline"/>
                      <w:lang w:val="en-US" w:eastAsia="zh-CN"/>
                    </w:rPr>
                    <w:t>h)</w:t>
                  </w:r>
                </w:p>
              </w:tc>
            </w:tr>
            <w:tr w14:paraId="7BF6FB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7824401D">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1</w:t>
                  </w:r>
                </w:p>
              </w:tc>
              <w:tc>
                <w:tcPr>
                  <w:tcW w:w="1008" w:type="dxa"/>
                  <w:tcBorders>
                    <w:tl2br w:val="nil"/>
                    <w:tr2bl w:val="nil"/>
                  </w:tcBorders>
                  <w:vAlign w:val="center"/>
                </w:tcPr>
                <w:p w14:paraId="6E78B7B9">
                  <w:pPr>
                    <w:jc w:val="center"/>
                    <w:rPr>
                      <w:rFonts w:hint="default" w:cs="Times New Roman"/>
                      <w:color w:val="auto"/>
                      <w:kern w:val="0"/>
                      <w:sz w:val="21"/>
                      <w:szCs w:val="21"/>
                      <w:highlight w:val="none"/>
                      <w:vertAlign w:val="baseline"/>
                      <w:lang w:val="en-US" w:eastAsia="zh-CN"/>
                    </w:rPr>
                  </w:pPr>
                  <w:r>
                    <w:rPr>
                      <w:rFonts w:hint="eastAsia"/>
                    </w:rPr>
                    <w:t>甲醇</w:t>
                  </w:r>
                </w:p>
              </w:tc>
              <w:tc>
                <w:tcPr>
                  <w:tcW w:w="907" w:type="dxa"/>
                  <w:tcBorders>
                    <w:tl2br w:val="nil"/>
                    <w:tr2bl w:val="nil"/>
                  </w:tcBorders>
                  <w:vAlign w:val="center"/>
                </w:tcPr>
                <w:p w14:paraId="322346D3">
                  <w:pPr>
                    <w:numPr>
                      <w:ilvl w:val="0"/>
                      <w:numId w:val="0"/>
                    </w:numPr>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0.28</w:t>
                  </w:r>
                </w:p>
              </w:tc>
              <w:tc>
                <w:tcPr>
                  <w:tcW w:w="730" w:type="dxa"/>
                  <w:vMerge w:val="restart"/>
                  <w:tcBorders>
                    <w:tl2br w:val="nil"/>
                    <w:tr2bl w:val="nil"/>
                  </w:tcBorders>
                  <w:vAlign w:val="center"/>
                </w:tcPr>
                <w:p w14:paraId="66693789">
                  <w:pPr>
                    <w:numPr>
                      <w:ilvl w:val="0"/>
                      <w:numId w:val="0"/>
                    </w:numPr>
                    <w:adjustRightInd w:val="0"/>
                    <w:snapToGrid w:val="0"/>
                    <w:spacing w:line="240"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4%</w:t>
                  </w:r>
                </w:p>
              </w:tc>
              <w:tc>
                <w:tcPr>
                  <w:tcW w:w="1814" w:type="dxa"/>
                  <w:tcBorders>
                    <w:tl2br w:val="nil"/>
                    <w:tr2bl w:val="nil"/>
                  </w:tcBorders>
                  <w:vAlign w:val="center"/>
                </w:tcPr>
                <w:p w14:paraId="2F318D9F">
                  <w:pPr>
                    <w:spacing w:before="51" w:line="227" w:lineRule="auto"/>
                    <w:jc w:val="center"/>
                    <w:rPr>
                      <w:rFonts w:hint="default"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lang w:val="en-US" w:eastAsia="zh-CN" w:bidi="ar-SA"/>
                    </w:rPr>
                    <w:t>甲醇</w:t>
                  </w:r>
                </w:p>
              </w:tc>
              <w:tc>
                <w:tcPr>
                  <w:tcW w:w="1201" w:type="dxa"/>
                  <w:tcBorders>
                    <w:tl2br w:val="nil"/>
                    <w:tr2bl w:val="nil"/>
                  </w:tcBorders>
                  <w:vAlign w:val="center"/>
                </w:tcPr>
                <w:p w14:paraId="45B0AC9A">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0.0111</w:t>
                  </w:r>
                </w:p>
              </w:tc>
              <w:tc>
                <w:tcPr>
                  <w:tcW w:w="1201" w:type="dxa"/>
                  <w:tcBorders>
                    <w:tl2br w:val="nil"/>
                    <w:tr2bl w:val="nil"/>
                  </w:tcBorders>
                  <w:vAlign w:val="center"/>
                </w:tcPr>
                <w:p w14:paraId="2EEF3AB1">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0.000002</w:t>
                  </w:r>
                </w:p>
              </w:tc>
            </w:tr>
            <w:tr w14:paraId="6CEEF5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4C0ED6E4">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2</w:t>
                  </w:r>
                </w:p>
              </w:tc>
              <w:tc>
                <w:tcPr>
                  <w:tcW w:w="1008" w:type="dxa"/>
                  <w:tcBorders>
                    <w:tl2br w:val="nil"/>
                    <w:tr2bl w:val="nil"/>
                  </w:tcBorders>
                  <w:vAlign w:val="center"/>
                </w:tcPr>
                <w:p w14:paraId="4FDF2032">
                  <w:pPr>
                    <w:jc w:val="center"/>
                    <w:rPr>
                      <w:rFonts w:hint="default" w:cs="Times New Roman"/>
                      <w:color w:val="auto"/>
                      <w:kern w:val="0"/>
                      <w:sz w:val="21"/>
                      <w:szCs w:val="21"/>
                      <w:highlight w:val="none"/>
                      <w:vertAlign w:val="baseline"/>
                      <w:lang w:val="en-US" w:eastAsia="zh-CN"/>
                    </w:rPr>
                  </w:pPr>
                  <w:r>
                    <w:rPr>
                      <w:rFonts w:hint="eastAsia"/>
                    </w:rPr>
                    <w:t>乙醇</w:t>
                  </w:r>
                </w:p>
              </w:tc>
              <w:tc>
                <w:tcPr>
                  <w:tcW w:w="907" w:type="dxa"/>
                  <w:tcBorders>
                    <w:tl2br w:val="nil"/>
                    <w:tr2bl w:val="nil"/>
                  </w:tcBorders>
                  <w:vAlign w:val="center"/>
                </w:tcPr>
                <w:p w14:paraId="08F332DC">
                  <w:pPr>
                    <w:numPr>
                      <w:ilvl w:val="0"/>
                      <w:numId w:val="0"/>
                    </w:numPr>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3.16</w:t>
                  </w:r>
                </w:p>
              </w:tc>
              <w:tc>
                <w:tcPr>
                  <w:tcW w:w="730" w:type="dxa"/>
                  <w:vMerge w:val="continue"/>
                  <w:tcBorders>
                    <w:tl2br w:val="nil"/>
                    <w:tr2bl w:val="nil"/>
                  </w:tcBorders>
                  <w:vAlign w:val="center"/>
                </w:tcPr>
                <w:p w14:paraId="3706ACE1">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45B87949">
                  <w:pPr>
                    <w:spacing w:before="51" w:line="232"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非甲烷总烃</w:t>
                  </w:r>
                </w:p>
              </w:tc>
              <w:tc>
                <w:tcPr>
                  <w:tcW w:w="1201" w:type="dxa"/>
                  <w:tcBorders>
                    <w:tl2br w:val="nil"/>
                    <w:tr2bl w:val="nil"/>
                  </w:tcBorders>
                  <w:vAlign w:val="center"/>
                </w:tcPr>
                <w:p w14:paraId="795A0146">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0.1262</w:t>
                  </w:r>
                </w:p>
              </w:tc>
              <w:tc>
                <w:tcPr>
                  <w:tcW w:w="1201" w:type="dxa"/>
                  <w:tcBorders>
                    <w:tl2br w:val="nil"/>
                    <w:tr2bl w:val="nil"/>
                  </w:tcBorders>
                  <w:vAlign w:val="center"/>
                </w:tcPr>
                <w:p w14:paraId="1760FF26">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0.0002</w:t>
                  </w:r>
                </w:p>
              </w:tc>
            </w:tr>
            <w:tr w14:paraId="00AFE5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695" w:type="dxa"/>
                  <w:tcBorders>
                    <w:tl2br w:val="nil"/>
                    <w:tr2bl w:val="nil"/>
                  </w:tcBorders>
                  <w:vAlign w:val="center"/>
                </w:tcPr>
                <w:p w14:paraId="23F08BD5">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3</w:t>
                  </w:r>
                </w:p>
              </w:tc>
              <w:tc>
                <w:tcPr>
                  <w:tcW w:w="1008" w:type="dxa"/>
                  <w:tcBorders>
                    <w:tl2br w:val="nil"/>
                    <w:tr2bl w:val="nil"/>
                  </w:tcBorders>
                  <w:vAlign w:val="center"/>
                </w:tcPr>
                <w:p w14:paraId="1CE90F78">
                  <w:pPr>
                    <w:jc w:val="center"/>
                    <w:rPr>
                      <w:rFonts w:hint="default" w:cs="Times New Roman"/>
                      <w:color w:val="auto"/>
                      <w:kern w:val="0"/>
                      <w:sz w:val="21"/>
                      <w:szCs w:val="21"/>
                      <w:highlight w:val="none"/>
                      <w:vertAlign w:val="baseline"/>
                      <w:lang w:val="en-US" w:eastAsia="zh-CN"/>
                    </w:rPr>
                  </w:pPr>
                  <w:r>
                    <w:rPr>
                      <w:rFonts w:hint="eastAsia"/>
                    </w:rPr>
                    <w:t>异丙酮</w:t>
                  </w:r>
                </w:p>
              </w:tc>
              <w:tc>
                <w:tcPr>
                  <w:tcW w:w="907" w:type="dxa"/>
                  <w:tcBorders>
                    <w:tl2br w:val="nil"/>
                    <w:tr2bl w:val="nil"/>
                  </w:tcBorders>
                  <w:vAlign w:val="center"/>
                </w:tcPr>
                <w:p w14:paraId="2002BC12">
                  <w:pPr>
                    <w:numPr>
                      <w:ilvl w:val="0"/>
                      <w:numId w:val="0"/>
                    </w:numPr>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0.79</w:t>
                  </w:r>
                </w:p>
              </w:tc>
              <w:tc>
                <w:tcPr>
                  <w:tcW w:w="730" w:type="dxa"/>
                  <w:vMerge w:val="continue"/>
                  <w:tcBorders>
                    <w:tl2br w:val="nil"/>
                    <w:tr2bl w:val="nil"/>
                  </w:tcBorders>
                  <w:vAlign w:val="center"/>
                </w:tcPr>
                <w:p w14:paraId="1C01E4A2">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655C558B">
                  <w:pPr>
                    <w:spacing w:before="53" w:line="228" w:lineRule="auto"/>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非甲烷总烃</w:t>
                  </w:r>
                </w:p>
              </w:tc>
              <w:tc>
                <w:tcPr>
                  <w:tcW w:w="1201" w:type="dxa"/>
                  <w:tcBorders>
                    <w:tl2br w:val="nil"/>
                    <w:tr2bl w:val="nil"/>
                  </w:tcBorders>
                  <w:vAlign w:val="center"/>
                </w:tcPr>
                <w:p w14:paraId="033C6955">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0.0314</w:t>
                  </w:r>
                </w:p>
              </w:tc>
              <w:tc>
                <w:tcPr>
                  <w:tcW w:w="1201" w:type="dxa"/>
                  <w:tcBorders>
                    <w:tl2br w:val="nil"/>
                    <w:tr2bl w:val="nil"/>
                  </w:tcBorders>
                  <w:vAlign w:val="center"/>
                </w:tcPr>
                <w:p w14:paraId="2A97D31D">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0.0001</w:t>
                  </w:r>
                </w:p>
              </w:tc>
            </w:tr>
            <w:tr w14:paraId="14E648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28E8FBCC">
                  <w:pPr>
                    <w:numPr>
                      <w:ilvl w:val="0"/>
                      <w:numId w:val="0"/>
                    </w:numPr>
                    <w:adjustRightInd w:val="0"/>
                    <w:snapToGrid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4</w:t>
                  </w:r>
                </w:p>
              </w:tc>
              <w:tc>
                <w:tcPr>
                  <w:tcW w:w="1008" w:type="dxa"/>
                  <w:tcBorders>
                    <w:tl2br w:val="nil"/>
                    <w:tr2bl w:val="nil"/>
                  </w:tcBorders>
                  <w:vAlign w:val="center"/>
                </w:tcPr>
                <w:p w14:paraId="3B05D710">
                  <w:pPr>
                    <w:jc w:val="center"/>
                    <w:rPr>
                      <w:rFonts w:hint="default" w:cs="Times New Roman"/>
                      <w:color w:val="auto"/>
                      <w:kern w:val="0"/>
                      <w:sz w:val="21"/>
                      <w:szCs w:val="21"/>
                      <w:highlight w:val="none"/>
                      <w:vertAlign w:val="baseline"/>
                      <w:lang w:val="en-US" w:eastAsia="zh-CN"/>
                    </w:rPr>
                  </w:pPr>
                  <w:r>
                    <w:rPr>
                      <w:rFonts w:hint="eastAsia"/>
                    </w:rPr>
                    <w:t>丙酮</w:t>
                  </w:r>
                </w:p>
              </w:tc>
              <w:tc>
                <w:tcPr>
                  <w:tcW w:w="907" w:type="dxa"/>
                  <w:tcBorders>
                    <w:tl2br w:val="nil"/>
                    <w:tr2bl w:val="nil"/>
                  </w:tcBorders>
                  <w:vAlign w:val="center"/>
                </w:tcPr>
                <w:p w14:paraId="2E1FDFDE">
                  <w:pPr>
                    <w:numPr>
                      <w:ilvl w:val="0"/>
                      <w:numId w:val="0"/>
                    </w:numPr>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3.95</w:t>
                  </w:r>
                </w:p>
              </w:tc>
              <w:tc>
                <w:tcPr>
                  <w:tcW w:w="730" w:type="dxa"/>
                  <w:vMerge w:val="continue"/>
                  <w:tcBorders>
                    <w:tl2br w:val="nil"/>
                    <w:tr2bl w:val="nil"/>
                  </w:tcBorders>
                  <w:vAlign w:val="center"/>
                </w:tcPr>
                <w:p w14:paraId="157F2C05">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28650485">
                  <w:pPr>
                    <w:spacing w:before="53" w:line="240" w:lineRule="auto"/>
                    <w:jc w:val="center"/>
                    <w:rPr>
                      <w:rFonts w:hint="default" w:cs="Times New Roman"/>
                      <w:color w:val="auto"/>
                      <w:kern w:val="0"/>
                      <w:sz w:val="21"/>
                      <w:szCs w:val="21"/>
                      <w:highlight w:val="none"/>
                      <w:vertAlign w:val="baseline"/>
                      <w:lang w:val="en-US" w:eastAsia="zh-CN"/>
                    </w:rPr>
                  </w:pPr>
                  <w:r>
                    <w:rPr>
                      <w:rFonts w:hint="eastAsia"/>
                      <w:color w:val="auto"/>
                      <w:spacing w:val="6"/>
                      <w:szCs w:val="21"/>
                      <w:highlight w:val="none"/>
                      <w:lang w:val="en-US" w:eastAsia="zh-CN"/>
                    </w:rPr>
                    <w:t>其他C类物质（丙酮）</w:t>
                  </w:r>
                </w:p>
              </w:tc>
              <w:tc>
                <w:tcPr>
                  <w:tcW w:w="1201" w:type="dxa"/>
                  <w:tcBorders>
                    <w:tl2br w:val="nil"/>
                    <w:tr2bl w:val="nil"/>
                  </w:tcBorders>
                  <w:vAlign w:val="center"/>
                </w:tcPr>
                <w:p w14:paraId="292E65AA">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0.1578</w:t>
                  </w:r>
                </w:p>
              </w:tc>
              <w:tc>
                <w:tcPr>
                  <w:tcW w:w="1201" w:type="dxa"/>
                  <w:tcBorders>
                    <w:tl2br w:val="nil"/>
                    <w:tr2bl w:val="nil"/>
                  </w:tcBorders>
                  <w:vAlign w:val="center"/>
                </w:tcPr>
                <w:p w14:paraId="160A1208">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0.0003</w:t>
                  </w:r>
                </w:p>
              </w:tc>
            </w:tr>
            <w:tr w14:paraId="5E2198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6ED4C9AA">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5</w:t>
                  </w:r>
                </w:p>
              </w:tc>
              <w:tc>
                <w:tcPr>
                  <w:tcW w:w="1008" w:type="dxa"/>
                  <w:tcBorders>
                    <w:tl2br w:val="nil"/>
                    <w:tr2bl w:val="nil"/>
                  </w:tcBorders>
                  <w:vAlign w:val="center"/>
                </w:tcPr>
                <w:p w14:paraId="035B425F">
                  <w:pPr>
                    <w:jc w:val="center"/>
                    <w:rPr>
                      <w:rFonts w:hint="default" w:cs="Times New Roman"/>
                      <w:color w:val="auto"/>
                      <w:kern w:val="0"/>
                      <w:sz w:val="21"/>
                      <w:szCs w:val="21"/>
                      <w:highlight w:val="none"/>
                      <w:vertAlign w:val="baseline"/>
                      <w:lang w:val="en-US" w:eastAsia="zh-CN"/>
                    </w:rPr>
                  </w:pPr>
                  <w:r>
                    <w:rPr>
                      <w:rFonts w:hint="eastAsia"/>
                    </w:rPr>
                    <w:t>正己烷</w:t>
                  </w:r>
                </w:p>
              </w:tc>
              <w:tc>
                <w:tcPr>
                  <w:tcW w:w="907" w:type="dxa"/>
                  <w:tcBorders>
                    <w:tl2br w:val="nil"/>
                    <w:tr2bl w:val="nil"/>
                  </w:tcBorders>
                  <w:vAlign w:val="center"/>
                </w:tcPr>
                <w:p w14:paraId="6E4D45F5">
                  <w:pPr>
                    <w:numPr>
                      <w:ilvl w:val="0"/>
                      <w:numId w:val="0"/>
                    </w:numPr>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3.30</w:t>
                  </w:r>
                </w:p>
              </w:tc>
              <w:tc>
                <w:tcPr>
                  <w:tcW w:w="730" w:type="dxa"/>
                  <w:vMerge w:val="continue"/>
                  <w:tcBorders>
                    <w:tl2br w:val="nil"/>
                    <w:tr2bl w:val="nil"/>
                  </w:tcBorders>
                  <w:vAlign w:val="center"/>
                </w:tcPr>
                <w:p w14:paraId="50C630BC">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0F4E60B3">
                  <w:pPr>
                    <w:spacing w:before="51" w:line="240" w:lineRule="auto"/>
                    <w:jc w:val="center"/>
                    <w:rPr>
                      <w:rFonts w:hint="eastAsia" w:cs="Times New Roman"/>
                      <w:color w:val="auto"/>
                      <w:kern w:val="0"/>
                      <w:sz w:val="21"/>
                      <w:szCs w:val="21"/>
                      <w:highlight w:val="none"/>
                      <w:vertAlign w:val="baseline"/>
                      <w:lang w:val="en-US" w:eastAsia="zh-CN"/>
                    </w:rPr>
                  </w:pPr>
                  <w:r>
                    <w:rPr>
                      <w:rFonts w:hint="eastAsia"/>
                      <w:color w:val="auto"/>
                      <w:spacing w:val="6"/>
                      <w:szCs w:val="21"/>
                      <w:highlight w:val="none"/>
                      <w:lang w:val="en-US" w:eastAsia="zh-CN"/>
                    </w:rPr>
                    <w:t>其他C类物质（</w:t>
                  </w:r>
                  <w:r>
                    <w:rPr>
                      <w:rFonts w:hint="eastAsia"/>
                      <w:color w:val="auto"/>
                      <w:spacing w:val="-6"/>
                      <w:szCs w:val="21"/>
                      <w:highlight w:val="none"/>
                      <w:lang w:val="en-US" w:eastAsia="zh-CN"/>
                    </w:rPr>
                    <w:t>正己烷</w:t>
                  </w:r>
                  <w:r>
                    <w:rPr>
                      <w:rFonts w:hint="eastAsia"/>
                      <w:color w:val="auto"/>
                      <w:spacing w:val="6"/>
                      <w:szCs w:val="21"/>
                      <w:highlight w:val="none"/>
                      <w:lang w:val="en-US" w:eastAsia="zh-CN"/>
                    </w:rPr>
                    <w:t>）</w:t>
                  </w:r>
                </w:p>
              </w:tc>
              <w:tc>
                <w:tcPr>
                  <w:tcW w:w="1201" w:type="dxa"/>
                  <w:tcBorders>
                    <w:tl2br w:val="nil"/>
                    <w:tr2bl w:val="nil"/>
                  </w:tcBorders>
                  <w:vAlign w:val="center"/>
                </w:tcPr>
                <w:p w14:paraId="03616379">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0.1318</w:t>
                  </w:r>
                </w:p>
              </w:tc>
              <w:tc>
                <w:tcPr>
                  <w:tcW w:w="1201" w:type="dxa"/>
                  <w:tcBorders>
                    <w:tl2br w:val="nil"/>
                    <w:tr2bl w:val="nil"/>
                  </w:tcBorders>
                  <w:vAlign w:val="center"/>
                </w:tcPr>
                <w:p w14:paraId="288E854E">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0.0003</w:t>
                  </w:r>
                </w:p>
              </w:tc>
            </w:tr>
            <w:tr w14:paraId="40BF9E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7C447D64">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6</w:t>
                  </w:r>
                </w:p>
              </w:tc>
              <w:tc>
                <w:tcPr>
                  <w:tcW w:w="1008" w:type="dxa"/>
                  <w:tcBorders>
                    <w:tl2br w:val="nil"/>
                    <w:tr2bl w:val="nil"/>
                  </w:tcBorders>
                  <w:vAlign w:val="center"/>
                </w:tcPr>
                <w:p w14:paraId="5139C382">
                  <w:pPr>
                    <w:jc w:val="center"/>
                    <w:rPr>
                      <w:rFonts w:hint="eastAsia" w:cs="Times New Roman"/>
                      <w:color w:val="auto"/>
                      <w:kern w:val="0"/>
                      <w:sz w:val="21"/>
                      <w:szCs w:val="21"/>
                      <w:highlight w:val="none"/>
                      <w:vertAlign w:val="baseline"/>
                      <w:lang w:val="en-US" w:eastAsia="zh-CN"/>
                    </w:rPr>
                  </w:pPr>
                  <w:r>
                    <w:rPr>
                      <w:rFonts w:hint="eastAsia"/>
                    </w:rPr>
                    <w:t>三氯甲烷</w:t>
                  </w:r>
                </w:p>
              </w:tc>
              <w:tc>
                <w:tcPr>
                  <w:tcW w:w="907" w:type="dxa"/>
                  <w:tcBorders>
                    <w:tl2br w:val="nil"/>
                    <w:tr2bl w:val="nil"/>
                  </w:tcBorders>
                  <w:vAlign w:val="center"/>
                </w:tcPr>
                <w:p w14:paraId="334CE6EF">
                  <w:pPr>
                    <w:numPr>
                      <w:ilvl w:val="0"/>
                      <w:numId w:val="0"/>
                    </w:numPr>
                    <w:spacing w:line="240" w:lineRule="auto"/>
                    <w:ind w:left="0" w:leftChars="0" w:firstLine="0" w:firstLineChars="0"/>
                    <w:jc w:val="center"/>
                    <w:rPr>
                      <w:rFonts w:hint="eastAsia" w:cs="Times New Roman"/>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148.00</w:t>
                  </w:r>
                </w:p>
              </w:tc>
              <w:tc>
                <w:tcPr>
                  <w:tcW w:w="730" w:type="dxa"/>
                  <w:vMerge w:val="continue"/>
                  <w:tcBorders>
                    <w:tl2br w:val="nil"/>
                    <w:tr2bl w:val="nil"/>
                  </w:tcBorders>
                  <w:vAlign w:val="center"/>
                </w:tcPr>
                <w:p w14:paraId="5AD77928">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58DF4934">
                  <w:pPr>
                    <w:spacing w:before="51" w:line="240" w:lineRule="auto"/>
                    <w:jc w:val="center"/>
                    <w:rPr>
                      <w:rFonts w:hint="eastAsia"/>
                      <w:color w:val="auto"/>
                      <w:spacing w:val="6"/>
                      <w:szCs w:val="21"/>
                      <w:highlight w:val="none"/>
                      <w:lang w:val="en-US" w:eastAsia="zh-CN"/>
                    </w:rPr>
                  </w:pPr>
                  <w:r>
                    <w:rPr>
                      <w:rFonts w:hint="eastAsia"/>
                      <w:color w:val="auto"/>
                      <w:spacing w:val="6"/>
                      <w:szCs w:val="21"/>
                      <w:highlight w:val="none"/>
                      <w:lang w:val="en-US" w:eastAsia="zh-CN"/>
                    </w:rPr>
                    <w:t>其他A类物质</w:t>
                  </w:r>
                </w:p>
                <w:p w14:paraId="39151DD6">
                  <w:pPr>
                    <w:spacing w:before="51" w:line="240" w:lineRule="auto"/>
                    <w:jc w:val="center"/>
                    <w:rPr>
                      <w:rFonts w:hint="eastAsia" w:cs="Times New Roman"/>
                      <w:color w:val="auto"/>
                      <w:kern w:val="0"/>
                      <w:sz w:val="21"/>
                      <w:szCs w:val="21"/>
                      <w:highlight w:val="none"/>
                      <w:vertAlign w:val="baseline"/>
                      <w:lang w:val="en-US" w:eastAsia="zh-CN"/>
                    </w:rPr>
                  </w:pPr>
                  <w:r>
                    <w:rPr>
                      <w:rFonts w:hint="eastAsia"/>
                      <w:color w:val="auto"/>
                      <w:spacing w:val="6"/>
                      <w:szCs w:val="21"/>
                      <w:highlight w:val="none"/>
                      <w:lang w:val="en-US" w:eastAsia="zh-CN"/>
                    </w:rPr>
                    <w:t>（</w:t>
                  </w:r>
                  <w:r>
                    <w:rPr>
                      <w:rFonts w:hint="eastAsia"/>
                    </w:rPr>
                    <w:t>三氯甲烷</w:t>
                  </w:r>
                  <w:r>
                    <w:rPr>
                      <w:rFonts w:hint="eastAsia"/>
                      <w:color w:val="auto"/>
                      <w:spacing w:val="6"/>
                      <w:szCs w:val="21"/>
                      <w:highlight w:val="none"/>
                      <w:lang w:val="en-US" w:eastAsia="zh-CN"/>
                    </w:rPr>
                    <w:t>）</w:t>
                  </w:r>
                </w:p>
              </w:tc>
              <w:tc>
                <w:tcPr>
                  <w:tcW w:w="1201" w:type="dxa"/>
                  <w:tcBorders>
                    <w:tl2br w:val="nil"/>
                    <w:tr2bl w:val="nil"/>
                  </w:tcBorders>
                  <w:vAlign w:val="center"/>
                </w:tcPr>
                <w:p w14:paraId="4CE395FC">
                  <w:pPr>
                    <w:numPr>
                      <w:ilvl w:val="0"/>
                      <w:numId w:val="0"/>
                    </w:numPr>
                    <w:spacing w:line="240" w:lineRule="auto"/>
                    <w:ind w:left="0" w:leftChars="0" w:firstLine="0" w:firstLineChars="0"/>
                    <w:jc w:val="center"/>
                    <w:rPr>
                      <w:rFonts w:hint="eastAsia"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5.9200</w:t>
                  </w:r>
                </w:p>
              </w:tc>
              <w:tc>
                <w:tcPr>
                  <w:tcW w:w="1201" w:type="dxa"/>
                  <w:tcBorders>
                    <w:tl2br w:val="nil"/>
                    <w:tr2bl w:val="nil"/>
                  </w:tcBorders>
                  <w:vAlign w:val="center"/>
                </w:tcPr>
                <w:p w14:paraId="1426B78E">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0.0114</w:t>
                  </w:r>
                </w:p>
              </w:tc>
            </w:tr>
            <w:tr w14:paraId="62EE4C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1599F394">
                  <w:pPr>
                    <w:numPr>
                      <w:ilvl w:val="0"/>
                      <w:numId w:val="0"/>
                    </w:numPr>
                    <w:adjustRightInd w:val="0"/>
                    <w:snapToGrid w:val="0"/>
                    <w:spacing w:line="240"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7</w:t>
                  </w:r>
                </w:p>
              </w:tc>
              <w:tc>
                <w:tcPr>
                  <w:tcW w:w="1008" w:type="dxa"/>
                  <w:tcBorders>
                    <w:tl2br w:val="nil"/>
                    <w:tr2bl w:val="nil"/>
                  </w:tcBorders>
                  <w:vAlign w:val="center"/>
                </w:tcPr>
                <w:p w14:paraId="2B4C3675">
                  <w:pPr>
                    <w:jc w:val="center"/>
                    <w:rPr>
                      <w:rFonts w:hint="eastAsia" w:cs="Times New Roman"/>
                      <w:color w:val="auto"/>
                      <w:kern w:val="0"/>
                      <w:sz w:val="21"/>
                      <w:szCs w:val="21"/>
                      <w:highlight w:val="none"/>
                      <w:vertAlign w:val="baseline"/>
                      <w:lang w:val="en-US" w:eastAsia="zh-CN"/>
                    </w:rPr>
                  </w:pPr>
                  <w:r>
                    <w:rPr>
                      <w:rFonts w:hint="eastAsia"/>
                    </w:rPr>
                    <w:t>四氯乙烯</w:t>
                  </w:r>
                </w:p>
              </w:tc>
              <w:tc>
                <w:tcPr>
                  <w:tcW w:w="907" w:type="dxa"/>
                  <w:tcBorders>
                    <w:tl2br w:val="nil"/>
                    <w:tr2bl w:val="nil"/>
                  </w:tcBorders>
                  <w:vAlign w:val="center"/>
                </w:tcPr>
                <w:p w14:paraId="7DE002F4">
                  <w:pPr>
                    <w:numPr>
                      <w:ilvl w:val="0"/>
                      <w:numId w:val="0"/>
                    </w:numPr>
                    <w:spacing w:line="240" w:lineRule="auto"/>
                    <w:ind w:left="0" w:leftChars="0" w:firstLine="0" w:firstLineChars="0"/>
                    <w:jc w:val="center"/>
                    <w:rPr>
                      <w:rFonts w:hint="eastAsia" w:cs="Times New Roman"/>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162.00</w:t>
                  </w:r>
                </w:p>
              </w:tc>
              <w:tc>
                <w:tcPr>
                  <w:tcW w:w="730" w:type="dxa"/>
                  <w:vMerge w:val="continue"/>
                  <w:tcBorders>
                    <w:tl2br w:val="nil"/>
                    <w:tr2bl w:val="nil"/>
                  </w:tcBorders>
                  <w:vAlign w:val="center"/>
                </w:tcPr>
                <w:p w14:paraId="332CAA17">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62E1BD97">
                  <w:pPr>
                    <w:spacing w:before="51" w:line="240" w:lineRule="auto"/>
                    <w:jc w:val="center"/>
                    <w:rPr>
                      <w:rFonts w:hint="eastAsia" w:cs="Times New Roman"/>
                      <w:color w:val="auto"/>
                      <w:kern w:val="0"/>
                      <w:sz w:val="21"/>
                      <w:szCs w:val="21"/>
                      <w:highlight w:val="none"/>
                      <w:vertAlign w:val="baseline"/>
                      <w:lang w:val="en-US" w:eastAsia="zh-CN"/>
                    </w:rPr>
                  </w:pPr>
                  <w:r>
                    <w:rPr>
                      <w:rFonts w:hint="eastAsia"/>
                      <w:color w:val="auto"/>
                      <w:spacing w:val="6"/>
                      <w:szCs w:val="21"/>
                      <w:highlight w:val="none"/>
                      <w:lang w:val="en-US" w:eastAsia="zh-CN"/>
                    </w:rPr>
                    <w:t>其他C类物质（</w:t>
                  </w:r>
                  <w:r>
                    <w:rPr>
                      <w:rFonts w:hint="eastAsia"/>
                    </w:rPr>
                    <w:t>四氯乙烯</w:t>
                  </w:r>
                  <w:r>
                    <w:rPr>
                      <w:rFonts w:hint="eastAsia"/>
                      <w:color w:val="auto"/>
                      <w:spacing w:val="6"/>
                      <w:szCs w:val="21"/>
                      <w:highlight w:val="none"/>
                      <w:lang w:val="en-US" w:eastAsia="zh-CN"/>
                    </w:rPr>
                    <w:t>）</w:t>
                  </w:r>
                </w:p>
              </w:tc>
              <w:tc>
                <w:tcPr>
                  <w:tcW w:w="1201" w:type="dxa"/>
                  <w:tcBorders>
                    <w:tl2br w:val="nil"/>
                    <w:tr2bl w:val="nil"/>
                  </w:tcBorders>
                  <w:vAlign w:val="center"/>
                </w:tcPr>
                <w:p w14:paraId="4530353B">
                  <w:pPr>
                    <w:numPr>
                      <w:ilvl w:val="0"/>
                      <w:numId w:val="0"/>
                    </w:numPr>
                    <w:spacing w:line="240" w:lineRule="auto"/>
                    <w:ind w:left="0" w:leftChars="0" w:firstLine="0" w:firstLineChars="0"/>
                    <w:jc w:val="center"/>
                    <w:rPr>
                      <w:rFonts w:hint="eastAsia"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6.4800</w:t>
                  </w:r>
                </w:p>
              </w:tc>
              <w:tc>
                <w:tcPr>
                  <w:tcW w:w="1201" w:type="dxa"/>
                  <w:tcBorders>
                    <w:tl2br w:val="nil"/>
                    <w:tr2bl w:val="nil"/>
                  </w:tcBorders>
                  <w:vAlign w:val="center"/>
                </w:tcPr>
                <w:p w14:paraId="55D9F116">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0.0125</w:t>
                  </w:r>
                </w:p>
              </w:tc>
            </w:tr>
            <w:tr w14:paraId="54FCF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5AE51A64">
                  <w:pPr>
                    <w:numPr>
                      <w:ilvl w:val="0"/>
                      <w:numId w:val="0"/>
                    </w:numPr>
                    <w:adjustRightInd w:val="0"/>
                    <w:snapToGrid w:val="0"/>
                    <w:spacing w:line="240"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8</w:t>
                  </w:r>
                </w:p>
              </w:tc>
              <w:tc>
                <w:tcPr>
                  <w:tcW w:w="1008" w:type="dxa"/>
                  <w:tcBorders>
                    <w:tl2br w:val="nil"/>
                    <w:tr2bl w:val="nil"/>
                  </w:tcBorders>
                  <w:vAlign w:val="center"/>
                </w:tcPr>
                <w:p w14:paraId="59920B3E">
                  <w:pPr>
                    <w:jc w:val="center"/>
                    <w:rPr>
                      <w:rFonts w:hint="eastAsia" w:cs="Times New Roman"/>
                      <w:color w:val="auto"/>
                      <w:kern w:val="0"/>
                      <w:sz w:val="21"/>
                      <w:szCs w:val="21"/>
                      <w:highlight w:val="none"/>
                      <w:vertAlign w:val="baseline"/>
                      <w:lang w:val="en-US" w:eastAsia="zh-CN"/>
                    </w:rPr>
                  </w:pPr>
                  <w:r>
                    <w:rPr>
                      <w:rFonts w:hint="eastAsia"/>
                    </w:rPr>
                    <w:t>冰醋酸</w:t>
                  </w:r>
                </w:p>
              </w:tc>
              <w:tc>
                <w:tcPr>
                  <w:tcW w:w="907" w:type="dxa"/>
                  <w:tcBorders>
                    <w:tl2br w:val="nil"/>
                    <w:tr2bl w:val="nil"/>
                  </w:tcBorders>
                  <w:vAlign w:val="center"/>
                </w:tcPr>
                <w:p w14:paraId="44C64725">
                  <w:pPr>
                    <w:numPr>
                      <w:ilvl w:val="0"/>
                      <w:numId w:val="0"/>
                    </w:numPr>
                    <w:spacing w:line="240" w:lineRule="auto"/>
                    <w:ind w:left="0" w:leftChars="0" w:firstLine="0" w:firstLineChars="0"/>
                    <w:jc w:val="center"/>
                    <w:rPr>
                      <w:rFonts w:hint="default" w:cs="Times New Roman"/>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5.25</w:t>
                  </w:r>
                </w:p>
              </w:tc>
              <w:tc>
                <w:tcPr>
                  <w:tcW w:w="730" w:type="dxa"/>
                  <w:vMerge w:val="continue"/>
                  <w:tcBorders>
                    <w:tl2br w:val="nil"/>
                    <w:tr2bl w:val="nil"/>
                  </w:tcBorders>
                  <w:vAlign w:val="center"/>
                </w:tcPr>
                <w:p w14:paraId="034CEE37">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16239655">
                  <w:pPr>
                    <w:spacing w:before="51" w:line="240" w:lineRule="auto"/>
                    <w:jc w:val="center"/>
                    <w:rPr>
                      <w:rFonts w:hint="eastAsia"/>
                      <w:color w:val="auto"/>
                      <w:spacing w:val="6"/>
                      <w:szCs w:val="21"/>
                      <w:highlight w:val="none"/>
                      <w:lang w:val="en-US" w:eastAsia="zh-CN"/>
                    </w:rPr>
                  </w:pPr>
                  <w:r>
                    <w:rPr>
                      <w:rFonts w:hint="eastAsia"/>
                      <w:color w:val="auto"/>
                      <w:spacing w:val="6"/>
                      <w:szCs w:val="21"/>
                      <w:highlight w:val="none"/>
                      <w:lang w:val="en-US" w:eastAsia="zh-CN"/>
                    </w:rPr>
                    <w:t>其他A类物质</w:t>
                  </w:r>
                </w:p>
                <w:p w14:paraId="7DBD05C1">
                  <w:pPr>
                    <w:numPr>
                      <w:ilvl w:val="0"/>
                      <w:numId w:val="0"/>
                    </w:numPr>
                    <w:adjustRightInd w:val="0"/>
                    <w:snapToGrid w:val="0"/>
                    <w:spacing w:line="240" w:lineRule="auto"/>
                    <w:ind w:left="0" w:leftChars="0" w:firstLine="0" w:firstLineChars="0"/>
                    <w:jc w:val="center"/>
                    <w:rPr>
                      <w:rFonts w:hint="eastAsia" w:cs="Times New Roman"/>
                      <w:color w:val="auto"/>
                      <w:kern w:val="0"/>
                      <w:sz w:val="21"/>
                      <w:szCs w:val="21"/>
                      <w:highlight w:val="none"/>
                      <w:vertAlign w:val="baseline"/>
                      <w:lang w:val="en-US" w:eastAsia="zh-CN"/>
                    </w:rPr>
                  </w:pPr>
                  <w:r>
                    <w:rPr>
                      <w:rFonts w:hint="eastAsia"/>
                      <w:color w:val="auto"/>
                      <w:spacing w:val="6"/>
                      <w:szCs w:val="21"/>
                      <w:highlight w:val="none"/>
                      <w:lang w:val="en-US" w:eastAsia="zh-CN"/>
                    </w:rPr>
                    <w:t>（</w:t>
                  </w:r>
                  <w:r>
                    <w:rPr>
                      <w:rFonts w:hint="eastAsia"/>
                      <w:lang w:val="en-US" w:eastAsia="zh-CN"/>
                    </w:rPr>
                    <w:t>乙酸</w:t>
                  </w:r>
                  <w:r>
                    <w:rPr>
                      <w:rFonts w:hint="eastAsia"/>
                      <w:color w:val="auto"/>
                      <w:spacing w:val="6"/>
                      <w:szCs w:val="21"/>
                      <w:highlight w:val="none"/>
                      <w:lang w:val="en-US" w:eastAsia="zh-CN"/>
                    </w:rPr>
                    <w:t>）</w:t>
                  </w:r>
                </w:p>
              </w:tc>
              <w:tc>
                <w:tcPr>
                  <w:tcW w:w="1201" w:type="dxa"/>
                  <w:tcBorders>
                    <w:tl2br w:val="nil"/>
                    <w:tr2bl w:val="nil"/>
                  </w:tcBorders>
                  <w:vAlign w:val="center"/>
                </w:tcPr>
                <w:p w14:paraId="2CFD4ED6">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0.2100</w:t>
                  </w:r>
                </w:p>
              </w:tc>
              <w:tc>
                <w:tcPr>
                  <w:tcW w:w="1201" w:type="dxa"/>
                  <w:tcBorders>
                    <w:tl2br w:val="nil"/>
                    <w:tr2bl w:val="nil"/>
                  </w:tcBorders>
                  <w:vAlign w:val="center"/>
                </w:tcPr>
                <w:p w14:paraId="54F3D46F">
                  <w:pPr>
                    <w:numPr>
                      <w:ilvl w:val="0"/>
                      <w:numId w:val="0"/>
                    </w:numPr>
                    <w:spacing w:line="240" w:lineRule="auto"/>
                    <w:ind w:left="0" w:leftChars="0" w:firstLine="0" w:firstLineChars="0"/>
                    <w:jc w:val="center"/>
                    <w:rPr>
                      <w:rFonts w:hint="default"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0.0004</w:t>
                  </w:r>
                </w:p>
              </w:tc>
            </w:tr>
            <w:tr w14:paraId="46AB00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695" w:type="dxa"/>
                  <w:tcBorders>
                    <w:tl2br w:val="nil"/>
                    <w:tr2bl w:val="nil"/>
                  </w:tcBorders>
                  <w:vAlign w:val="center"/>
                </w:tcPr>
                <w:p w14:paraId="3BF91CD7">
                  <w:pPr>
                    <w:numPr>
                      <w:ilvl w:val="0"/>
                      <w:numId w:val="0"/>
                    </w:numPr>
                    <w:adjustRightInd w:val="0"/>
                    <w:snapToGrid w:val="0"/>
                    <w:spacing w:line="240" w:lineRule="auto"/>
                    <w:jc w:val="center"/>
                    <w:rPr>
                      <w:rFonts w:hint="default"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合计</w:t>
                  </w:r>
                </w:p>
              </w:tc>
              <w:tc>
                <w:tcPr>
                  <w:tcW w:w="1008" w:type="dxa"/>
                  <w:tcBorders>
                    <w:tl2br w:val="nil"/>
                    <w:tr2bl w:val="nil"/>
                  </w:tcBorders>
                  <w:vAlign w:val="center"/>
                </w:tcPr>
                <w:p w14:paraId="60EE977D">
                  <w:pPr>
                    <w:jc w:val="center"/>
                    <w:rPr>
                      <w:rFonts w:hint="default" w:eastAsia="宋体"/>
                      <w:lang w:val="en-US" w:eastAsia="zh-CN"/>
                    </w:rPr>
                  </w:pPr>
                  <w:r>
                    <w:rPr>
                      <w:rFonts w:hint="eastAsia"/>
                      <w:lang w:val="en-US" w:eastAsia="zh-CN"/>
                    </w:rPr>
                    <w:t>/</w:t>
                  </w:r>
                </w:p>
              </w:tc>
              <w:tc>
                <w:tcPr>
                  <w:tcW w:w="907" w:type="dxa"/>
                  <w:tcBorders>
                    <w:tl2br w:val="nil"/>
                    <w:tr2bl w:val="nil"/>
                  </w:tcBorders>
                  <w:vAlign w:val="center"/>
                </w:tcPr>
                <w:p w14:paraId="62BE2587">
                  <w:pPr>
                    <w:spacing w:before="88" w:line="240" w:lineRule="auto"/>
                    <w:jc w:val="center"/>
                    <w:rPr>
                      <w:rFonts w:hint="eastAsia" w:cs="Times New Roman"/>
                      <w:color w:val="auto"/>
                      <w:kern w:val="0"/>
                      <w:sz w:val="21"/>
                      <w:szCs w:val="21"/>
                      <w:highlight w:val="none"/>
                      <w:vertAlign w:val="baseline"/>
                      <w:lang w:val="en-US" w:eastAsia="zh-CN"/>
                    </w:rPr>
                  </w:pPr>
                  <w:r>
                    <w:rPr>
                      <w:rFonts w:hint="eastAsia" w:cs="Times New Roman"/>
                      <w:color w:val="auto"/>
                      <w:kern w:val="2"/>
                      <w:sz w:val="21"/>
                      <w:szCs w:val="21"/>
                      <w:highlight w:val="none"/>
                      <w:lang w:val="en-US" w:eastAsia="zh-CN" w:bidi="ar-SA"/>
                    </w:rPr>
                    <w:t>326.71</w:t>
                  </w:r>
                </w:p>
              </w:tc>
              <w:tc>
                <w:tcPr>
                  <w:tcW w:w="730" w:type="dxa"/>
                  <w:tcBorders>
                    <w:tl2br w:val="nil"/>
                    <w:tr2bl w:val="nil"/>
                  </w:tcBorders>
                  <w:vAlign w:val="center"/>
                </w:tcPr>
                <w:p w14:paraId="34C04CB2">
                  <w:pPr>
                    <w:numPr>
                      <w:ilvl w:val="0"/>
                      <w:numId w:val="0"/>
                    </w:numPr>
                    <w:adjustRightInd w:val="0"/>
                    <w:snapToGrid w:val="0"/>
                    <w:spacing w:line="240" w:lineRule="auto"/>
                    <w:jc w:val="center"/>
                    <w:rPr>
                      <w:rFonts w:hint="eastAsia" w:cs="Times New Roman"/>
                      <w:color w:val="auto"/>
                      <w:kern w:val="0"/>
                      <w:sz w:val="21"/>
                      <w:szCs w:val="21"/>
                      <w:highlight w:val="none"/>
                      <w:vertAlign w:val="baseline"/>
                      <w:lang w:val="en-US" w:eastAsia="zh-CN"/>
                    </w:rPr>
                  </w:pPr>
                </w:p>
              </w:tc>
              <w:tc>
                <w:tcPr>
                  <w:tcW w:w="1814" w:type="dxa"/>
                  <w:tcBorders>
                    <w:tl2br w:val="nil"/>
                    <w:tr2bl w:val="nil"/>
                  </w:tcBorders>
                  <w:vAlign w:val="center"/>
                </w:tcPr>
                <w:p w14:paraId="4E922900">
                  <w:pPr>
                    <w:numPr>
                      <w:ilvl w:val="0"/>
                      <w:numId w:val="0"/>
                    </w:numPr>
                    <w:adjustRightInd w:val="0"/>
                    <w:snapToGrid w:val="0"/>
                    <w:spacing w:line="240" w:lineRule="auto"/>
                    <w:ind w:left="0" w:leftChars="0" w:firstLine="0" w:firstLineChars="0"/>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非甲烷总烃</w:t>
                  </w:r>
                </w:p>
              </w:tc>
              <w:tc>
                <w:tcPr>
                  <w:tcW w:w="1201" w:type="dxa"/>
                  <w:tcBorders>
                    <w:tl2br w:val="nil"/>
                    <w:tr2bl w:val="nil"/>
                  </w:tcBorders>
                  <w:vAlign w:val="center"/>
                </w:tcPr>
                <w:p w14:paraId="17348DD8">
                  <w:pPr>
                    <w:numPr>
                      <w:ilvl w:val="0"/>
                      <w:numId w:val="0"/>
                    </w:numPr>
                    <w:spacing w:line="240" w:lineRule="auto"/>
                    <w:ind w:left="0" w:leftChars="0" w:firstLine="0" w:firstLineChars="0"/>
                    <w:jc w:val="center"/>
                    <w:rPr>
                      <w:rFonts w:hint="eastAsia"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13.0683</w:t>
                  </w:r>
                </w:p>
              </w:tc>
              <w:tc>
                <w:tcPr>
                  <w:tcW w:w="1201" w:type="dxa"/>
                  <w:tcBorders>
                    <w:tl2br w:val="nil"/>
                    <w:tr2bl w:val="nil"/>
                  </w:tcBorders>
                  <w:vAlign w:val="center"/>
                </w:tcPr>
                <w:p w14:paraId="4D9F2FEA">
                  <w:pPr>
                    <w:numPr>
                      <w:ilvl w:val="0"/>
                      <w:numId w:val="0"/>
                    </w:numPr>
                    <w:spacing w:line="240" w:lineRule="auto"/>
                    <w:ind w:left="0" w:leftChars="0" w:firstLine="0" w:firstLineChars="0"/>
                    <w:jc w:val="center"/>
                    <w:rPr>
                      <w:rFonts w:hint="eastAsia" w:ascii="Times New Roman" w:hAnsi="Times New Roman"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0.0251</w:t>
                  </w:r>
                </w:p>
              </w:tc>
            </w:tr>
          </w:tbl>
          <w:p w14:paraId="3C9DA8CE">
            <w:pPr>
              <w:numPr>
                <w:ilvl w:val="0"/>
                <w:numId w:val="0"/>
              </w:numPr>
              <w:adjustRightInd w:val="0"/>
              <w:snapToGrid w:val="0"/>
              <w:spacing w:line="360" w:lineRule="auto"/>
              <w:ind w:left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酸性废气</w:t>
            </w:r>
          </w:p>
          <w:p w14:paraId="38980705">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项目实验过程使用硫酸、盐酸、硝酸等，使用过程产生酸性废气，本次评价采用经验公式法进行酸性废气的核算，根据《环境统计手册》（方品贤 江欣 奚元福著）计算</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项目溶液配制过程酸性气体污染物的挥发量，具体公式如下，计算参数见表</w:t>
            </w:r>
            <w:r>
              <w:rPr>
                <w:rFonts w:hint="default" w:ascii="Times New Roman" w:hAnsi="Times New Roman" w:eastAsia="宋体" w:cs="Times New Roman"/>
                <w:color w:val="auto"/>
                <w:kern w:val="0"/>
                <w:sz w:val="24"/>
                <w:highlight w:val="none"/>
                <w:lang w:val="en-US" w:eastAsia="zh-CN"/>
              </w:rPr>
              <w:t>4.3-1</w:t>
            </w:r>
            <w:r>
              <w:rPr>
                <w:rFonts w:hint="eastAsia" w:ascii="Times New Roman" w:hAnsi="Times New Roman" w:eastAsia="宋体" w:cs="Times New Roman"/>
                <w:color w:val="auto"/>
                <w:kern w:val="0"/>
                <w:sz w:val="24"/>
                <w:highlight w:val="none"/>
                <w:lang w:val="en-US" w:eastAsia="zh-CN"/>
              </w:rPr>
              <w:t>。</w:t>
            </w:r>
          </w:p>
          <w:p w14:paraId="3C5B1E5C">
            <w:pPr>
              <w:numPr>
                <w:ilvl w:val="0"/>
                <w:numId w:val="0"/>
              </w:numPr>
              <w:adjustRightInd w:val="0"/>
              <w:snapToGrid w:val="0"/>
              <w:spacing w:line="360" w:lineRule="auto"/>
              <w:ind w:firstLine="420" w:firstLineChars="200"/>
              <w:rPr>
                <w:rFonts w:hint="eastAsia" w:ascii="Times New Roman" w:hAnsi="Times New Roman" w:eastAsia="宋体" w:cs="Times New Roman"/>
                <w:color w:val="auto"/>
                <w:kern w:val="0"/>
                <w:sz w:val="24"/>
                <w:highlight w:val="none"/>
                <w:lang w:val="en-US" w:eastAsia="zh-CN"/>
              </w:rPr>
            </w:pPr>
            <w:r>
              <w:rPr>
                <w:color w:val="auto"/>
              </w:rPr>
              <w:drawing>
                <wp:inline distT="0" distB="0" distL="114300" distR="114300">
                  <wp:extent cx="3067050" cy="335280"/>
                  <wp:effectExtent l="0" t="0" r="11430"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6"/>
                          <a:stretch>
                            <a:fillRect/>
                          </a:stretch>
                        </pic:blipFill>
                        <pic:spPr>
                          <a:xfrm>
                            <a:off x="0" y="0"/>
                            <a:ext cx="3067050" cy="335280"/>
                          </a:xfrm>
                          <a:prstGeom prst="rect">
                            <a:avLst/>
                          </a:prstGeom>
                          <a:noFill/>
                          <a:ln>
                            <a:noFill/>
                          </a:ln>
                        </pic:spPr>
                      </pic:pic>
                    </a:graphicData>
                  </a:graphic>
                </wp:inline>
              </w:drawing>
            </w:r>
          </w:p>
          <w:p w14:paraId="01B08EC8">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式中：</w:t>
            </w:r>
            <w:r>
              <w:rPr>
                <w:rFonts w:hint="default" w:ascii="Times New Roman" w:hAnsi="Times New Roman" w:eastAsia="宋体" w:cs="Times New Roman"/>
                <w:color w:val="auto"/>
                <w:kern w:val="0"/>
                <w:sz w:val="24"/>
                <w:highlight w:val="none"/>
                <w:lang w:val="en-US" w:eastAsia="zh-CN"/>
              </w:rPr>
              <w:t>Gz——</w:t>
            </w:r>
            <w:r>
              <w:rPr>
                <w:rFonts w:hint="eastAsia" w:ascii="Times New Roman" w:hAnsi="Times New Roman" w:eastAsia="宋体" w:cs="Times New Roman"/>
                <w:color w:val="auto"/>
                <w:kern w:val="0"/>
                <w:sz w:val="24"/>
                <w:highlight w:val="none"/>
                <w:lang w:val="en-US" w:eastAsia="zh-CN"/>
              </w:rPr>
              <w:t>液体的蒸发量（</w:t>
            </w:r>
            <w:r>
              <w:rPr>
                <w:rFonts w:hint="default" w:ascii="Times New Roman" w:hAnsi="Times New Roman" w:eastAsia="宋体" w:cs="Times New Roman"/>
                <w:color w:val="auto"/>
                <w:kern w:val="0"/>
                <w:sz w:val="24"/>
                <w:highlight w:val="none"/>
                <w:lang w:val="en-US" w:eastAsia="zh-CN"/>
              </w:rPr>
              <w:t>kg/h</w:t>
            </w:r>
            <w:r>
              <w:rPr>
                <w:rFonts w:hint="eastAsia" w:ascii="Times New Roman" w:hAnsi="Times New Roman" w:eastAsia="宋体" w:cs="Times New Roman"/>
                <w:color w:val="auto"/>
                <w:kern w:val="0"/>
                <w:sz w:val="24"/>
                <w:highlight w:val="none"/>
                <w:lang w:val="en-US" w:eastAsia="zh-CN"/>
              </w:rPr>
              <w:t>）；</w:t>
            </w:r>
          </w:p>
          <w:p w14:paraId="68C45A8B">
            <w:pPr>
              <w:numPr>
                <w:ilvl w:val="0"/>
                <w:numId w:val="0"/>
              </w:numPr>
              <w:adjustRightInd w:val="0"/>
              <w:snapToGrid w:val="0"/>
              <w:spacing w:line="360" w:lineRule="auto"/>
              <w:ind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M——</w:t>
            </w:r>
            <w:r>
              <w:rPr>
                <w:rFonts w:hint="eastAsia" w:ascii="Times New Roman" w:hAnsi="Times New Roman" w:eastAsia="宋体" w:cs="Times New Roman"/>
                <w:color w:val="auto"/>
                <w:kern w:val="0"/>
                <w:sz w:val="24"/>
                <w:highlight w:val="none"/>
                <w:lang w:val="en-US" w:eastAsia="zh-CN"/>
              </w:rPr>
              <w:t>液体的分子量；</w:t>
            </w:r>
          </w:p>
          <w:p w14:paraId="743A8BF0">
            <w:pPr>
              <w:numPr>
                <w:ilvl w:val="0"/>
                <w:numId w:val="0"/>
              </w:numPr>
              <w:adjustRightInd w:val="0"/>
              <w:snapToGrid w:val="0"/>
              <w:spacing w:line="360" w:lineRule="auto"/>
              <w:ind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V——</w:t>
            </w:r>
            <w:r>
              <w:rPr>
                <w:rFonts w:hint="eastAsia" w:ascii="Times New Roman" w:hAnsi="Times New Roman" w:eastAsia="宋体" w:cs="Times New Roman"/>
                <w:color w:val="auto"/>
                <w:kern w:val="0"/>
                <w:sz w:val="24"/>
                <w:highlight w:val="none"/>
                <w:lang w:val="en-US" w:eastAsia="zh-CN"/>
              </w:rPr>
              <w:t>蒸发液体表面上的空气流速（</w:t>
            </w:r>
            <w:r>
              <w:rPr>
                <w:rFonts w:hint="default" w:ascii="Times New Roman" w:hAnsi="Times New Roman" w:eastAsia="宋体" w:cs="Times New Roman"/>
                <w:color w:val="auto"/>
                <w:kern w:val="0"/>
                <w:sz w:val="24"/>
                <w:highlight w:val="none"/>
                <w:lang w:val="en-US" w:eastAsia="zh-CN"/>
              </w:rPr>
              <w:t>m/s</w:t>
            </w:r>
            <w:r>
              <w:rPr>
                <w:rFonts w:hint="eastAsia" w:ascii="Times New Roman" w:hAnsi="Times New Roman" w:eastAsia="宋体" w:cs="Times New Roman"/>
                <w:color w:val="auto"/>
                <w:kern w:val="0"/>
                <w:sz w:val="24"/>
                <w:highlight w:val="none"/>
                <w:lang w:val="en-US" w:eastAsia="zh-CN"/>
              </w:rPr>
              <w:t>）；以实测数据为准，无条件实测时，可查表，一般可取</w:t>
            </w:r>
            <w:r>
              <w:rPr>
                <w:rFonts w:hint="default" w:ascii="Times New Roman" w:hAnsi="Times New Roman" w:eastAsia="宋体" w:cs="Times New Roman"/>
                <w:color w:val="auto"/>
                <w:kern w:val="0"/>
                <w:sz w:val="24"/>
                <w:highlight w:val="none"/>
                <w:lang w:val="en-US" w:eastAsia="zh-CN"/>
              </w:rPr>
              <w:t>0.2-0.5</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项目取</w:t>
            </w:r>
            <w:r>
              <w:rPr>
                <w:rFonts w:hint="default" w:ascii="Times New Roman" w:hAnsi="Times New Roman" w:eastAsia="宋体" w:cs="Times New Roman"/>
                <w:color w:val="auto"/>
                <w:kern w:val="0"/>
                <w:sz w:val="24"/>
                <w:highlight w:val="none"/>
                <w:lang w:val="en-US" w:eastAsia="zh-CN"/>
              </w:rPr>
              <w:t>0.5m/s</w:t>
            </w:r>
            <w:r>
              <w:rPr>
                <w:rFonts w:hint="eastAsia" w:ascii="Times New Roman" w:hAnsi="Times New Roman" w:eastAsia="宋体" w:cs="Times New Roman"/>
                <w:color w:val="auto"/>
                <w:kern w:val="0"/>
                <w:sz w:val="24"/>
                <w:highlight w:val="none"/>
                <w:lang w:val="en-US" w:eastAsia="zh-CN"/>
              </w:rPr>
              <w:t>；</w:t>
            </w:r>
          </w:p>
          <w:p w14:paraId="7D453D67">
            <w:pPr>
              <w:numPr>
                <w:ilvl w:val="0"/>
                <w:numId w:val="0"/>
              </w:numPr>
              <w:adjustRightInd w:val="0"/>
              <w:snapToGrid w:val="0"/>
              <w:spacing w:line="360" w:lineRule="auto"/>
              <w:ind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P——</w:t>
            </w:r>
            <w:r>
              <w:rPr>
                <w:rFonts w:hint="eastAsia" w:ascii="Times New Roman" w:hAnsi="Times New Roman" w:eastAsia="宋体" w:cs="Times New Roman"/>
                <w:color w:val="auto"/>
                <w:kern w:val="0"/>
                <w:sz w:val="24"/>
                <w:highlight w:val="none"/>
                <w:lang w:val="en-US" w:eastAsia="zh-CN"/>
              </w:rPr>
              <w:t>液体温度下的空气中的蒸汽分压力（</w:t>
            </w:r>
            <w:r>
              <w:rPr>
                <w:rFonts w:hint="default" w:ascii="Times New Roman" w:hAnsi="Times New Roman" w:eastAsia="宋体" w:cs="Times New Roman"/>
                <w:color w:val="auto"/>
                <w:kern w:val="0"/>
                <w:sz w:val="24"/>
                <w:highlight w:val="none"/>
                <w:lang w:val="en-US" w:eastAsia="zh-CN"/>
              </w:rPr>
              <w:t>mmHg</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项目物料蒸汽分压力摘自《环境统计手册》（方品贤 江欣 奚元福 著）中表</w:t>
            </w:r>
            <w:r>
              <w:rPr>
                <w:rFonts w:hint="default" w:ascii="Times New Roman" w:hAnsi="Times New Roman" w:eastAsia="宋体" w:cs="Times New Roman"/>
                <w:color w:val="auto"/>
                <w:kern w:val="0"/>
                <w:sz w:val="24"/>
                <w:highlight w:val="none"/>
                <w:lang w:val="en-US" w:eastAsia="zh-CN"/>
              </w:rPr>
              <w:t>4-11</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4-12</w:t>
            </w:r>
            <w:r>
              <w:rPr>
                <w:rFonts w:hint="eastAsia" w:ascii="Times New Roman" w:hAnsi="Times New Roman" w:eastAsia="宋体" w:cs="Times New Roman"/>
                <w:color w:val="auto"/>
                <w:kern w:val="0"/>
                <w:sz w:val="24"/>
                <w:highlight w:val="none"/>
                <w:lang w:val="en-US" w:eastAsia="zh-CN"/>
              </w:rPr>
              <w:t>、</w:t>
            </w:r>
            <w:r>
              <w:rPr>
                <w:rFonts w:hint="default" w:ascii="Times New Roman" w:hAnsi="Times New Roman" w:eastAsia="宋体" w:cs="Times New Roman"/>
                <w:color w:val="auto"/>
                <w:kern w:val="0"/>
                <w:sz w:val="24"/>
                <w:highlight w:val="none"/>
                <w:lang w:val="en-US" w:eastAsia="zh-CN"/>
              </w:rPr>
              <w:t>4-13</w:t>
            </w:r>
            <w:r>
              <w:rPr>
                <w:rFonts w:hint="eastAsia" w:ascii="Times New Roman" w:hAnsi="Times New Roman" w:eastAsia="宋体" w:cs="Times New Roman"/>
                <w:color w:val="auto"/>
                <w:kern w:val="0"/>
                <w:sz w:val="24"/>
                <w:highlight w:val="none"/>
                <w:lang w:val="en-US" w:eastAsia="zh-CN"/>
              </w:rPr>
              <w:t>；</w:t>
            </w:r>
          </w:p>
          <w:p w14:paraId="5838C88A">
            <w:pPr>
              <w:numPr>
                <w:ilvl w:val="0"/>
                <w:numId w:val="0"/>
              </w:numPr>
              <w:adjustRightInd w:val="0"/>
              <w:snapToGrid w:val="0"/>
              <w:spacing w:line="360" w:lineRule="auto"/>
              <w:ind w:firstLine="1200" w:firstLineChars="500"/>
              <w:rPr>
                <w:rFonts w:hint="eastAsia"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F——</w:t>
            </w:r>
            <w:r>
              <w:rPr>
                <w:rFonts w:hint="eastAsia" w:ascii="Times New Roman" w:hAnsi="Times New Roman" w:eastAsia="宋体" w:cs="Times New Roman"/>
                <w:color w:val="auto"/>
                <w:kern w:val="0"/>
                <w:sz w:val="24"/>
                <w:highlight w:val="none"/>
                <w:lang w:val="en-US" w:eastAsia="zh-CN"/>
              </w:rPr>
              <w:t>液体蒸发面的表面积（</w:t>
            </w:r>
            <w:r>
              <w:rPr>
                <w:rFonts w:hint="default" w:ascii="Times New Roman" w:hAnsi="Times New Roman" w:eastAsia="宋体" w:cs="Times New Roman"/>
                <w:color w:val="auto"/>
                <w:kern w:val="0"/>
                <w:sz w:val="24"/>
                <w:highlight w:val="none"/>
                <w:lang w:val="en-US" w:eastAsia="zh-CN"/>
              </w:rPr>
              <w:t>m</w:t>
            </w:r>
            <w:r>
              <w:rPr>
                <w:rFonts w:hint="default" w:ascii="Times New Roman" w:hAnsi="Times New Roman" w:eastAsia="宋体" w:cs="Times New Roman"/>
                <w:color w:val="auto"/>
                <w:kern w:val="0"/>
                <w:sz w:val="24"/>
                <w:highlight w:val="none"/>
                <w:vertAlign w:val="superscript"/>
                <w:lang w:val="en-US" w:eastAsia="zh-CN"/>
              </w:rPr>
              <w:t>2</w:t>
            </w:r>
            <w:r>
              <w:rPr>
                <w:rFonts w:hint="eastAsia" w:ascii="Times New Roman" w:hAnsi="Times New Roman" w:eastAsia="宋体" w:cs="Times New Roman"/>
                <w:color w:val="auto"/>
                <w:kern w:val="0"/>
                <w:sz w:val="24"/>
                <w:highlight w:val="none"/>
                <w:lang w:val="en-US" w:eastAsia="zh-CN"/>
              </w:rPr>
              <w:t>），</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项目产生酸性废气污染物的敞露面积为</w:t>
            </w:r>
            <w:r>
              <w:rPr>
                <w:rFonts w:hint="default" w:ascii="Times New Roman" w:hAnsi="Times New Roman" w:eastAsia="宋体" w:cs="Times New Roman"/>
                <w:color w:val="auto"/>
                <w:kern w:val="0"/>
                <w:sz w:val="24"/>
                <w:highlight w:val="none"/>
                <w:lang w:val="en-US" w:eastAsia="zh-CN"/>
              </w:rPr>
              <w:t>0.0079m</w:t>
            </w:r>
            <w:r>
              <w:rPr>
                <w:rFonts w:hint="default" w:ascii="Times New Roman" w:hAnsi="Times New Roman" w:eastAsia="宋体" w:cs="Times New Roman"/>
                <w:color w:val="auto"/>
                <w:kern w:val="0"/>
                <w:sz w:val="24"/>
                <w:highlight w:val="none"/>
                <w:vertAlign w:val="superscript"/>
                <w:lang w:val="en-US" w:eastAsia="zh-CN"/>
              </w:rPr>
              <w:t>2</w:t>
            </w:r>
            <w:r>
              <w:rPr>
                <w:rFonts w:hint="eastAsia" w:ascii="Times New Roman" w:hAnsi="Times New Roman" w:eastAsia="宋体" w:cs="Times New Roman"/>
                <w:color w:val="auto"/>
                <w:kern w:val="0"/>
                <w:sz w:val="24"/>
                <w:highlight w:val="none"/>
                <w:lang w:val="en-US" w:eastAsia="zh-CN"/>
              </w:rPr>
              <w:t>（按</w:t>
            </w: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项目所用配液容器最大口径为</w:t>
            </w:r>
            <w:r>
              <w:rPr>
                <w:rFonts w:hint="default" w:ascii="Times New Roman" w:hAnsi="Times New Roman" w:eastAsia="宋体" w:cs="Times New Roman"/>
                <w:color w:val="auto"/>
                <w:kern w:val="0"/>
                <w:sz w:val="24"/>
                <w:highlight w:val="none"/>
                <w:lang w:val="en-US" w:eastAsia="zh-CN"/>
              </w:rPr>
              <w:t>0.1m</w:t>
            </w:r>
            <w:r>
              <w:rPr>
                <w:rFonts w:hint="eastAsia" w:ascii="Times New Roman" w:hAnsi="Times New Roman" w:eastAsia="宋体" w:cs="Times New Roman"/>
                <w:color w:val="auto"/>
                <w:kern w:val="0"/>
                <w:sz w:val="24"/>
                <w:highlight w:val="none"/>
                <w:lang w:val="en-US" w:eastAsia="zh-CN"/>
              </w:rPr>
              <w:t>计）。</w:t>
            </w:r>
          </w:p>
          <w:p w14:paraId="1989ED61">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项目每天酸性试剂使用时间约</w:t>
            </w:r>
            <w:r>
              <w:rPr>
                <w:rFonts w:hint="eastAsia"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val="en-US" w:eastAsia="zh-CN"/>
              </w:rPr>
              <w:t>h</w:t>
            </w:r>
            <w:r>
              <w:rPr>
                <w:rFonts w:hint="eastAsia" w:ascii="Times New Roman" w:hAnsi="Times New Roman" w:eastAsia="宋体" w:cs="Times New Roman"/>
                <w:color w:val="auto"/>
                <w:kern w:val="0"/>
                <w:sz w:val="24"/>
                <w:highlight w:val="none"/>
                <w:lang w:val="en-US" w:eastAsia="zh-CN"/>
              </w:rPr>
              <w:t>，每年使用酸性试剂天数</w:t>
            </w:r>
            <w:r>
              <w:rPr>
                <w:rFonts w:hint="eastAsia" w:cs="Times New Roman"/>
                <w:color w:val="auto"/>
                <w:kern w:val="0"/>
                <w:sz w:val="24"/>
                <w:highlight w:val="none"/>
                <w:lang w:val="en-US" w:eastAsia="zh-CN"/>
              </w:rPr>
              <w:t>260天</w:t>
            </w:r>
            <w:r>
              <w:rPr>
                <w:rFonts w:hint="eastAsia" w:ascii="Times New Roman" w:hAnsi="Times New Roman" w:eastAsia="宋体" w:cs="Times New Roman"/>
                <w:color w:val="auto"/>
                <w:kern w:val="0"/>
                <w:sz w:val="24"/>
                <w:highlight w:val="none"/>
                <w:lang w:val="en-US" w:eastAsia="zh-CN"/>
              </w:rPr>
              <w:t>，项目酸性</w:t>
            </w:r>
            <w:r>
              <w:rPr>
                <w:rFonts w:hint="eastAsia" w:cs="Times New Roman"/>
                <w:color w:val="auto"/>
                <w:kern w:val="0"/>
                <w:sz w:val="24"/>
                <w:highlight w:val="none"/>
                <w:lang w:val="en-US" w:eastAsia="zh-CN"/>
              </w:rPr>
              <w:t>试剂</w:t>
            </w:r>
            <w:r>
              <w:rPr>
                <w:rFonts w:hint="eastAsia" w:ascii="Times New Roman" w:hAnsi="Times New Roman" w:eastAsia="宋体" w:cs="Times New Roman"/>
                <w:color w:val="auto"/>
                <w:kern w:val="0"/>
                <w:sz w:val="24"/>
                <w:highlight w:val="none"/>
                <w:lang w:val="en-US" w:eastAsia="zh-CN"/>
              </w:rPr>
              <w:t>用量及挥发量一览表见下表。</w:t>
            </w:r>
          </w:p>
          <w:p w14:paraId="5F399207">
            <w:pPr>
              <w:keepNext w:val="0"/>
              <w:keepLines w:val="0"/>
              <w:widowControl/>
              <w:numPr>
                <w:ilvl w:val="0"/>
                <w:numId w:val="32"/>
              </w:numPr>
              <w:suppressLineNumbers w:val="0"/>
              <w:ind w:left="425" w:leftChars="0" w:hanging="425" w:firstLineChars="0"/>
              <w:jc w:val="center"/>
              <w:rPr>
                <w:color w:val="auto"/>
                <w:sz w:val="24"/>
                <w:szCs w:val="24"/>
              </w:rPr>
            </w:pPr>
            <w:r>
              <w:rPr>
                <w:rFonts w:hint="eastAsia" w:ascii="宋体" w:hAnsi="宋体" w:cs="宋体"/>
                <w:b/>
                <w:bCs/>
                <w:color w:val="auto"/>
                <w:kern w:val="0"/>
                <w:sz w:val="24"/>
                <w:szCs w:val="24"/>
                <w:lang w:val="en-US" w:eastAsia="zh-CN" w:bidi="ar"/>
              </w:rPr>
              <w:t>本</w:t>
            </w:r>
            <w:r>
              <w:rPr>
                <w:rFonts w:hint="eastAsia" w:ascii="宋体" w:hAnsi="宋体" w:eastAsia="宋体" w:cs="宋体"/>
                <w:b/>
                <w:bCs/>
                <w:color w:val="auto"/>
                <w:kern w:val="0"/>
                <w:sz w:val="24"/>
                <w:szCs w:val="24"/>
                <w:lang w:val="en-US" w:eastAsia="zh-CN" w:bidi="ar"/>
              </w:rPr>
              <w:t>项目酸性废气的用量及挥发量计算一览表</w:t>
            </w:r>
          </w:p>
          <w:tbl>
            <w:tblPr>
              <w:tblStyle w:val="24"/>
              <w:tblW w:w="756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132"/>
              <w:gridCol w:w="988"/>
              <w:gridCol w:w="1307"/>
              <w:gridCol w:w="1101"/>
              <w:gridCol w:w="1132"/>
              <w:gridCol w:w="1134"/>
            </w:tblGrid>
            <w:tr w14:paraId="6E1ED2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373A38B6">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试剂</w:t>
                  </w:r>
                </w:p>
                <w:p w14:paraId="19622C2E">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名称</w:t>
                  </w:r>
                </w:p>
              </w:tc>
              <w:tc>
                <w:tcPr>
                  <w:tcW w:w="1132" w:type="dxa"/>
                  <w:tcBorders>
                    <w:tl2br w:val="nil"/>
                    <w:tr2bl w:val="nil"/>
                  </w:tcBorders>
                  <w:vAlign w:val="center"/>
                </w:tcPr>
                <w:p w14:paraId="1F472931">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年用量</w:t>
                  </w:r>
                </w:p>
                <w:p w14:paraId="3C0A1FD1">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kg/</w:t>
                  </w:r>
                  <w:r>
                    <w:rPr>
                      <w:rFonts w:hint="eastAsia" w:cs="Times New Roman"/>
                      <w:b/>
                      <w:bCs/>
                      <w:color w:val="auto"/>
                      <w:kern w:val="0"/>
                      <w:sz w:val="21"/>
                      <w:szCs w:val="21"/>
                      <w:lang w:val="en-US" w:eastAsia="zh-CN" w:bidi="ar"/>
                    </w:rPr>
                    <w:t>a</w:t>
                  </w:r>
                  <w:r>
                    <w:rPr>
                      <w:rFonts w:hint="default" w:ascii="Times New Roman" w:hAnsi="Times New Roman" w:eastAsia="宋体" w:cs="Times New Roman"/>
                      <w:b/>
                      <w:bCs/>
                      <w:color w:val="auto"/>
                      <w:kern w:val="0"/>
                      <w:sz w:val="21"/>
                      <w:szCs w:val="21"/>
                      <w:lang w:val="en-US" w:eastAsia="zh-CN" w:bidi="ar"/>
                    </w:rPr>
                    <w:t>)</w:t>
                  </w:r>
                </w:p>
              </w:tc>
              <w:tc>
                <w:tcPr>
                  <w:tcW w:w="988" w:type="dxa"/>
                  <w:tcBorders>
                    <w:tl2br w:val="nil"/>
                    <w:tr2bl w:val="nil"/>
                  </w:tcBorders>
                  <w:vAlign w:val="center"/>
                </w:tcPr>
                <w:p w14:paraId="3DE10159">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分子量</w:t>
                  </w:r>
                </w:p>
                <w:p w14:paraId="0ADA8AB7">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M</w:t>
                  </w:r>
                  <w:r>
                    <w:rPr>
                      <w:rFonts w:hint="eastAsia" w:ascii="宋体" w:hAnsi="宋体" w:eastAsia="宋体" w:cs="宋体"/>
                      <w:b/>
                      <w:bCs/>
                      <w:color w:val="auto"/>
                      <w:kern w:val="0"/>
                      <w:sz w:val="21"/>
                      <w:szCs w:val="21"/>
                      <w:lang w:val="en-US" w:eastAsia="zh-CN" w:bidi="ar"/>
                    </w:rPr>
                    <w:t>）</w:t>
                  </w:r>
                </w:p>
              </w:tc>
              <w:tc>
                <w:tcPr>
                  <w:tcW w:w="1307" w:type="dxa"/>
                  <w:tcBorders>
                    <w:tl2br w:val="nil"/>
                    <w:tr2bl w:val="nil"/>
                  </w:tcBorders>
                  <w:vAlign w:val="center"/>
                </w:tcPr>
                <w:p w14:paraId="4F452DDE">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蒸汽分压力</w:t>
                  </w:r>
                </w:p>
                <w:p w14:paraId="3E7E0DAF">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mmHg</w:t>
                  </w:r>
                  <w:r>
                    <w:rPr>
                      <w:rFonts w:hint="eastAsia" w:ascii="宋体" w:hAnsi="宋体" w:eastAsia="宋体" w:cs="宋体"/>
                      <w:b/>
                      <w:bCs/>
                      <w:color w:val="auto"/>
                      <w:kern w:val="0"/>
                      <w:sz w:val="21"/>
                      <w:szCs w:val="21"/>
                      <w:lang w:val="en-US" w:eastAsia="zh-CN" w:bidi="ar"/>
                    </w:rPr>
                    <w:t>）</w:t>
                  </w:r>
                </w:p>
              </w:tc>
              <w:tc>
                <w:tcPr>
                  <w:tcW w:w="1101" w:type="dxa"/>
                  <w:tcBorders>
                    <w:tl2br w:val="nil"/>
                    <w:tr2bl w:val="nil"/>
                  </w:tcBorders>
                  <w:vAlign w:val="center"/>
                </w:tcPr>
                <w:p w14:paraId="71396A3A">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污染物</w:t>
                  </w:r>
                </w:p>
                <w:p w14:paraId="072D04AC">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名称</w:t>
                  </w:r>
                </w:p>
              </w:tc>
              <w:tc>
                <w:tcPr>
                  <w:tcW w:w="1132" w:type="dxa"/>
                  <w:tcBorders>
                    <w:tl2br w:val="nil"/>
                    <w:tr2bl w:val="nil"/>
                  </w:tcBorders>
                  <w:vAlign w:val="center"/>
                </w:tcPr>
                <w:p w14:paraId="7C819CE3">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挥发量</w:t>
                  </w:r>
                </w:p>
                <w:p w14:paraId="2BEC59DA">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kg/h)</w:t>
                  </w:r>
                </w:p>
              </w:tc>
              <w:tc>
                <w:tcPr>
                  <w:tcW w:w="1134" w:type="dxa"/>
                  <w:tcBorders>
                    <w:tl2br w:val="nil"/>
                    <w:tr2bl w:val="nil"/>
                  </w:tcBorders>
                  <w:vAlign w:val="center"/>
                </w:tcPr>
                <w:p w14:paraId="551CF55E">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年挥发量</w:t>
                  </w:r>
                </w:p>
                <w:p w14:paraId="5359AC1D">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kg/a)</w:t>
                  </w:r>
                </w:p>
              </w:tc>
            </w:tr>
            <w:tr w14:paraId="135AA6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4" w:type="dxa"/>
                  <w:tcBorders>
                    <w:tl2br w:val="nil"/>
                    <w:tr2bl w:val="nil"/>
                  </w:tcBorders>
                  <w:vAlign w:val="center"/>
                </w:tcPr>
                <w:p w14:paraId="235981D8">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盐酸</w:t>
                  </w:r>
                </w:p>
              </w:tc>
              <w:tc>
                <w:tcPr>
                  <w:tcW w:w="1132" w:type="dxa"/>
                  <w:tcBorders>
                    <w:tl2br w:val="nil"/>
                    <w:tr2bl w:val="nil"/>
                  </w:tcBorders>
                  <w:vAlign w:val="center"/>
                </w:tcPr>
                <w:p w14:paraId="4D7C0200">
                  <w:pPr>
                    <w:numPr>
                      <w:ilvl w:val="0"/>
                      <w:numId w:val="0"/>
                    </w:numPr>
                    <w:spacing w:line="240" w:lineRule="auto"/>
                    <w:ind w:left="0" w:leftChars="0" w:firstLine="0" w:firstLineChars="0"/>
                    <w:jc w:val="center"/>
                    <w:rPr>
                      <w:rFonts w:hint="default"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3.83</w:t>
                  </w:r>
                </w:p>
              </w:tc>
              <w:tc>
                <w:tcPr>
                  <w:tcW w:w="988" w:type="dxa"/>
                  <w:tcBorders>
                    <w:tl2br w:val="nil"/>
                    <w:tr2bl w:val="nil"/>
                  </w:tcBorders>
                  <w:vAlign w:val="center"/>
                </w:tcPr>
                <w:p w14:paraId="6ABB4601">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36.45</w:t>
                  </w:r>
                </w:p>
              </w:tc>
              <w:tc>
                <w:tcPr>
                  <w:tcW w:w="1307" w:type="dxa"/>
                  <w:tcBorders>
                    <w:tl2br w:val="nil"/>
                    <w:tr2bl w:val="nil"/>
                  </w:tcBorders>
                  <w:vAlign w:val="center"/>
                </w:tcPr>
                <w:p w14:paraId="757F6E26">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10.6</w:t>
                  </w:r>
                </w:p>
              </w:tc>
              <w:tc>
                <w:tcPr>
                  <w:tcW w:w="1101" w:type="dxa"/>
                  <w:tcBorders>
                    <w:tl2br w:val="nil"/>
                    <w:tr2bl w:val="nil"/>
                  </w:tcBorders>
                  <w:vAlign w:val="center"/>
                </w:tcPr>
                <w:p w14:paraId="30D0AF6C">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氯化氢</w:t>
                  </w:r>
                </w:p>
              </w:tc>
              <w:tc>
                <w:tcPr>
                  <w:tcW w:w="1132" w:type="dxa"/>
                  <w:tcBorders>
                    <w:tl2br w:val="nil"/>
                    <w:tr2bl w:val="nil"/>
                  </w:tcBorders>
                  <w:vAlign w:val="center"/>
                </w:tcPr>
                <w:p w14:paraId="5D420189">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0.00227</w:t>
                  </w:r>
                </w:p>
              </w:tc>
              <w:tc>
                <w:tcPr>
                  <w:tcW w:w="1134" w:type="dxa"/>
                  <w:tcBorders>
                    <w:tl2br w:val="nil"/>
                    <w:tr2bl w:val="nil"/>
                  </w:tcBorders>
                  <w:vAlign w:val="center"/>
                </w:tcPr>
                <w:p w14:paraId="68AA8AF2">
                  <w:pPr>
                    <w:numPr>
                      <w:ilvl w:val="0"/>
                      <w:numId w:val="0"/>
                    </w:numPr>
                    <w:adjustRightInd w:val="0"/>
                    <w:snapToGrid w:val="0"/>
                    <w:spacing w:line="240" w:lineRule="auto"/>
                    <w:jc w:val="center"/>
                    <w:rPr>
                      <w:rFonts w:hint="default"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1.1804</w:t>
                  </w:r>
                </w:p>
              </w:tc>
            </w:tr>
            <w:tr w14:paraId="640DA1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tcBorders>
                    <w:tl2br w:val="nil"/>
                    <w:tr2bl w:val="nil"/>
                  </w:tcBorders>
                  <w:vAlign w:val="center"/>
                </w:tcPr>
                <w:p w14:paraId="76E13973">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硝酸</w:t>
                  </w:r>
                </w:p>
              </w:tc>
              <w:tc>
                <w:tcPr>
                  <w:tcW w:w="1132" w:type="dxa"/>
                  <w:tcBorders>
                    <w:tl2br w:val="nil"/>
                    <w:tr2bl w:val="nil"/>
                  </w:tcBorders>
                  <w:vAlign w:val="center"/>
                </w:tcPr>
                <w:p w14:paraId="73AC8425">
                  <w:pPr>
                    <w:numPr>
                      <w:ilvl w:val="0"/>
                      <w:numId w:val="0"/>
                    </w:numPr>
                    <w:spacing w:line="240" w:lineRule="auto"/>
                    <w:ind w:left="0" w:leftChars="0" w:firstLine="0" w:firstLineChars="0"/>
                    <w:jc w:val="center"/>
                    <w:rPr>
                      <w:rFonts w:hint="default"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7.42</w:t>
                  </w:r>
                </w:p>
              </w:tc>
              <w:tc>
                <w:tcPr>
                  <w:tcW w:w="988" w:type="dxa"/>
                  <w:tcBorders>
                    <w:tl2br w:val="nil"/>
                    <w:tr2bl w:val="nil"/>
                  </w:tcBorders>
                  <w:vAlign w:val="center"/>
                </w:tcPr>
                <w:p w14:paraId="791C5518">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63.01</w:t>
                  </w:r>
                </w:p>
              </w:tc>
              <w:tc>
                <w:tcPr>
                  <w:tcW w:w="1307" w:type="dxa"/>
                  <w:tcBorders>
                    <w:tl2br w:val="nil"/>
                    <w:tr2bl w:val="nil"/>
                  </w:tcBorders>
                  <w:vAlign w:val="center"/>
                </w:tcPr>
                <w:p w14:paraId="5A0128D1">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1.87</w:t>
                  </w:r>
                </w:p>
              </w:tc>
              <w:tc>
                <w:tcPr>
                  <w:tcW w:w="1101" w:type="dxa"/>
                  <w:tcBorders>
                    <w:tl2br w:val="nil"/>
                    <w:tr2bl w:val="nil"/>
                  </w:tcBorders>
                  <w:vAlign w:val="center"/>
                </w:tcPr>
                <w:p w14:paraId="751993D3">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氮氧化物</w:t>
                  </w:r>
                </w:p>
              </w:tc>
              <w:tc>
                <w:tcPr>
                  <w:tcW w:w="1132" w:type="dxa"/>
                  <w:tcBorders>
                    <w:tl2br w:val="nil"/>
                    <w:tr2bl w:val="nil"/>
                  </w:tcBorders>
                  <w:vAlign w:val="center"/>
                </w:tcPr>
                <w:p w14:paraId="1A93BECD">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0.0007</w:t>
                  </w:r>
                </w:p>
              </w:tc>
              <w:tc>
                <w:tcPr>
                  <w:tcW w:w="1134" w:type="dxa"/>
                  <w:tcBorders>
                    <w:tl2br w:val="nil"/>
                    <w:tr2bl w:val="nil"/>
                  </w:tcBorders>
                  <w:vAlign w:val="center"/>
                </w:tcPr>
                <w:p w14:paraId="0F7E350F">
                  <w:pPr>
                    <w:numPr>
                      <w:ilvl w:val="0"/>
                      <w:numId w:val="0"/>
                    </w:numPr>
                    <w:adjustRightInd w:val="0"/>
                    <w:snapToGrid w:val="0"/>
                    <w:spacing w:line="240" w:lineRule="auto"/>
                    <w:jc w:val="center"/>
                    <w:rPr>
                      <w:rFonts w:hint="default"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0.364</w:t>
                  </w:r>
                </w:p>
              </w:tc>
            </w:tr>
            <w:tr w14:paraId="527E0D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74" w:type="dxa"/>
                  <w:tcBorders>
                    <w:tl2br w:val="nil"/>
                    <w:tr2bl w:val="nil"/>
                  </w:tcBorders>
                  <w:vAlign w:val="center"/>
                </w:tcPr>
                <w:p w14:paraId="2D4AF4A5">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硫酸</w:t>
                  </w:r>
                </w:p>
              </w:tc>
              <w:tc>
                <w:tcPr>
                  <w:tcW w:w="1132" w:type="dxa"/>
                  <w:tcBorders>
                    <w:tl2br w:val="nil"/>
                    <w:tr2bl w:val="nil"/>
                  </w:tcBorders>
                  <w:vAlign w:val="center"/>
                </w:tcPr>
                <w:p w14:paraId="4E0A495A">
                  <w:pPr>
                    <w:numPr>
                      <w:ilvl w:val="0"/>
                      <w:numId w:val="0"/>
                    </w:numPr>
                    <w:spacing w:line="240" w:lineRule="auto"/>
                    <w:ind w:left="0" w:leftChars="0" w:firstLine="0" w:firstLineChars="0"/>
                    <w:jc w:val="center"/>
                    <w:rPr>
                      <w:rFonts w:hint="default"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550.80</w:t>
                  </w:r>
                </w:p>
              </w:tc>
              <w:tc>
                <w:tcPr>
                  <w:tcW w:w="988" w:type="dxa"/>
                  <w:tcBorders>
                    <w:tl2br w:val="nil"/>
                    <w:tr2bl w:val="nil"/>
                  </w:tcBorders>
                  <w:vAlign w:val="center"/>
                </w:tcPr>
                <w:p w14:paraId="50B57C93">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98.08</w:t>
                  </w:r>
                </w:p>
              </w:tc>
              <w:tc>
                <w:tcPr>
                  <w:tcW w:w="1307" w:type="dxa"/>
                  <w:tcBorders>
                    <w:tl2br w:val="nil"/>
                    <w:tr2bl w:val="nil"/>
                  </w:tcBorders>
                  <w:vAlign w:val="center"/>
                </w:tcPr>
                <w:p w14:paraId="6C341949">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0.08</w:t>
                  </w:r>
                </w:p>
              </w:tc>
              <w:tc>
                <w:tcPr>
                  <w:tcW w:w="1101" w:type="dxa"/>
                  <w:tcBorders>
                    <w:tl2br w:val="nil"/>
                    <w:tr2bl w:val="nil"/>
                  </w:tcBorders>
                  <w:vAlign w:val="center"/>
                </w:tcPr>
                <w:p w14:paraId="184603C4">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硫酸雾</w:t>
                  </w:r>
                </w:p>
              </w:tc>
              <w:tc>
                <w:tcPr>
                  <w:tcW w:w="1132" w:type="dxa"/>
                  <w:tcBorders>
                    <w:tl2br w:val="nil"/>
                    <w:tr2bl w:val="nil"/>
                  </w:tcBorders>
                  <w:vAlign w:val="center"/>
                </w:tcPr>
                <w:p w14:paraId="7E1A59AB">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0.00005</w:t>
                  </w:r>
                </w:p>
              </w:tc>
              <w:tc>
                <w:tcPr>
                  <w:tcW w:w="1134" w:type="dxa"/>
                  <w:tcBorders>
                    <w:tl2br w:val="nil"/>
                    <w:tr2bl w:val="nil"/>
                  </w:tcBorders>
                  <w:vAlign w:val="center"/>
                </w:tcPr>
                <w:p w14:paraId="75212D61">
                  <w:pPr>
                    <w:numPr>
                      <w:ilvl w:val="0"/>
                      <w:numId w:val="0"/>
                    </w:numPr>
                    <w:adjustRightInd w:val="0"/>
                    <w:snapToGrid w:val="0"/>
                    <w:spacing w:line="240" w:lineRule="auto"/>
                    <w:jc w:val="center"/>
                    <w:rPr>
                      <w:rFonts w:hint="default" w:ascii="Times New Roman" w:hAnsi="Times New Roman"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0"/>
                      <w:sz w:val="21"/>
                      <w:szCs w:val="21"/>
                      <w:highlight w:val="none"/>
                      <w:vertAlign w:val="baseline"/>
                      <w:lang w:val="en-US" w:eastAsia="zh-CN"/>
                    </w:rPr>
                    <w:t>0.026</w:t>
                  </w:r>
                </w:p>
              </w:tc>
            </w:tr>
          </w:tbl>
          <w:p w14:paraId="4D05804E">
            <w:pPr>
              <w:numPr>
                <w:ilvl w:val="0"/>
                <w:numId w:val="0"/>
              </w:numPr>
              <w:adjustRightInd w:val="0"/>
              <w:snapToGrid w:val="0"/>
              <w:spacing w:line="360" w:lineRule="auto"/>
              <w:ind w:left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3）</w:t>
            </w:r>
            <w:r>
              <w:rPr>
                <w:rFonts w:hint="eastAsia" w:ascii="Times New Roman" w:hAnsi="Times New Roman" w:eastAsia="宋体" w:cs="Times New Roman"/>
                <w:color w:val="auto"/>
                <w:kern w:val="0"/>
                <w:sz w:val="24"/>
                <w:highlight w:val="none"/>
                <w:lang w:val="en-US" w:eastAsia="zh-CN"/>
              </w:rPr>
              <w:t>碱性废气</w:t>
            </w:r>
          </w:p>
          <w:p w14:paraId="79CF7E0C">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项目实验过程使用氨水，</w:t>
            </w:r>
            <w:r>
              <w:rPr>
                <w:rFonts w:hint="eastAsia" w:cs="Times New Roman"/>
                <w:color w:val="auto"/>
                <w:kern w:val="0"/>
                <w:sz w:val="24"/>
                <w:highlight w:val="none"/>
                <w:lang w:val="en-US" w:eastAsia="zh-CN"/>
              </w:rPr>
              <w:t>每天使用氨水的时间1h，年使用260天，氨水用量9.08kg/a，</w:t>
            </w:r>
            <w:r>
              <w:rPr>
                <w:rFonts w:hint="eastAsia" w:ascii="Times New Roman" w:hAnsi="Times New Roman" w:eastAsia="宋体" w:cs="Times New Roman"/>
                <w:color w:val="auto"/>
                <w:kern w:val="0"/>
                <w:sz w:val="24"/>
                <w:highlight w:val="none"/>
                <w:lang w:val="en-US" w:eastAsia="zh-CN"/>
              </w:rPr>
              <w:t>氨水的挥发量取</w:t>
            </w:r>
            <w:r>
              <w:rPr>
                <w:rFonts w:hint="eastAsia" w:cs="Times New Roman"/>
                <w:color w:val="auto"/>
                <w:kern w:val="0"/>
                <w:sz w:val="24"/>
                <w:highlight w:val="none"/>
                <w:lang w:val="en-US" w:eastAsia="zh-CN"/>
              </w:rPr>
              <w:t>1</w:t>
            </w:r>
            <w:r>
              <w:rPr>
                <w:rFonts w:hint="default" w:ascii="Times New Roman" w:hAnsi="Times New Roman" w:eastAsia="宋体" w:cs="Times New Roman"/>
                <w:color w:val="auto"/>
                <w:kern w:val="0"/>
                <w:sz w:val="24"/>
                <w:highlight w:val="none"/>
                <w:lang w:val="en-US" w:eastAsia="zh-CN"/>
              </w:rPr>
              <w:t>0%</w:t>
            </w:r>
            <w:r>
              <w:rPr>
                <w:rFonts w:hint="eastAsia" w:cs="Times New Roman"/>
                <w:color w:val="auto"/>
                <w:kern w:val="0"/>
                <w:sz w:val="24"/>
                <w:highlight w:val="none"/>
                <w:lang w:val="en-US" w:eastAsia="zh-CN"/>
              </w:rPr>
              <w:t>，氨水含有氨25-28%，本次评价以氨水含氨28%计，</w:t>
            </w:r>
            <w:r>
              <w:rPr>
                <w:rFonts w:hint="eastAsia" w:ascii="Times New Roman" w:hAnsi="Times New Roman" w:eastAsia="宋体" w:cs="Times New Roman"/>
                <w:color w:val="auto"/>
                <w:kern w:val="0"/>
                <w:sz w:val="24"/>
                <w:highlight w:val="none"/>
                <w:lang w:val="en-US" w:eastAsia="zh-CN"/>
              </w:rPr>
              <w:t>氨气的挥发量为</w:t>
            </w:r>
            <w:r>
              <w:rPr>
                <w:rFonts w:hint="eastAsia" w:cs="Times New Roman"/>
                <w:color w:val="auto"/>
                <w:kern w:val="0"/>
                <w:sz w:val="24"/>
                <w:highlight w:val="none"/>
                <w:lang w:val="en-US" w:eastAsia="zh-CN"/>
              </w:rPr>
              <w:t>0.2542</w:t>
            </w:r>
            <w:r>
              <w:rPr>
                <w:rFonts w:hint="default" w:ascii="Times New Roman" w:hAnsi="Times New Roman" w:eastAsia="宋体" w:cs="Times New Roman"/>
                <w:color w:val="auto"/>
                <w:kern w:val="0"/>
                <w:sz w:val="24"/>
                <w:highlight w:val="none"/>
                <w:lang w:val="en-US" w:eastAsia="zh-CN"/>
              </w:rPr>
              <w:t>kg/a</w:t>
            </w:r>
            <w:r>
              <w:rPr>
                <w:rFonts w:hint="eastAsia" w:cs="Times New Roman"/>
                <w:color w:val="auto"/>
                <w:kern w:val="0"/>
                <w:sz w:val="24"/>
                <w:highlight w:val="none"/>
                <w:lang w:val="en-US" w:eastAsia="zh-CN"/>
              </w:rPr>
              <w:t>（0.00098kg/h）</w:t>
            </w:r>
            <w:r>
              <w:rPr>
                <w:rFonts w:hint="eastAsia" w:ascii="Times New Roman" w:hAnsi="Times New Roman" w:eastAsia="宋体" w:cs="Times New Roman"/>
                <w:color w:val="auto"/>
                <w:kern w:val="0"/>
                <w:sz w:val="24"/>
                <w:highlight w:val="none"/>
                <w:lang w:val="en-US" w:eastAsia="zh-CN"/>
              </w:rPr>
              <w:t>。</w:t>
            </w:r>
          </w:p>
          <w:p w14:paraId="7C1D6B4E">
            <w:pPr>
              <w:numPr>
                <w:ilvl w:val="0"/>
                <w:numId w:val="0"/>
              </w:numPr>
              <w:adjustRightInd w:val="0"/>
              <w:snapToGrid w:val="0"/>
              <w:spacing w:line="360" w:lineRule="auto"/>
              <w:ind w:firstLine="482" w:firstLineChars="200"/>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w:t>
            </w:r>
            <w:r>
              <w:rPr>
                <w:rFonts w:hint="default" w:ascii="Times New Roman" w:hAnsi="Times New Roman" w:eastAsia="宋体" w:cs="Times New Roman"/>
                <w:b/>
                <w:bCs/>
                <w:color w:val="auto"/>
                <w:kern w:val="0"/>
                <w:sz w:val="24"/>
                <w:highlight w:val="none"/>
                <w:lang w:val="en-US" w:eastAsia="zh-CN"/>
              </w:rPr>
              <w:t>2</w:t>
            </w:r>
            <w:r>
              <w:rPr>
                <w:rFonts w:hint="eastAsia" w:ascii="Times New Roman" w:hAnsi="Times New Roman" w:eastAsia="宋体" w:cs="Times New Roman"/>
                <w:b/>
                <w:bCs/>
                <w:color w:val="auto"/>
                <w:kern w:val="0"/>
                <w:sz w:val="24"/>
                <w:highlight w:val="none"/>
                <w:lang w:val="en-US" w:eastAsia="zh-CN"/>
              </w:rPr>
              <w:t xml:space="preserve">）废气产排污情况 </w:t>
            </w:r>
          </w:p>
          <w:p w14:paraId="65D2C13D">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w:t>
            </w:r>
            <w:r>
              <w:rPr>
                <w:rFonts w:hint="eastAsia" w:ascii="Times New Roman" w:hAnsi="Times New Roman" w:eastAsia="宋体" w:cs="Times New Roman"/>
                <w:color w:val="auto"/>
                <w:kern w:val="0"/>
                <w:sz w:val="24"/>
                <w:highlight w:val="none"/>
                <w:lang w:val="en-US" w:eastAsia="zh-CN"/>
              </w:rPr>
              <w:t>项目挥发性化学试剂均</w:t>
            </w:r>
            <w:r>
              <w:rPr>
                <w:rFonts w:hint="eastAsia" w:cs="Times New Roman"/>
                <w:color w:val="auto"/>
                <w:kern w:val="0"/>
                <w:sz w:val="24"/>
                <w:highlight w:val="none"/>
                <w:lang w:val="en-US" w:eastAsia="zh-CN"/>
              </w:rPr>
              <w:t>在</w:t>
            </w:r>
            <w:r>
              <w:rPr>
                <w:rFonts w:hint="eastAsia" w:ascii="Times New Roman" w:hAnsi="Times New Roman" w:eastAsia="宋体" w:cs="Times New Roman"/>
                <w:color w:val="auto"/>
                <w:kern w:val="0"/>
                <w:sz w:val="24"/>
                <w:highlight w:val="none"/>
                <w:lang w:val="en-US" w:eastAsia="zh-CN"/>
              </w:rPr>
              <w:t>通风橱内使用</w:t>
            </w:r>
            <w:r>
              <w:rPr>
                <w:rFonts w:hint="eastAsia"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lang w:val="en-US" w:eastAsia="zh-CN"/>
              </w:rPr>
              <w:t>产生的有机废气、无机废气经通风橱收集后</w:t>
            </w:r>
            <w:r>
              <w:rPr>
                <w:rFonts w:hint="eastAsia" w:cs="Times New Roman"/>
                <w:color w:val="auto"/>
                <w:kern w:val="0"/>
                <w:sz w:val="24"/>
                <w:highlight w:val="none"/>
                <w:lang w:val="en-US" w:eastAsia="zh-CN"/>
              </w:rPr>
              <w:t>进入楼顶的干式过滤器</w:t>
            </w:r>
            <w:r>
              <w:rPr>
                <w:rFonts w:hint="eastAsia" w:ascii="Times New Roman" w:hAnsi="Times New Roman" w:eastAsia="宋体" w:cs="Times New Roman"/>
                <w:color w:val="auto"/>
                <w:kern w:val="0"/>
                <w:sz w:val="24"/>
                <w:highlight w:val="none"/>
                <w:lang w:val="en-US" w:eastAsia="zh-CN"/>
              </w:rPr>
              <w:t>吸附</w:t>
            </w:r>
            <w:r>
              <w:rPr>
                <w:rFonts w:hint="eastAsia" w:cs="Times New Roman"/>
                <w:color w:val="auto"/>
                <w:kern w:val="0"/>
                <w:sz w:val="24"/>
                <w:highlight w:val="none"/>
                <w:lang w:val="en-US" w:eastAsia="zh-CN"/>
              </w:rPr>
              <w:t>设施。试剂配制、样品前处理时提前打开</w:t>
            </w:r>
            <w:r>
              <w:rPr>
                <w:rFonts w:hint="eastAsia" w:ascii="Times New Roman" w:hAnsi="Times New Roman" w:eastAsia="宋体" w:cs="Times New Roman"/>
                <w:color w:val="auto"/>
                <w:kern w:val="0"/>
                <w:sz w:val="24"/>
                <w:highlight w:val="none"/>
                <w:lang w:val="en-US" w:eastAsia="zh-CN"/>
              </w:rPr>
              <w:t>通风橱</w:t>
            </w:r>
            <w:r>
              <w:rPr>
                <w:rFonts w:hint="eastAsia" w:cs="Times New Roman"/>
                <w:color w:val="auto"/>
                <w:kern w:val="0"/>
                <w:sz w:val="24"/>
                <w:highlight w:val="none"/>
                <w:lang w:val="en-US" w:eastAsia="zh-CN"/>
              </w:rPr>
              <w:t>风机，在不影响操作的情况下尽量减少通风橱的开度，确保通风橱敞开面风速不低于0.35m/s，通风橱收集效率按</w:t>
            </w:r>
            <w:r>
              <w:rPr>
                <w:rFonts w:hint="default" w:ascii="Times New Roman" w:hAnsi="Times New Roman" w:eastAsia="宋体" w:cs="Times New Roman"/>
                <w:color w:val="auto"/>
                <w:kern w:val="0"/>
                <w:sz w:val="24"/>
                <w:highlight w:val="none"/>
                <w:lang w:val="en-US" w:eastAsia="zh-CN"/>
              </w:rPr>
              <w:t>100%</w:t>
            </w:r>
            <w:r>
              <w:rPr>
                <w:rFonts w:hint="eastAsia" w:cs="Times New Roman"/>
                <w:color w:val="auto"/>
                <w:kern w:val="0"/>
                <w:sz w:val="24"/>
                <w:highlight w:val="none"/>
                <w:lang w:val="en-US" w:eastAsia="zh-CN"/>
              </w:rPr>
              <w:t>计</w:t>
            </w:r>
            <w:r>
              <w:rPr>
                <w:rFonts w:hint="eastAsia" w:ascii="Times New Roman" w:hAnsi="Times New Roman" w:eastAsia="宋体" w:cs="Times New Roman"/>
                <w:color w:val="auto"/>
                <w:kern w:val="0"/>
                <w:sz w:val="24"/>
                <w:highlight w:val="none"/>
                <w:lang w:val="en-US" w:eastAsia="zh-CN"/>
              </w:rPr>
              <w:t>，年运行时间</w:t>
            </w:r>
            <w:r>
              <w:rPr>
                <w:rFonts w:hint="eastAsia" w:cs="Times New Roman"/>
                <w:color w:val="auto"/>
                <w:kern w:val="0"/>
                <w:sz w:val="24"/>
                <w:highlight w:val="none"/>
                <w:lang w:val="en-US" w:eastAsia="zh-CN"/>
              </w:rPr>
              <w:t>260</w:t>
            </w:r>
            <w:r>
              <w:rPr>
                <w:rFonts w:hint="eastAsia" w:ascii="Times New Roman" w:hAnsi="Times New Roman" w:eastAsia="宋体" w:cs="Times New Roman"/>
                <w:color w:val="auto"/>
                <w:kern w:val="0"/>
                <w:sz w:val="24"/>
                <w:highlight w:val="none"/>
                <w:lang w:val="en-US" w:eastAsia="zh-CN"/>
              </w:rPr>
              <w:t>天，每天</w:t>
            </w:r>
            <w:r>
              <w:rPr>
                <w:rFonts w:hint="eastAsia" w:cs="Times New Roman"/>
                <w:color w:val="auto"/>
                <w:kern w:val="0"/>
                <w:sz w:val="24"/>
                <w:highlight w:val="none"/>
                <w:lang w:val="en-US" w:eastAsia="zh-CN"/>
              </w:rPr>
              <w:t>2</w:t>
            </w:r>
            <w:r>
              <w:rPr>
                <w:rFonts w:hint="eastAsia" w:ascii="Times New Roman" w:hAnsi="Times New Roman" w:eastAsia="宋体" w:cs="Times New Roman"/>
                <w:color w:val="auto"/>
                <w:kern w:val="0"/>
                <w:sz w:val="24"/>
                <w:highlight w:val="none"/>
                <w:lang w:val="en-US" w:eastAsia="zh-CN"/>
              </w:rPr>
              <w:t>小时，处理后经</w:t>
            </w:r>
            <w:r>
              <w:rPr>
                <w:rFonts w:hint="eastAsia" w:cs="Times New Roman"/>
                <w:color w:val="auto"/>
                <w:kern w:val="0"/>
                <w:sz w:val="24"/>
                <w:highlight w:val="none"/>
                <w:lang w:val="en-US" w:eastAsia="zh-CN"/>
              </w:rPr>
              <w:t>28</w:t>
            </w:r>
            <w:r>
              <w:rPr>
                <w:rFonts w:hint="default" w:ascii="Times New Roman" w:hAnsi="Times New Roman" w:eastAsia="宋体" w:cs="Times New Roman"/>
                <w:color w:val="auto"/>
                <w:kern w:val="0"/>
                <w:sz w:val="24"/>
                <w:highlight w:val="none"/>
                <w:lang w:val="en-US" w:eastAsia="zh-CN"/>
              </w:rPr>
              <w:t>m</w:t>
            </w:r>
            <w:r>
              <w:rPr>
                <w:rFonts w:hint="eastAsia" w:ascii="Times New Roman" w:hAnsi="Times New Roman" w:eastAsia="宋体" w:cs="Times New Roman"/>
                <w:color w:val="auto"/>
                <w:kern w:val="0"/>
                <w:sz w:val="24"/>
                <w:highlight w:val="none"/>
                <w:lang w:val="en-US" w:eastAsia="zh-CN"/>
              </w:rPr>
              <w:t>高的DA001排气筒排放。</w:t>
            </w:r>
          </w:p>
          <w:p w14:paraId="6B60A422">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本项目干式过滤器采用三级过滤，分别用浸渍过酸碱的吸附剂吸收碱和酸，用活性炭吸收有机废气。根据建设单位提供的资料，酸碱吸附剂的吸收效率30%。</w:t>
            </w:r>
            <w:r>
              <w:rPr>
                <w:rFonts w:hint="default" w:ascii="Times New Roman" w:hAnsi="Times New Roman" w:eastAsia="宋体" w:cs="Times New Roman"/>
                <w:color w:val="auto"/>
                <w:sz w:val="24"/>
                <w:highlight w:val="none"/>
                <w:lang w:val="en-US" w:eastAsia="zh-CN"/>
              </w:rPr>
              <w:t>根据《主要污染物总量减排核算技术指南(2022年修订)》，采用一次性活性炭吸附按其再生方式测算去除效率，不再生、集中再生和集中再生并活化VOCs去除率分别按15%、30%、50%取值，本次评价活性炭吸附效率按15%计算。</w:t>
            </w:r>
          </w:p>
          <w:p w14:paraId="0F9F7C3C">
            <w:pPr>
              <w:numPr>
                <w:ilvl w:val="0"/>
                <w:numId w:val="0"/>
              </w:numP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cs="Times New Roman"/>
                <w:color w:val="auto"/>
                <w:kern w:val="0"/>
                <w:sz w:val="24"/>
                <w:highlight w:val="none"/>
                <w:lang w:val="en-US" w:eastAsia="zh-CN"/>
              </w:rPr>
              <w:t>本项目</w:t>
            </w:r>
            <w:r>
              <w:rPr>
                <w:rFonts w:hint="eastAsia" w:ascii="Times New Roman" w:hAnsi="Times New Roman" w:eastAsia="宋体" w:cs="Times New Roman"/>
                <w:color w:val="auto"/>
                <w:kern w:val="0"/>
                <w:sz w:val="24"/>
                <w:highlight w:val="none"/>
                <w:lang w:val="en-US" w:eastAsia="zh-CN"/>
              </w:rPr>
              <w:t>废气产排情况</w:t>
            </w:r>
            <w:r>
              <w:rPr>
                <w:rFonts w:hint="eastAsia" w:eastAsia="宋体" w:cs="Times New Roman"/>
                <w:color w:val="auto"/>
                <w:kern w:val="0"/>
                <w:sz w:val="24"/>
                <w:highlight w:val="none"/>
                <w:lang w:val="en-US" w:eastAsia="zh-CN"/>
              </w:rPr>
              <w:t>见下表。</w:t>
            </w:r>
          </w:p>
          <w:p w14:paraId="7A496794">
            <w:pPr>
              <w:keepNext w:val="0"/>
              <w:keepLines w:val="0"/>
              <w:widowControl/>
              <w:numPr>
                <w:ilvl w:val="0"/>
                <w:numId w:val="32"/>
              </w:numPr>
              <w:suppressLineNumbers w:val="0"/>
              <w:ind w:left="425" w:leftChars="0" w:hanging="425" w:firstLineChars="0"/>
              <w:jc w:val="center"/>
              <w:rPr>
                <w:rFonts w:hint="eastAsia" w:ascii="Times New Roman" w:hAnsi="Times New Roman" w:eastAsia="宋体" w:cs="Times New Roman"/>
                <w:b/>
                <w:bCs/>
                <w:color w:val="auto"/>
                <w:kern w:val="0"/>
                <w:sz w:val="24"/>
                <w:highlight w:val="none"/>
                <w:lang w:val="en-US" w:eastAsia="zh-CN"/>
              </w:rPr>
            </w:pPr>
            <w:r>
              <w:rPr>
                <w:rFonts w:hint="eastAsia" w:cs="Times New Roman"/>
                <w:b/>
                <w:bCs/>
                <w:color w:val="auto"/>
                <w:kern w:val="0"/>
                <w:sz w:val="24"/>
                <w:highlight w:val="none"/>
                <w:lang w:val="en-US" w:eastAsia="zh-CN"/>
              </w:rPr>
              <w:t>本</w:t>
            </w:r>
            <w:r>
              <w:rPr>
                <w:rFonts w:hint="eastAsia" w:ascii="Times New Roman" w:hAnsi="Times New Roman" w:eastAsia="宋体" w:cs="Times New Roman"/>
                <w:b/>
                <w:bCs/>
                <w:color w:val="auto"/>
                <w:kern w:val="0"/>
                <w:sz w:val="24"/>
                <w:highlight w:val="none"/>
                <w:lang w:val="en-US" w:eastAsia="zh-CN"/>
              </w:rPr>
              <w:t>项目废气产生及排放情况一览表</w:t>
            </w:r>
          </w:p>
          <w:tbl>
            <w:tblPr>
              <w:tblStyle w:val="24"/>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5"/>
              <w:gridCol w:w="1008"/>
              <w:gridCol w:w="852"/>
              <w:gridCol w:w="813"/>
              <w:gridCol w:w="696"/>
              <w:gridCol w:w="735"/>
              <w:gridCol w:w="756"/>
              <w:gridCol w:w="792"/>
              <w:gridCol w:w="876"/>
              <w:gridCol w:w="638"/>
            </w:tblGrid>
            <w:tr w14:paraId="614A41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355" w:type="dxa"/>
                  <w:tcBorders>
                    <w:tl2br w:val="nil"/>
                    <w:tr2bl w:val="nil"/>
                  </w:tcBorders>
                  <w:vAlign w:val="center"/>
                </w:tcPr>
                <w:p w14:paraId="62DF18DE">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排气</w:t>
                  </w:r>
                </w:p>
                <w:p w14:paraId="7CFEC580">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筒</w:t>
                  </w:r>
                </w:p>
              </w:tc>
              <w:tc>
                <w:tcPr>
                  <w:tcW w:w="1008" w:type="dxa"/>
                  <w:tcBorders>
                    <w:tl2br w:val="nil"/>
                    <w:tr2bl w:val="nil"/>
                  </w:tcBorders>
                  <w:vAlign w:val="center"/>
                </w:tcPr>
                <w:p w14:paraId="3912F3A0">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污染物</w:t>
                  </w:r>
                </w:p>
              </w:tc>
              <w:tc>
                <w:tcPr>
                  <w:tcW w:w="852" w:type="dxa"/>
                  <w:tcBorders>
                    <w:tl2br w:val="nil"/>
                    <w:tr2bl w:val="nil"/>
                  </w:tcBorders>
                  <w:vAlign w:val="center"/>
                </w:tcPr>
                <w:p w14:paraId="51652596">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污染物产生量</w:t>
                  </w:r>
                  <w:r>
                    <w:rPr>
                      <w:rFonts w:hint="default" w:ascii="Times New Roman" w:hAnsi="Times New Roman" w:eastAsia="宋体" w:cs="Times New Roman"/>
                      <w:b/>
                      <w:bCs/>
                      <w:color w:val="auto"/>
                      <w:kern w:val="0"/>
                      <w:sz w:val="21"/>
                      <w:szCs w:val="21"/>
                      <w:lang w:val="en-US" w:eastAsia="zh-CN" w:bidi="ar"/>
                    </w:rPr>
                    <w:t>kg/a</w:t>
                  </w:r>
                </w:p>
              </w:tc>
              <w:tc>
                <w:tcPr>
                  <w:tcW w:w="813" w:type="dxa"/>
                  <w:tcBorders>
                    <w:tl2br w:val="nil"/>
                    <w:tr2bl w:val="nil"/>
                  </w:tcBorders>
                  <w:vAlign w:val="center"/>
                </w:tcPr>
                <w:p w14:paraId="68DA8C16">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产生浓度</w:t>
                  </w:r>
                </w:p>
                <w:p w14:paraId="2155FA38">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mg/m</w:t>
                  </w:r>
                  <w:r>
                    <w:rPr>
                      <w:rFonts w:hint="eastAsia" w:eastAsia="宋体" w:cs="Times New Roman"/>
                      <w:b/>
                      <w:bCs/>
                      <w:color w:val="auto"/>
                      <w:kern w:val="0"/>
                      <w:sz w:val="21"/>
                      <w:szCs w:val="21"/>
                      <w:vertAlign w:val="superscript"/>
                      <w:lang w:val="en-US" w:eastAsia="zh-CN" w:bidi="ar"/>
                    </w:rPr>
                    <w:t>3</w:t>
                  </w:r>
                </w:p>
              </w:tc>
              <w:tc>
                <w:tcPr>
                  <w:tcW w:w="696" w:type="dxa"/>
                  <w:tcBorders>
                    <w:tl2br w:val="nil"/>
                    <w:tr2bl w:val="nil"/>
                  </w:tcBorders>
                  <w:vAlign w:val="center"/>
                </w:tcPr>
                <w:p w14:paraId="18A52C39">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产生速率</w:t>
                  </w:r>
                </w:p>
                <w:p w14:paraId="2A42E554">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kg/h</w:t>
                  </w:r>
                </w:p>
              </w:tc>
              <w:tc>
                <w:tcPr>
                  <w:tcW w:w="735" w:type="dxa"/>
                  <w:tcBorders>
                    <w:tl2br w:val="nil"/>
                    <w:tr2bl w:val="nil"/>
                  </w:tcBorders>
                  <w:vAlign w:val="center"/>
                </w:tcPr>
                <w:p w14:paraId="02550FD9">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风机风量</w:t>
                  </w:r>
                  <w:r>
                    <w:rPr>
                      <w:rFonts w:hint="default" w:ascii="Times New Roman" w:hAnsi="Times New Roman" w:eastAsia="宋体" w:cs="Times New Roman"/>
                      <w:b/>
                      <w:bCs/>
                      <w:color w:val="auto"/>
                      <w:kern w:val="0"/>
                      <w:sz w:val="21"/>
                      <w:szCs w:val="21"/>
                      <w:lang w:val="en-US" w:eastAsia="zh-CN" w:bidi="ar"/>
                    </w:rPr>
                    <w:t>m</w:t>
                  </w:r>
                  <w:r>
                    <w:rPr>
                      <w:rFonts w:hint="default" w:ascii="Times New Roman" w:hAnsi="Times New Roman" w:eastAsia="宋体" w:cs="Times New Roman"/>
                      <w:b/>
                      <w:bCs/>
                      <w:color w:val="auto"/>
                      <w:kern w:val="0"/>
                      <w:sz w:val="21"/>
                      <w:szCs w:val="21"/>
                      <w:vertAlign w:val="superscript"/>
                      <w:lang w:val="en-US" w:eastAsia="zh-CN" w:bidi="ar"/>
                    </w:rPr>
                    <w:t>3</w:t>
                  </w:r>
                  <w:r>
                    <w:rPr>
                      <w:rFonts w:hint="default" w:ascii="Times New Roman" w:hAnsi="Times New Roman" w:eastAsia="宋体" w:cs="Times New Roman"/>
                      <w:b/>
                      <w:bCs/>
                      <w:color w:val="auto"/>
                      <w:kern w:val="0"/>
                      <w:sz w:val="21"/>
                      <w:szCs w:val="21"/>
                      <w:lang w:val="en-US" w:eastAsia="zh-CN" w:bidi="ar"/>
                    </w:rPr>
                    <w:t>/h</w:t>
                  </w:r>
                </w:p>
              </w:tc>
              <w:tc>
                <w:tcPr>
                  <w:tcW w:w="756" w:type="dxa"/>
                  <w:tcBorders>
                    <w:tl2br w:val="nil"/>
                    <w:tr2bl w:val="nil"/>
                  </w:tcBorders>
                  <w:vAlign w:val="center"/>
                </w:tcPr>
                <w:p w14:paraId="73AE3D0C">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去除</w:t>
                  </w:r>
                </w:p>
                <w:p w14:paraId="510BEC90">
                  <w:pPr>
                    <w:numPr>
                      <w:ilvl w:val="0"/>
                      <w:numId w:val="0"/>
                    </w:numPr>
                    <w:adjustRightInd w:val="0"/>
                    <w:snapToGrid w:val="0"/>
                    <w:spacing w:line="240" w:lineRule="auto"/>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效率</w:t>
                  </w:r>
                </w:p>
                <w:p w14:paraId="69B2A4D2">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cs="宋体"/>
                      <w:b/>
                      <w:bCs/>
                      <w:color w:val="auto"/>
                      <w:kern w:val="0"/>
                      <w:sz w:val="21"/>
                      <w:szCs w:val="21"/>
                      <w:lang w:val="en-US" w:eastAsia="zh-CN" w:bidi="ar"/>
                    </w:rPr>
                    <w:t>%</w:t>
                  </w:r>
                </w:p>
              </w:tc>
              <w:tc>
                <w:tcPr>
                  <w:tcW w:w="792" w:type="dxa"/>
                  <w:tcBorders>
                    <w:tl2br w:val="nil"/>
                    <w:tr2bl w:val="nil"/>
                  </w:tcBorders>
                  <w:vAlign w:val="center"/>
                </w:tcPr>
                <w:p w14:paraId="44F8D5B2">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排放量</w:t>
                  </w:r>
                  <w:r>
                    <w:rPr>
                      <w:rFonts w:hint="default" w:ascii="Times New Roman" w:hAnsi="Times New Roman" w:eastAsia="宋体" w:cs="Times New Roman"/>
                      <w:b/>
                      <w:bCs/>
                      <w:color w:val="auto"/>
                      <w:kern w:val="0"/>
                      <w:sz w:val="21"/>
                      <w:szCs w:val="21"/>
                      <w:lang w:val="en-US" w:eastAsia="zh-CN" w:bidi="ar"/>
                    </w:rPr>
                    <w:t>kg/a</w:t>
                  </w:r>
                </w:p>
              </w:tc>
              <w:tc>
                <w:tcPr>
                  <w:tcW w:w="876" w:type="dxa"/>
                  <w:tcBorders>
                    <w:tl2br w:val="nil"/>
                    <w:tr2bl w:val="nil"/>
                  </w:tcBorders>
                  <w:vAlign w:val="center"/>
                </w:tcPr>
                <w:p w14:paraId="591A429B">
                  <w:pPr>
                    <w:keepNext w:val="0"/>
                    <w:keepLines w:val="0"/>
                    <w:widowControl/>
                    <w:suppressLineNumbers w:val="0"/>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排放</w:t>
                  </w:r>
                </w:p>
                <w:p w14:paraId="2F0CC5B6">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浓度</w:t>
                  </w:r>
                  <w:r>
                    <w:rPr>
                      <w:rFonts w:hint="default" w:ascii="Times New Roman" w:hAnsi="Times New Roman" w:eastAsia="宋体" w:cs="Times New Roman"/>
                      <w:b/>
                      <w:bCs/>
                      <w:color w:val="auto"/>
                      <w:kern w:val="0"/>
                      <w:sz w:val="21"/>
                      <w:szCs w:val="21"/>
                      <w:lang w:val="en-US" w:eastAsia="zh-CN" w:bidi="ar"/>
                    </w:rPr>
                    <w:t>mg/m</w:t>
                  </w:r>
                  <w:r>
                    <w:rPr>
                      <w:rFonts w:hint="default" w:ascii="Times New Roman" w:hAnsi="Times New Roman" w:eastAsia="宋体" w:cs="Times New Roman"/>
                      <w:b/>
                      <w:bCs/>
                      <w:color w:val="auto"/>
                      <w:kern w:val="0"/>
                      <w:sz w:val="21"/>
                      <w:szCs w:val="21"/>
                      <w:vertAlign w:val="superscript"/>
                      <w:lang w:val="en-US" w:eastAsia="zh-CN" w:bidi="ar"/>
                    </w:rPr>
                    <w:t>3</w:t>
                  </w:r>
                </w:p>
              </w:tc>
              <w:tc>
                <w:tcPr>
                  <w:tcW w:w="638" w:type="dxa"/>
                  <w:tcBorders>
                    <w:tl2br w:val="nil"/>
                    <w:tr2bl w:val="nil"/>
                  </w:tcBorders>
                  <w:vAlign w:val="center"/>
                </w:tcPr>
                <w:p w14:paraId="050BE38A">
                  <w:pPr>
                    <w:keepNext w:val="0"/>
                    <w:keepLines w:val="0"/>
                    <w:widowControl/>
                    <w:suppressLineNumbers w:val="0"/>
                    <w:jc w:val="center"/>
                    <w:rPr>
                      <w:b/>
                      <w:bCs/>
                      <w:color w:val="auto"/>
                      <w:sz w:val="21"/>
                      <w:szCs w:val="21"/>
                    </w:rPr>
                  </w:pPr>
                  <w:r>
                    <w:rPr>
                      <w:rFonts w:hint="eastAsia" w:ascii="宋体" w:hAnsi="宋体" w:eastAsia="宋体" w:cs="宋体"/>
                      <w:b/>
                      <w:bCs/>
                      <w:color w:val="auto"/>
                      <w:kern w:val="0"/>
                      <w:sz w:val="21"/>
                      <w:szCs w:val="21"/>
                      <w:lang w:val="en-US" w:eastAsia="zh-CN" w:bidi="ar"/>
                    </w:rPr>
                    <w:t>排放速率</w:t>
                  </w:r>
                </w:p>
                <w:p w14:paraId="115FA9B8">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kg/h</w:t>
                  </w:r>
                </w:p>
              </w:tc>
            </w:tr>
            <w:tr w14:paraId="0310D3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restart"/>
                  <w:tcBorders>
                    <w:tl2br w:val="nil"/>
                    <w:tr2bl w:val="nil"/>
                  </w:tcBorders>
                  <w:vAlign w:val="center"/>
                </w:tcPr>
                <w:p w14:paraId="3088EA74">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DA001</w:t>
                  </w:r>
                </w:p>
              </w:tc>
              <w:tc>
                <w:tcPr>
                  <w:tcW w:w="1008" w:type="dxa"/>
                  <w:tcBorders>
                    <w:tl2br w:val="nil"/>
                    <w:tr2bl w:val="nil"/>
                  </w:tcBorders>
                  <w:shd w:val="clear" w:color="auto" w:fill="auto"/>
                  <w:vAlign w:val="center"/>
                </w:tcPr>
                <w:p w14:paraId="7292A1DC">
                  <w:pPr>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rPr>
                    <w:t>甲醇</w:t>
                  </w:r>
                </w:p>
              </w:tc>
              <w:tc>
                <w:tcPr>
                  <w:tcW w:w="852" w:type="dxa"/>
                  <w:tcBorders>
                    <w:tl2br w:val="nil"/>
                    <w:tr2bl w:val="nil"/>
                  </w:tcBorders>
                  <w:shd w:val="clear" w:color="auto" w:fill="auto"/>
                  <w:vAlign w:val="center"/>
                </w:tcPr>
                <w:p w14:paraId="477A07DF">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0.0111</w:t>
                  </w:r>
                </w:p>
              </w:tc>
              <w:tc>
                <w:tcPr>
                  <w:tcW w:w="813" w:type="dxa"/>
                  <w:tcBorders>
                    <w:tl2br w:val="nil"/>
                    <w:tr2bl w:val="nil"/>
                  </w:tcBorders>
                  <w:vAlign w:val="center"/>
                </w:tcPr>
                <w:p w14:paraId="5DE244EF">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0.0002</w:t>
                  </w:r>
                </w:p>
              </w:tc>
              <w:tc>
                <w:tcPr>
                  <w:tcW w:w="696" w:type="dxa"/>
                  <w:tcBorders>
                    <w:tl2br w:val="nil"/>
                    <w:tr2bl w:val="nil"/>
                  </w:tcBorders>
                  <w:shd w:val="clear" w:color="auto" w:fill="auto"/>
                  <w:vAlign w:val="center"/>
                </w:tcPr>
                <w:p w14:paraId="632DE627">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0.000002</w:t>
                  </w:r>
                </w:p>
              </w:tc>
              <w:tc>
                <w:tcPr>
                  <w:tcW w:w="735" w:type="dxa"/>
                  <w:vMerge w:val="restart"/>
                  <w:tcBorders>
                    <w:tl2br w:val="nil"/>
                    <w:tr2bl w:val="nil"/>
                  </w:tcBorders>
                  <w:vAlign w:val="center"/>
                </w:tcPr>
                <w:p w14:paraId="70C652DA">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10000</w:t>
                  </w:r>
                </w:p>
              </w:tc>
              <w:tc>
                <w:tcPr>
                  <w:tcW w:w="756" w:type="dxa"/>
                  <w:vMerge w:val="restart"/>
                  <w:tcBorders>
                    <w:tl2br w:val="nil"/>
                    <w:tr2bl w:val="nil"/>
                  </w:tcBorders>
                  <w:vAlign w:val="center"/>
                </w:tcPr>
                <w:p w14:paraId="7775E206">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15</w:t>
                  </w:r>
                </w:p>
              </w:tc>
              <w:tc>
                <w:tcPr>
                  <w:tcW w:w="792" w:type="dxa"/>
                  <w:tcBorders>
                    <w:tl2br w:val="nil"/>
                    <w:tr2bl w:val="nil"/>
                  </w:tcBorders>
                  <w:vAlign w:val="center"/>
                </w:tcPr>
                <w:p w14:paraId="3C68402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0.0094</w:t>
                  </w:r>
                </w:p>
              </w:tc>
              <w:tc>
                <w:tcPr>
                  <w:tcW w:w="876" w:type="dxa"/>
                  <w:tcBorders>
                    <w:tl2br w:val="nil"/>
                    <w:tr2bl w:val="nil"/>
                  </w:tcBorders>
                  <w:vAlign w:val="center"/>
                </w:tcPr>
                <w:p w14:paraId="21BBD8B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cs="Times New Roman"/>
                      <w:i w:val="0"/>
                      <w:iCs w:val="0"/>
                      <w:color w:val="auto"/>
                      <w:kern w:val="0"/>
                      <w:sz w:val="21"/>
                      <w:szCs w:val="21"/>
                      <w:u w:val="none"/>
                      <w:lang w:val="en-US" w:eastAsia="zh-CN" w:bidi="ar"/>
                    </w:rPr>
                    <w:t>02</w:t>
                  </w:r>
                </w:p>
              </w:tc>
              <w:tc>
                <w:tcPr>
                  <w:tcW w:w="638" w:type="dxa"/>
                  <w:tcBorders>
                    <w:tl2br w:val="nil"/>
                    <w:tr2bl w:val="nil"/>
                  </w:tcBorders>
                  <w:vAlign w:val="center"/>
                </w:tcPr>
                <w:p w14:paraId="7CBD8E1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0.0000</w:t>
                  </w:r>
                  <w:r>
                    <w:rPr>
                      <w:rFonts w:hint="eastAsia" w:ascii="Times New Roman" w:hAnsi="Times New Roman" w:cs="Times New Roman"/>
                      <w:i w:val="0"/>
                      <w:iCs w:val="0"/>
                      <w:color w:val="auto"/>
                      <w:kern w:val="0"/>
                      <w:sz w:val="21"/>
                      <w:szCs w:val="21"/>
                      <w:u w:val="none"/>
                      <w:lang w:val="en-US" w:eastAsia="zh-CN" w:bidi="ar"/>
                    </w:rPr>
                    <w:t>2</w:t>
                  </w:r>
                </w:p>
              </w:tc>
            </w:tr>
            <w:tr w14:paraId="0CA8CE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427B5899">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3D876281">
                  <w:pPr>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rPr>
                    <w:t>乙醇</w:t>
                  </w:r>
                </w:p>
              </w:tc>
              <w:tc>
                <w:tcPr>
                  <w:tcW w:w="852" w:type="dxa"/>
                  <w:tcBorders>
                    <w:tl2br w:val="nil"/>
                    <w:tr2bl w:val="nil"/>
                  </w:tcBorders>
                  <w:shd w:val="clear" w:color="auto" w:fill="auto"/>
                  <w:vAlign w:val="center"/>
                </w:tcPr>
                <w:p w14:paraId="02E5DE37">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0.1262</w:t>
                  </w:r>
                </w:p>
              </w:tc>
              <w:tc>
                <w:tcPr>
                  <w:tcW w:w="813" w:type="dxa"/>
                  <w:tcBorders>
                    <w:tl2br w:val="nil"/>
                    <w:tr2bl w:val="nil"/>
                  </w:tcBorders>
                  <w:vAlign w:val="center"/>
                </w:tcPr>
                <w:p w14:paraId="44F350B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0.02</w:t>
                  </w:r>
                </w:p>
              </w:tc>
              <w:tc>
                <w:tcPr>
                  <w:tcW w:w="696" w:type="dxa"/>
                  <w:tcBorders>
                    <w:tl2br w:val="nil"/>
                    <w:tr2bl w:val="nil"/>
                  </w:tcBorders>
                  <w:shd w:val="clear" w:color="auto" w:fill="auto"/>
                  <w:vAlign w:val="center"/>
                </w:tcPr>
                <w:p w14:paraId="0EF3C500">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0.0002</w:t>
                  </w:r>
                </w:p>
              </w:tc>
              <w:tc>
                <w:tcPr>
                  <w:tcW w:w="735" w:type="dxa"/>
                  <w:vMerge w:val="continue"/>
                  <w:tcBorders>
                    <w:tl2br w:val="nil"/>
                    <w:tr2bl w:val="nil"/>
                  </w:tcBorders>
                  <w:vAlign w:val="center"/>
                </w:tcPr>
                <w:p w14:paraId="437108A8">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7EF23558">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vAlign w:val="center"/>
                </w:tcPr>
                <w:p w14:paraId="603F3E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0.1073</w:t>
                  </w:r>
                </w:p>
              </w:tc>
              <w:tc>
                <w:tcPr>
                  <w:tcW w:w="876" w:type="dxa"/>
                  <w:tcBorders>
                    <w:tl2br w:val="nil"/>
                    <w:tr2bl w:val="nil"/>
                  </w:tcBorders>
                  <w:vAlign w:val="center"/>
                </w:tcPr>
                <w:p w14:paraId="039443F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638" w:type="dxa"/>
                  <w:tcBorders>
                    <w:tl2br w:val="nil"/>
                    <w:tr2bl w:val="nil"/>
                  </w:tcBorders>
                  <w:vAlign w:val="center"/>
                </w:tcPr>
                <w:p w14:paraId="30135D4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r>
            <w:tr w14:paraId="0AEEF1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4C26F480">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1A589BDA">
                  <w:pPr>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rPr>
                    <w:t>异丙酮</w:t>
                  </w:r>
                </w:p>
              </w:tc>
              <w:tc>
                <w:tcPr>
                  <w:tcW w:w="852" w:type="dxa"/>
                  <w:tcBorders>
                    <w:tl2br w:val="nil"/>
                    <w:tr2bl w:val="nil"/>
                  </w:tcBorders>
                  <w:shd w:val="clear" w:color="auto" w:fill="auto"/>
                  <w:vAlign w:val="center"/>
                </w:tcPr>
                <w:p w14:paraId="732BD276">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0.0314</w:t>
                  </w:r>
                </w:p>
              </w:tc>
              <w:tc>
                <w:tcPr>
                  <w:tcW w:w="813" w:type="dxa"/>
                  <w:tcBorders>
                    <w:tl2br w:val="nil"/>
                    <w:tr2bl w:val="nil"/>
                  </w:tcBorders>
                  <w:vAlign w:val="center"/>
                </w:tcPr>
                <w:p w14:paraId="70C2106F">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0.01</w:t>
                  </w:r>
                </w:p>
              </w:tc>
              <w:tc>
                <w:tcPr>
                  <w:tcW w:w="696" w:type="dxa"/>
                  <w:tcBorders>
                    <w:tl2br w:val="nil"/>
                    <w:tr2bl w:val="nil"/>
                  </w:tcBorders>
                  <w:shd w:val="clear" w:color="auto" w:fill="auto"/>
                  <w:vAlign w:val="center"/>
                </w:tcPr>
                <w:p w14:paraId="1BCF6726">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0.0001</w:t>
                  </w:r>
                </w:p>
              </w:tc>
              <w:tc>
                <w:tcPr>
                  <w:tcW w:w="735" w:type="dxa"/>
                  <w:vMerge w:val="continue"/>
                  <w:tcBorders>
                    <w:tl2br w:val="nil"/>
                    <w:tr2bl w:val="nil"/>
                  </w:tcBorders>
                  <w:vAlign w:val="center"/>
                </w:tcPr>
                <w:p w14:paraId="2DA61139">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5607E1D5">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vAlign w:val="center"/>
                </w:tcPr>
                <w:p w14:paraId="75EBE6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0.0267</w:t>
                  </w:r>
                </w:p>
              </w:tc>
              <w:tc>
                <w:tcPr>
                  <w:tcW w:w="876" w:type="dxa"/>
                  <w:tcBorders>
                    <w:tl2br w:val="nil"/>
                    <w:tr2bl w:val="nil"/>
                  </w:tcBorders>
                  <w:vAlign w:val="center"/>
                </w:tcPr>
                <w:p w14:paraId="6E5C1D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cs="Times New Roman"/>
                      <w:i w:val="0"/>
                      <w:iCs w:val="0"/>
                      <w:color w:val="auto"/>
                      <w:kern w:val="0"/>
                      <w:sz w:val="21"/>
                      <w:szCs w:val="21"/>
                      <w:u w:val="none"/>
                      <w:lang w:val="en-US" w:eastAsia="zh-CN" w:bidi="ar"/>
                    </w:rPr>
                    <w:t>1</w:t>
                  </w:r>
                </w:p>
              </w:tc>
              <w:tc>
                <w:tcPr>
                  <w:tcW w:w="638" w:type="dxa"/>
                  <w:tcBorders>
                    <w:tl2br w:val="nil"/>
                    <w:tr2bl w:val="nil"/>
                  </w:tcBorders>
                  <w:vAlign w:val="center"/>
                </w:tcPr>
                <w:p w14:paraId="0DEFF2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0.0001</w:t>
                  </w:r>
                </w:p>
              </w:tc>
            </w:tr>
            <w:tr w14:paraId="09FFB0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2C625D0B">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3F0C13A5">
                  <w:pPr>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rPr>
                    <w:t>丙酮</w:t>
                  </w:r>
                </w:p>
              </w:tc>
              <w:tc>
                <w:tcPr>
                  <w:tcW w:w="852" w:type="dxa"/>
                  <w:tcBorders>
                    <w:tl2br w:val="nil"/>
                    <w:tr2bl w:val="nil"/>
                  </w:tcBorders>
                  <w:shd w:val="clear" w:color="auto" w:fill="auto"/>
                  <w:vAlign w:val="center"/>
                </w:tcPr>
                <w:p w14:paraId="28203E7E">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0.1578</w:t>
                  </w:r>
                </w:p>
              </w:tc>
              <w:tc>
                <w:tcPr>
                  <w:tcW w:w="813" w:type="dxa"/>
                  <w:tcBorders>
                    <w:tl2br w:val="nil"/>
                    <w:tr2bl w:val="nil"/>
                  </w:tcBorders>
                  <w:vAlign w:val="center"/>
                </w:tcPr>
                <w:p w14:paraId="23BE7D82">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0.03</w:t>
                  </w:r>
                </w:p>
              </w:tc>
              <w:tc>
                <w:tcPr>
                  <w:tcW w:w="696" w:type="dxa"/>
                  <w:tcBorders>
                    <w:tl2br w:val="nil"/>
                    <w:tr2bl w:val="nil"/>
                  </w:tcBorders>
                  <w:shd w:val="clear" w:color="auto" w:fill="auto"/>
                  <w:vAlign w:val="center"/>
                </w:tcPr>
                <w:p w14:paraId="56745D93">
                  <w:pPr>
                    <w:numPr>
                      <w:ilvl w:val="0"/>
                      <w:numId w:val="0"/>
                    </w:numPr>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0.0003</w:t>
                  </w:r>
                </w:p>
              </w:tc>
              <w:tc>
                <w:tcPr>
                  <w:tcW w:w="735" w:type="dxa"/>
                  <w:vMerge w:val="continue"/>
                  <w:tcBorders>
                    <w:tl2br w:val="nil"/>
                    <w:tr2bl w:val="nil"/>
                  </w:tcBorders>
                  <w:vAlign w:val="center"/>
                </w:tcPr>
                <w:p w14:paraId="098F4D92">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12F83454">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vAlign w:val="center"/>
                </w:tcPr>
                <w:p w14:paraId="1E47A79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0.1341</w:t>
                  </w:r>
                </w:p>
              </w:tc>
              <w:tc>
                <w:tcPr>
                  <w:tcW w:w="876" w:type="dxa"/>
                  <w:tcBorders>
                    <w:tl2br w:val="nil"/>
                    <w:tr2bl w:val="nil"/>
                  </w:tcBorders>
                  <w:vAlign w:val="center"/>
                </w:tcPr>
                <w:p w14:paraId="762CFD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cs="Times New Roman"/>
                      <w:i w:val="0"/>
                      <w:iCs w:val="0"/>
                      <w:color w:val="auto"/>
                      <w:kern w:val="0"/>
                      <w:sz w:val="21"/>
                      <w:szCs w:val="21"/>
                      <w:u w:val="none"/>
                      <w:lang w:val="en-US" w:eastAsia="zh-CN" w:bidi="ar"/>
                    </w:rPr>
                    <w:t>3</w:t>
                  </w:r>
                </w:p>
              </w:tc>
              <w:tc>
                <w:tcPr>
                  <w:tcW w:w="638" w:type="dxa"/>
                  <w:tcBorders>
                    <w:tl2br w:val="nil"/>
                    <w:tr2bl w:val="nil"/>
                  </w:tcBorders>
                  <w:vAlign w:val="center"/>
                </w:tcPr>
                <w:p w14:paraId="7D3E91E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r>
            <w:tr w14:paraId="10EF0F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1AAB6F39">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01E084D9">
                  <w:pPr>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rPr>
                    <w:t>正己烷</w:t>
                  </w:r>
                </w:p>
              </w:tc>
              <w:tc>
                <w:tcPr>
                  <w:tcW w:w="852" w:type="dxa"/>
                  <w:tcBorders>
                    <w:tl2br w:val="nil"/>
                    <w:tr2bl w:val="nil"/>
                  </w:tcBorders>
                  <w:shd w:val="clear" w:color="auto" w:fill="auto"/>
                  <w:vAlign w:val="center"/>
                </w:tcPr>
                <w:p w14:paraId="2F9B91C0">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0.1318</w:t>
                  </w:r>
                </w:p>
              </w:tc>
              <w:tc>
                <w:tcPr>
                  <w:tcW w:w="813" w:type="dxa"/>
                  <w:tcBorders>
                    <w:tl2br w:val="nil"/>
                    <w:tr2bl w:val="nil"/>
                  </w:tcBorders>
                  <w:vAlign w:val="center"/>
                </w:tcPr>
                <w:p w14:paraId="7468BEBF">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0.03</w:t>
                  </w:r>
                </w:p>
              </w:tc>
              <w:tc>
                <w:tcPr>
                  <w:tcW w:w="696" w:type="dxa"/>
                  <w:tcBorders>
                    <w:tl2br w:val="nil"/>
                    <w:tr2bl w:val="nil"/>
                  </w:tcBorders>
                  <w:shd w:val="clear" w:color="auto" w:fill="auto"/>
                  <w:vAlign w:val="center"/>
                </w:tcPr>
                <w:p w14:paraId="6CF66A3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0.0003</w:t>
                  </w:r>
                </w:p>
              </w:tc>
              <w:tc>
                <w:tcPr>
                  <w:tcW w:w="735" w:type="dxa"/>
                  <w:vMerge w:val="continue"/>
                  <w:tcBorders>
                    <w:tl2br w:val="nil"/>
                    <w:tr2bl w:val="nil"/>
                  </w:tcBorders>
                  <w:vAlign w:val="center"/>
                </w:tcPr>
                <w:p w14:paraId="1A260F09">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41A89320">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shd w:val="clear" w:color="auto" w:fill="auto"/>
                  <w:vAlign w:val="center"/>
                </w:tcPr>
                <w:p w14:paraId="2C6031C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0.1120 </w:t>
                  </w:r>
                </w:p>
              </w:tc>
              <w:tc>
                <w:tcPr>
                  <w:tcW w:w="876" w:type="dxa"/>
                  <w:tcBorders>
                    <w:tl2br w:val="nil"/>
                    <w:tr2bl w:val="nil"/>
                  </w:tcBorders>
                  <w:shd w:val="clear" w:color="auto" w:fill="auto"/>
                  <w:vAlign w:val="center"/>
                </w:tcPr>
                <w:p w14:paraId="7670AF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02</w:t>
                  </w:r>
                </w:p>
              </w:tc>
              <w:tc>
                <w:tcPr>
                  <w:tcW w:w="638" w:type="dxa"/>
                  <w:tcBorders>
                    <w:tl2br w:val="nil"/>
                    <w:tr2bl w:val="nil"/>
                  </w:tcBorders>
                  <w:shd w:val="clear" w:color="auto" w:fill="auto"/>
                  <w:vAlign w:val="center"/>
                </w:tcPr>
                <w:p w14:paraId="56756DB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0.0002</w:t>
                  </w:r>
                </w:p>
              </w:tc>
            </w:tr>
            <w:tr w14:paraId="16F31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2F0F9607">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3891C566">
                  <w:pPr>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rPr>
                    <w:t>三氯甲烷</w:t>
                  </w:r>
                </w:p>
              </w:tc>
              <w:tc>
                <w:tcPr>
                  <w:tcW w:w="852" w:type="dxa"/>
                  <w:tcBorders>
                    <w:tl2br w:val="nil"/>
                    <w:tr2bl w:val="nil"/>
                  </w:tcBorders>
                  <w:shd w:val="clear" w:color="auto" w:fill="auto"/>
                  <w:vAlign w:val="center"/>
                </w:tcPr>
                <w:p w14:paraId="57B27394">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5.9200</w:t>
                  </w:r>
                </w:p>
              </w:tc>
              <w:tc>
                <w:tcPr>
                  <w:tcW w:w="813" w:type="dxa"/>
                  <w:tcBorders>
                    <w:tl2br w:val="nil"/>
                    <w:tr2bl w:val="nil"/>
                  </w:tcBorders>
                  <w:vAlign w:val="center"/>
                </w:tcPr>
                <w:p w14:paraId="020F4D3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1.140</w:t>
                  </w:r>
                </w:p>
              </w:tc>
              <w:tc>
                <w:tcPr>
                  <w:tcW w:w="696" w:type="dxa"/>
                  <w:tcBorders>
                    <w:tl2br w:val="nil"/>
                    <w:tr2bl w:val="nil"/>
                  </w:tcBorders>
                  <w:shd w:val="clear" w:color="auto" w:fill="auto"/>
                  <w:vAlign w:val="center"/>
                </w:tcPr>
                <w:p w14:paraId="3A7D332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0.0114</w:t>
                  </w:r>
                </w:p>
              </w:tc>
              <w:tc>
                <w:tcPr>
                  <w:tcW w:w="735" w:type="dxa"/>
                  <w:vMerge w:val="continue"/>
                  <w:tcBorders>
                    <w:tl2br w:val="nil"/>
                    <w:tr2bl w:val="nil"/>
                  </w:tcBorders>
                  <w:vAlign w:val="center"/>
                </w:tcPr>
                <w:p w14:paraId="10EB549E">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13285F7C">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shd w:val="clear" w:color="auto" w:fill="auto"/>
                  <w:vAlign w:val="center"/>
                </w:tcPr>
                <w:p w14:paraId="65E96D6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5.0320</w:t>
                  </w:r>
                </w:p>
              </w:tc>
              <w:tc>
                <w:tcPr>
                  <w:tcW w:w="876" w:type="dxa"/>
                  <w:tcBorders>
                    <w:tl2br w:val="nil"/>
                    <w:tr2bl w:val="nil"/>
                  </w:tcBorders>
                  <w:shd w:val="clear" w:color="auto" w:fill="auto"/>
                  <w:vAlign w:val="center"/>
                </w:tcPr>
                <w:p w14:paraId="00971F0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97</w:t>
                  </w:r>
                </w:p>
              </w:tc>
              <w:tc>
                <w:tcPr>
                  <w:tcW w:w="638" w:type="dxa"/>
                  <w:tcBorders>
                    <w:tl2br w:val="nil"/>
                    <w:tr2bl w:val="nil"/>
                  </w:tcBorders>
                  <w:shd w:val="clear" w:color="auto" w:fill="auto"/>
                  <w:vAlign w:val="center"/>
                </w:tcPr>
                <w:p w14:paraId="630340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0.0097</w:t>
                  </w:r>
                </w:p>
              </w:tc>
            </w:tr>
            <w:tr w14:paraId="71D55E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71A85E36">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31B17C9F">
                  <w:pPr>
                    <w:jc w:val="center"/>
                    <w:rPr>
                      <w:rFonts w:hint="eastAsia"/>
                    </w:rPr>
                  </w:pPr>
                  <w:r>
                    <w:rPr>
                      <w:rFonts w:hint="eastAsia"/>
                    </w:rPr>
                    <w:t>四氯乙烯</w:t>
                  </w:r>
                </w:p>
              </w:tc>
              <w:tc>
                <w:tcPr>
                  <w:tcW w:w="852" w:type="dxa"/>
                  <w:tcBorders>
                    <w:tl2br w:val="nil"/>
                    <w:tr2bl w:val="nil"/>
                  </w:tcBorders>
                  <w:shd w:val="clear" w:color="auto" w:fill="auto"/>
                  <w:vAlign w:val="center"/>
                </w:tcPr>
                <w:p w14:paraId="51463DBE">
                  <w:pPr>
                    <w:numPr>
                      <w:ilvl w:val="0"/>
                      <w:numId w:val="0"/>
                    </w:numPr>
                    <w:spacing w:line="240" w:lineRule="auto"/>
                    <w:ind w:left="0" w:leftChars="0" w:firstLine="0" w:firstLineChars="0"/>
                    <w:jc w:val="center"/>
                    <w:rPr>
                      <w:rFonts w:hint="eastAsia" w:eastAsia="宋体" w:cs="Times New Roman"/>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6.4800</w:t>
                  </w:r>
                </w:p>
              </w:tc>
              <w:tc>
                <w:tcPr>
                  <w:tcW w:w="813" w:type="dxa"/>
                  <w:tcBorders>
                    <w:tl2br w:val="nil"/>
                    <w:tr2bl w:val="nil"/>
                  </w:tcBorders>
                  <w:vAlign w:val="center"/>
                </w:tcPr>
                <w:p w14:paraId="0BFC2F52">
                  <w:pPr>
                    <w:numPr>
                      <w:ilvl w:val="0"/>
                      <w:numId w:val="0"/>
                    </w:numPr>
                    <w:spacing w:line="240" w:lineRule="auto"/>
                    <w:ind w:left="0" w:leftChars="0" w:firstLine="0" w:firstLineChars="0"/>
                    <w:jc w:val="center"/>
                    <w:rPr>
                      <w:rFonts w:hint="default"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1.250</w:t>
                  </w:r>
                </w:p>
              </w:tc>
              <w:tc>
                <w:tcPr>
                  <w:tcW w:w="696" w:type="dxa"/>
                  <w:tcBorders>
                    <w:tl2br w:val="nil"/>
                    <w:tr2bl w:val="nil"/>
                  </w:tcBorders>
                  <w:shd w:val="clear" w:color="auto" w:fill="auto"/>
                  <w:vAlign w:val="center"/>
                </w:tcPr>
                <w:p w14:paraId="1E4C9772">
                  <w:pPr>
                    <w:numPr>
                      <w:ilvl w:val="0"/>
                      <w:numId w:val="0"/>
                    </w:numPr>
                    <w:spacing w:line="240" w:lineRule="auto"/>
                    <w:ind w:left="0" w:leftChars="0" w:firstLine="0" w:firstLineChars="0"/>
                    <w:jc w:val="center"/>
                    <w:rPr>
                      <w:rFonts w:hint="eastAsia" w:eastAsia="宋体" w:cs="Times New Roman"/>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0.0125</w:t>
                  </w:r>
                </w:p>
              </w:tc>
              <w:tc>
                <w:tcPr>
                  <w:tcW w:w="735" w:type="dxa"/>
                  <w:vMerge w:val="continue"/>
                  <w:tcBorders>
                    <w:tl2br w:val="nil"/>
                    <w:tr2bl w:val="nil"/>
                  </w:tcBorders>
                  <w:vAlign w:val="center"/>
                </w:tcPr>
                <w:p w14:paraId="2C13341A">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239FB73B">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shd w:val="clear" w:color="auto" w:fill="auto"/>
                  <w:vAlign w:val="center"/>
                </w:tcPr>
                <w:p w14:paraId="4FD0B1A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5.5080</w:t>
                  </w:r>
                </w:p>
              </w:tc>
              <w:tc>
                <w:tcPr>
                  <w:tcW w:w="876" w:type="dxa"/>
                  <w:tcBorders>
                    <w:tl2br w:val="nil"/>
                    <w:tr2bl w:val="nil"/>
                  </w:tcBorders>
                  <w:shd w:val="clear" w:color="auto" w:fill="auto"/>
                  <w:vAlign w:val="center"/>
                </w:tcPr>
                <w:p w14:paraId="607FA2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1.06</w:t>
                  </w:r>
                </w:p>
              </w:tc>
              <w:tc>
                <w:tcPr>
                  <w:tcW w:w="638" w:type="dxa"/>
                  <w:tcBorders>
                    <w:tl2br w:val="nil"/>
                    <w:tr2bl w:val="nil"/>
                  </w:tcBorders>
                  <w:shd w:val="clear" w:color="auto" w:fill="auto"/>
                  <w:vAlign w:val="center"/>
                </w:tcPr>
                <w:p w14:paraId="04F525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0.0106</w:t>
                  </w:r>
                </w:p>
              </w:tc>
            </w:tr>
            <w:tr w14:paraId="652265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2470EFA4">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6F3EA3B0">
                  <w:pPr>
                    <w:jc w:val="center"/>
                    <w:rPr>
                      <w:rFonts w:hint="eastAsia"/>
                      <w:color w:val="auto"/>
                      <w:spacing w:val="6"/>
                      <w:szCs w:val="21"/>
                      <w:highlight w:val="none"/>
                      <w:lang w:val="en-US" w:eastAsia="zh-CN"/>
                    </w:rPr>
                  </w:pPr>
                  <w:r>
                    <w:rPr>
                      <w:rFonts w:hint="eastAsia"/>
                    </w:rPr>
                    <w:t>冰醋酸</w:t>
                  </w:r>
                </w:p>
              </w:tc>
              <w:tc>
                <w:tcPr>
                  <w:tcW w:w="852" w:type="dxa"/>
                  <w:tcBorders>
                    <w:tl2br w:val="nil"/>
                    <w:tr2bl w:val="nil"/>
                  </w:tcBorders>
                  <w:shd w:val="clear" w:color="auto" w:fill="auto"/>
                  <w:vAlign w:val="center"/>
                </w:tcPr>
                <w:p w14:paraId="2199F06A">
                  <w:pPr>
                    <w:numPr>
                      <w:ilvl w:val="0"/>
                      <w:numId w:val="0"/>
                    </w:numPr>
                    <w:spacing w:line="240" w:lineRule="auto"/>
                    <w:ind w:left="0" w:leftChars="0" w:firstLine="0" w:firstLineChars="0"/>
                    <w:jc w:val="center"/>
                    <w:rPr>
                      <w:rFonts w:hint="eastAsia" w:eastAsia="宋体" w:cs="Times New Roman"/>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0.2100</w:t>
                  </w:r>
                </w:p>
              </w:tc>
              <w:tc>
                <w:tcPr>
                  <w:tcW w:w="813" w:type="dxa"/>
                  <w:tcBorders>
                    <w:tl2br w:val="nil"/>
                    <w:tr2bl w:val="nil"/>
                  </w:tcBorders>
                  <w:vAlign w:val="center"/>
                </w:tcPr>
                <w:p w14:paraId="7BC3BC2E">
                  <w:pPr>
                    <w:numPr>
                      <w:ilvl w:val="0"/>
                      <w:numId w:val="0"/>
                    </w:numPr>
                    <w:spacing w:line="240" w:lineRule="auto"/>
                    <w:ind w:left="0" w:leftChars="0" w:firstLine="0" w:firstLineChars="0"/>
                    <w:jc w:val="center"/>
                    <w:rPr>
                      <w:rFonts w:hint="eastAsia" w:cs="Times New Roman"/>
                      <w:b w:val="0"/>
                      <w:bCs w:val="0"/>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0.04</w:t>
                  </w:r>
                </w:p>
              </w:tc>
              <w:tc>
                <w:tcPr>
                  <w:tcW w:w="696" w:type="dxa"/>
                  <w:tcBorders>
                    <w:tl2br w:val="nil"/>
                    <w:tr2bl w:val="nil"/>
                  </w:tcBorders>
                  <w:shd w:val="clear" w:color="auto" w:fill="auto"/>
                  <w:vAlign w:val="center"/>
                </w:tcPr>
                <w:p w14:paraId="0EAA359C">
                  <w:pPr>
                    <w:numPr>
                      <w:ilvl w:val="0"/>
                      <w:numId w:val="0"/>
                    </w:numPr>
                    <w:spacing w:line="240" w:lineRule="auto"/>
                    <w:ind w:left="0" w:leftChars="0" w:firstLine="0" w:firstLineChars="0"/>
                    <w:jc w:val="center"/>
                    <w:rPr>
                      <w:rFonts w:hint="eastAsia" w:eastAsia="宋体" w:cs="Times New Roman"/>
                      <w:color w:val="auto"/>
                      <w:kern w:val="0"/>
                      <w:sz w:val="21"/>
                      <w:szCs w:val="21"/>
                      <w:highlight w:val="none"/>
                      <w:vertAlign w:val="baseline"/>
                      <w:lang w:val="en-US" w:eastAsia="zh-CN"/>
                    </w:rPr>
                  </w:pPr>
                  <w:r>
                    <w:rPr>
                      <w:rFonts w:hint="eastAsia" w:ascii="Times New Roman" w:hAnsi="Times New Roman" w:cs="Times New Roman"/>
                      <w:b w:val="0"/>
                      <w:bCs w:val="0"/>
                      <w:color w:val="auto"/>
                      <w:kern w:val="2"/>
                      <w:sz w:val="21"/>
                      <w:szCs w:val="21"/>
                      <w:highlight w:val="none"/>
                      <w:vertAlign w:val="baseline"/>
                      <w:lang w:val="en-US" w:eastAsia="zh-CN" w:bidi="ar-SA"/>
                    </w:rPr>
                    <w:t>0.0004</w:t>
                  </w:r>
                </w:p>
              </w:tc>
              <w:tc>
                <w:tcPr>
                  <w:tcW w:w="735" w:type="dxa"/>
                  <w:vMerge w:val="continue"/>
                  <w:tcBorders>
                    <w:tl2br w:val="nil"/>
                    <w:tr2bl w:val="nil"/>
                  </w:tcBorders>
                  <w:vAlign w:val="center"/>
                </w:tcPr>
                <w:p w14:paraId="3C7451C9">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7673A301">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shd w:val="clear" w:color="auto" w:fill="auto"/>
                  <w:vAlign w:val="center"/>
                </w:tcPr>
                <w:p w14:paraId="55184E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0.1785</w:t>
                  </w:r>
                </w:p>
              </w:tc>
              <w:tc>
                <w:tcPr>
                  <w:tcW w:w="876" w:type="dxa"/>
                  <w:tcBorders>
                    <w:tl2br w:val="nil"/>
                    <w:tr2bl w:val="nil"/>
                  </w:tcBorders>
                  <w:shd w:val="clear" w:color="auto" w:fill="auto"/>
                  <w:vAlign w:val="center"/>
                </w:tcPr>
                <w:p w14:paraId="6DC4031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0.03</w:t>
                  </w:r>
                </w:p>
              </w:tc>
              <w:tc>
                <w:tcPr>
                  <w:tcW w:w="638" w:type="dxa"/>
                  <w:tcBorders>
                    <w:tl2br w:val="nil"/>
                    <w:tr2bl w:val="nil"/>
                  </w:tcBorders>
                  <w:shd w:val="clear" w:color="auto" w:fill="auto"/>
                  <w:vAlign w:val="center"/>
                </w:tcPr>
                <w:p w14:paraId="0C12E4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r>
            <w:tr w14:paraId="560B6C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420A9448">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0C0551E6">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非甲烷总烃</w:t>
                  </w:r>
                </w:p>
              </w:tc>
              <w:tc>
                <w:tcPr>
                  <w:tcW w:w="852" w:type="dxa"/>
                  <w:tcBorders>
                    <w:tl2br w:val="nil"/>
                    <w:tr2bl w:val="nil"/>
                  </w:tcBorders>
                  <w:shd w:val="clear" w:color="auto" w:fill="auto"/>
                  <w:vAlign w:val="center"/>
                </w:tcPr>
                <w:p w14:paraId="7E92DE11">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13.0683</w:t>
                  </w:r>
                </w:p>
              </w:tc>
              <w:tc>
                <w:tcPr>
                  <w:tcW w:w="813" w:type="dxa"/>
                  <w:tcBorders>
                    <w:tl2br w:val="nil"/>
                    <w:tr2bl w:val="nil"/>
                  </w:tcBorders>
                  <w:shd w:val="clear" w:color="auto" w:fill="auto"/>
                  <w:vAlign w:val="center"/>
                </w:tcPr>
                <w:p w14:paraId="0214CAD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2.510</w:t>
                  </w:r>
                </w:p>
              </w:tc>
              <w:tc>
                <w:tcPr>
                  <w:tcW w:w="696" w:type="dxa"/>
                  <w:tcBorders>
                    <w:tl2br w:val="nil"/>
                    <w:tr2bl w:val="nil"/>
                  </w:tcBorders>
                  <w:shd w:val="clear" w:color="auto" w:fill="auto"/>
                  <w:vAlign w:val="center"/>
                </w:tcPr>
                <w:p w14:paraId="521B237D">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0.0251</w:t>
                  </w:r>
                </w:p>
              </w:tc>
              <w:tc>
                <w:tcPr>
                  <w:tcW w:w="735" w:type="dxa"/>
                  <w:vMerge w:val="continue"/>
                  <w:tcBorders>
                    <w:tl2br w:val="nil"/>
                    <w:tr2bl w:val="nil"/>
                  </w:tcBorders>
                  <w:shd w:val="clear" w:color="auto" w:fill="auto"/>
                  <w:vAlign w:val="center"/>
                </w:tcPr>
                <w:p w14:paraId="795F239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756" w:type="dxa"/>
                  <w:vMerge w:val="continue"/>
                  <w:tcBorders>
                    <w:tl2br w:val="nil"/>
                    <w:tr2bl w:val="nil"/>
                  </w:tcBorders>
                  <w:shd w:val="clear" w:color="auto" w:fill="auto"/>
                  <w:vAlign w:val="center"/>
                </w:tcPr>
                <w:p w14:paraId="796065D5">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p>
              </w:tc>
              <w:tc>
                <w:tcPr>
                  <w:tcW w:w="792" w:type="dxa"/>
                  <w:tcBorders>
                    <w:tl2br w:val="nil"/>
                    <w:tr2bl w:val="nil"/>
                  </w:tcBorders>
                  <w:shd w:val="clear" w:color="auto" w:fill="auto"/>
                  <w:vAlign w:val="center"/>
                </w:tcPr>
                <w:p w14:paraId="36D06B89">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11.1081</w:t>
                  </w:r>
                </w:p>
              </w:tc>
              <w:tc>
                <w:tcPr>
                  <w:tcW w:w="876" w:type="dxa"/>
                  <w:tcBorders>
                    <w:tl2br w:val="nil"/>
                    <w:tr2bl w:val="nil"/>
                  </w:tcBorders>
                  <w:shd w:val="clear" w:color="auto" w:fill="auto"/>
                  <w:vAlign w:val="center"/>
                </w:tcPr>
                <w:p w14:paraId="2E84EF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2.14</w:t>
                  </w:r>
                </w:p>
              </w:tc>
              <w:tc>
                <w:tcPr>
                  <w:tcW w:w="638" w:type="dxa"/>
                  <w:tcBorders>
                    <w:tl2br w:val="nil"/>
                    <w:tr2bl w:val="nil"/>
                  </w:tcBorders>
                  <w:shd w:val="clear" w:color="auto" w:fill="auto"/>
                  <w:vAlign w:val="center"/>
                </w:tcPr>
                <w:p w14:paraId="36A6335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0.0214</w:t>
                  </w:r>
                </w:p>
              </w:tc>
            </w:tr>
            <w:tr w14:paraId="334148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0BBD1524">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0F54B5D7">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氯化氢</w:t>
                  </w:r>
                </w:p>
              </w:tc>
              <w:tc>
                <w:tcPr>
                  <w:tcW w:w="852" w:type="dxa"/>
                  <w:tcBorders>
                    <w:tl2br w:val="nil"/>
                    <w:tr2bl w:val="nil"/>
                  </w:tcBorders>
                  <w:shd w:val="clear" w:color="auto" w:fill="auto"/>
                  <w:vAlign w:val="center"/>
                </w:tcPr>
                <w:p w14:paraId="2EA8E355">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1.135</w:t>
                  </w:r>
                </w:p>
              </w:tc>
              <w:tc>
                <w:tcPr>
                  <w:tcW w:w="813" w:type="dxa"/>
                  <w:tcBorders>
                    <w:tl2br w:val="nil"/>
                    <w:tr2bl w:val="nil"/>
                  </w:tcBorders>
                  <w:vAlign w:val="center"/>
                </w:tcPr>
                <w:p w14:paraId="269F17E6">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0.227</w:t>
                  </w:r>
                </w:p>
              </w:tc>
              <w:tc>
                <w:tcPr>
                  <w:tcW w:w="696" w:type="dxa"/>
                  <w:tcBorders>
                    <w:tl2br w:val="nil"/>
                    <w:tr2bl w:val="nil"/>
                  </w:tcBorders>
                  <w:shd w:val="clear" w:color="auto" w:fill="auto"/>
                  <w:vAlign w:val="center"/>
                </w:tcPr>
                <w:p w14:paraId="4E9C145D">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0.00227</w:t>
                  </w:r>
                </w:p>
              </w:tc>
              <w:tc>
                <w:tcPr>
                  <w:tcW w:w="735" w:type="dxa"/>
                  <w:vMerge w:val="continue"/>
                  <w:tcBorders>
                    <w:tl2br w:val="nil"/>
                    <w:tr2bl w:val="nil"/>
                  </w:tcBorders>
                  <w:vAlign w:val="center"/>
                </w:tcPr>
                <w:p w14:paraId="45CB560D">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restart"/>
                  <w:tcBorders>
                    <w:tl2br w:val="nil"/>
                    <w:tr2bl w:val="nil"/>
                  </w:tcBorders>
                  <w:vAlign w:val="center"/>
                </w:tcPr>
                <w:p w14:paraId="55192F4F">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30</w:t>
                  </w:r>
                </w:p>
              </w:tc>
              <w:tc>
                <w:tcPr>
                  <w:tcW w:w="792" w:type="dxa"/>
                  <w:tcBorders>
                    <w:tl2br w:val="nil"/>
                    <w:tr2bl w:val="nil"/>
                  </w:tcBorders>
                  <w:shd w:val="clear" w:color="auto" w:fill="auto"/>
                  <w:vAlign w:val="center"/>
                </w:tcPr>
                <w:p w14:paraId="7EEE49A2">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0.7945</w:t>
                  </w:r>
                </w:p>
              </w:tc>
              <w:tc>
                <w:tcPr>
                  <w:tcW w:w="876" w:type="dxa"/>
                  <w:tcBorders>
                    <w:tl2br w:val="nil"/>
                    <w:tr2bl w:val="nil"/>
                  </w:tcBorders>
                  <w:shd w:val="clear" w:color="auto" w:fill="auto"/>
                  <w:vAlign w:val="center"/>
                </w:tcPr>
                <w:p w14:paraId="0A965407">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0.19</w:t>
                  </w:r>
                </w:p>
              </w:tc>
              <w:tc>
                <w:tcPr>
                  <w:tcW w:w="638" w:type="dxa"/>
                  <w:tcBorders>
                    <w:tl2br w:val="nil"/>
                    <w:tr2bl w:val="nil"/>
                  </w:tcBorders>
                  <w:shd w:val="clear" w:color="auto" w:fill="auto"/>
                  <w:vAlign w:val="center"/>
                </w:tcPr>
                <w:p w14:paraId="11540072">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19</w:t>
                  </w:r>
                </w:p>
              </w:tc>
            </w:tr>
            <w:tr w14:paraId="057E4E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61BDEECA">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187D5C78">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氮氧化物</w:t>
                  </w:r>
                </w:p>
              </w:tc>
              <w:tc>
                <w:tcPr>
                  <w:tcW w:w="852" w:type="dxa"/>
                  <w:tcBorders>
                    <w:tl2br w:val="nil"/>
                    <w:tr2bl w:val="nil"/>
                  </w:tcBorders>
                  <w:shd w:val="clear" w:color="auto" w:fill="auto"/>
                  <w:vAlign w:val="center"/>
                </w:tcPr>
                <w:p w14:paraId="10FCE7DB">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0.35</w:t>
                  </w:r>
                </w:p>
              </w:tc>
              <w:tc>
                <w:tcPr>
                  <w:tcW w:w="813" w:type="dxa"/>
                  <w:tcBorders>
                    <w:tl2br w:val="nil"/>
                    <w:tr2bl w:val="nil"/>
                  </w:tcBorders>
                  <w:vAlign w:val="center"/>
                </w:tcPr>
                <w:p w14:paraId="72680F1B">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0.07</w:t>
                  </w:r>
                </w:p>
              </w:tc>
              <w:tc>
                <w:tcPr>
                  <w:tcW w:w="696" w:type="dxa"/>
                  <w:tcBorders>
                    <w:tl2br w:val="nil"/>
                    <w:tr2bl w:val="nil"/>
                  </w:tcBorders>
                  <w:shd w:val="clear" w:color="auto" w:fill="auto"/>
                  <w:vAlign w:val="center"/>
                </w:tcPr>
                <w:p w14:paraId="41626F2B">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0.0007</w:t>
                  </w:r>
                </w:p>
              </w:tc>
              <w:tc>
                <w:tcPr>
                  <w:tcW w:w="735" w:type="dxa"/>
                  <w:vMerge w:val="continue"/>
                  <w:tcBorders>
                    <w:tl2br w:val="nil"/>
                    <w:tr2bl w:val="nil"/>
                  </w:tcBorders>
                  <w:vAlign w:val="center"/>
                </w:tcPr>
                <w:p w14:paraId="5E8716F6">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2D992740">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shd w:val="clear" w:color="auto" w:fill="auto"/>
                  <w:vAlign w:val="center"/>
                </w:tcPr>
                <w:p w14:paraId="23B6B0C5">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0.2450</w:t>
                  </w:r>
                </w:p>
              </w:tc>
              <w:tc>
                <w:tcPr>
                  <w:tcW w:w="876" w:type="dxa"/>
                  <w:tcBorders>
                    <w:tl2br w:val="nil"/>
                    <w:tr2bl w:val="nil"/>
                  </w:tcBorders>
                  <w:shd w:val="clear" w:color="auto" w:fill="auto"/>
                  <w:vAlign w:val="center"/>
                </w:tcPr>
                <w:p w14:paraId="62A7F64E">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0.05</w:t>
                  </w:r>
                </w:p>
              </w:tc>
              <w:tc>
                <w:tcPr>
                  <w:tcW w:w="638" w:type="dxa"/>
                  <w:tcBorders>
                    <w:tl2br w:val="nil"/>
                    <w:tr2bl w:val="nil"/>
                  </w:tcBorders>
                  <w:shd w:val="clear" w:color="auto" w:fill="auto"/>
                  <w:vAlign w:val="center"/>
                </w:tcPr>
                <w:p w14:paraId="18E56C7E">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ascii="Times New Roman" w:hAnsi="Times New Roman" w:eastAsia="宋体" w:cs="Times New Roman"/>
                      <w:i w:val="0"/>
                      <w:iCs w:val="0"/>
                      <w:color w:val="auto"/>
                      <w:kern w:val="0"/>
                      <w:sz w:val="21"/>
                      <w:szCs w:val="21"/>
                      <w:u w:val="none"/>
                      <w:lang w:val="en-US" w:eastAsia="zh-CN" w:bidi="ar"/>
                    </w:rPr>
                    <w:t>5</w:t>
                  </w:r>
                </w:p>
              </w:tc>
            </w:tr>
            <w:tr w14:paraId="54AADB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0F2C23DE">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4BD5F07F">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硫酸雾</w:t>
                  </w:r>
                </w:p>
              </w:tc>
              <w:tc>
                <w:tcPr>
                  <w:tcW w:w="852" w:type="dxa"/>
                  <w:tcBorders>
                    <w:tl2br w:val="nil"/>
                    <w:tr2bl w:val="nil"/>
                  </w:tcBorders>
                  <w:shd w:val="clear" w:color="auto" w:fill="auto"/>
                  <w:vAlign w:val="center"/>
                </w:tcPr>
                <w:p w14:paraId="46B0FC55">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0.025</w:t>
                  </w:r>
                </w:p>
              </w:tc>
              <w:tc>
                <w:tcPr>
                  <w:tcW w:w="813" w:type="dxa"/>
                  <w:tcBorders>
                    <w:tl2br w:val="nil"/>
                    <w:tr2bl w:val="nil"/>
                  </w:tcBorders>
                  <w:vAlign w:val="center"/>
                </w:tcPr>
                <w:p w14:paraId="3CB91A41">
                  <w:pPr>
                    <w:numPr>
                      <w:ilvl w:val="0"/>
                      <w:numId w:val="0"/>
                    </w:numPr>
                    <w:adjustRightInd w:val="0"/>
                    <w:snapToGrid w:val="0"/>
                    <w:spacing w:line="24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0.005</w:t>
                  </w:r>
                </w:p>
              </w:tc>
              <w:tc>
                <w:tcPr>
                  <w:tcW w:w="696" w:type="dxa"/>
                  <w:tcBorders>
                    <w:tl2br w:val="nil"/>
                    <w:tr2bl w:val="nil"/>
                  </w:tcBorders>
                  <w:shd w:val="clear" w:color="auto" w:fill="auto"/>
                  <w:vAlign w:val="center"/>
                </w:tcPr>
                <w:p w14:paraId="6D5D95F9">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0.00005</w:t>
                  </w:r>
                </w:p>
              </w:tc>
              <w:tc>
                <w:tcPr>
                  <w:tcW w:w="735" w:type="dxa"/>
                  <w:vMerge w:val="continue"/>
                  <w:tcBorders>
                    <w:tl2br w:val="nil"/>
                    <w:tr2bl w:val="nil"/>
                  </w:tcBorders>
                  <w:vAlign w:val="center"/>
                </w:tcPr>
                <w:p w14:paraId="32A7F131">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527B517C">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shd w:val="clear" w:color="auto" w:fill="auto"/>
                  <w:vAlign w:val="center"/>
                </w:tcPr>
                <w:p w14:paraId="0B646D3D">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0.0175</w:t>
                  </w:r>
                </w:p>
              </w:tc>
              <w:tc>
                <w:tcPr>
                  <w:tcW w:w="876" w:type="dxa"/>
                  <w:tcBorders>
                    <w:tl2br w:val="nil"/>
                    <w:tr2bl w:val="nil"/>
                  </w:tcBorders>
                  <w:shd w:val="clear" w:color="auto" w:fill="auto"/>
                  <w:vAlign w:val="center"/>
                </w:tcPr>
                <w:p w14:paraId="6CDA0BA2">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0.004</w:t>
                  </w:r>
                </w:p>
              </w:tc>
              <w:tc>
                <w:tcPr>
                  <w:tcW w:w="638" w:type="dxa"/>
                  <w:tcBorders>
                    <w:tl2br w:val="nil"/>
                    <w:tr2bl w:val="nil"/>
                  </w:tcBorders>
                  <w:shd w:val="clear" w:color="auto" w:fill="auto"/>
                  <w:vAlign w:val="center"/>
                </w:tcPr>
                <w:p w14:paraId="1BD176FA">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w:t>
                  </w:r>
                  <w:r>
                    <w:rPr>
                      <w:rFonts w:hint="eastAsia" w:ascii="Times New Roman" w:hAnsi="Times New Roman" w:eastAsia="宋体" w:cs="Times New Roman"/>
                      <w:i w:val="0"/>
                      <w:iCs w:val="0"/>
                      <w:color w:val="auto"/>
                      <w:kern w:val="0"/>
                      <w:sz w:val="21"/>
                      <w:szCs w:val="21"/>
                      <w:u w:val="none"/>
                      <w:lang w:val="en-US" w:eastAsia="zh-CN" w:bidi="ar"/>
                    </w:rPr>
                    <w:t>4</w:t>
                  </w:r>
                </w:p>
              </w:tc>
            </w:tr>
            <w:tr w14:paraId="385045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5" w:type="dxa"/>
                  <w:vMerge w:val="continue"/>
                  <w:tcBorders>
                    <w:tl2br w:val="nil"/>
                    <w:tr2bl w:val="nil"/>
                  </w:tcBorders>
                  <w:vAlign w:val="center"/>
                </w:tcPr>
                <w:p w14:paraId="2D9A31FF">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08" w:type="dxa"/>
                  <w:tcBorders>
                    <w:tl2br w:val="nil"/>
                    <w:tr2bl w:val="nil"/>
                  </w:tcBorders>
                  <w:shd w:val="clear" w:color="auto" w:fill="auto"/>
                  <w:vAlign w:val="center"/>
                </w:tcPr>
                <w:p w14:paraId="433222E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氨</w:t>
                  </w:r>
                </w:p>
              </w:tc>
              <w:tc>
                <w:tcPr>
                  <w:tcW w:w="852" w:type="dxa"/>
                  <w:tcBorders>
                    <w:tl2br w:val="nil"/>
                    <w:tr2bl w:val="nil"/>
                  </w:tcBorders>
                  <w:shd w:val="clear" w:color="auto" w:fill="auto"/>
                  <w:vAlign w:val="center"/>
                </w:tcPr>
                <w:p w14:paraId="569D041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0.2542</w:t>
                  </w:r>
                </w:p>
              </w:tc>
              <w:tc>
                <w:tcPr>
                  <w:tcW w:w="813" w:type="dxa"/>
                  <w:tcBorders>
                    <w:tl2br w:val="nil"/>
                    <w:tr2bl w:val="nil"/>
                  </w:tcBorders>
                  <w:vAlign w:val="center"/>
                </w:tcPr>
                <w:p w14:paraId="1A677AFF">
                  <w:pPr>
                    <w:numPr>
                      <w:ilvl w:val="0"/>
                      <w:numId w:val="0"/>
                    </w:numPr>
                    <w:adjustRightInd w:val="0"/>
                    <w:snapToGrid w:val="0"/>
                    <w:spacing w:line="24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0.098</w:t>
                  </w:r>
                </w:p>
              </w:tc>
              <w:tc>
                <w:tcPr>
                  <w:tcW w:w="696" w:type="dxa"/>
                  <w:tcBorders>
                    <w:tl2br w:val="nil"/>
                    <w:tr2bl w:val="nil"/>
                  </w:tcBorders>
                  <w:shd w:val="clear" w:color="auto" w:fill="auto"/>
                  <w:vAlign w:val="center"/>
                </w:tcPr>
                <w:p w14:paraId="67DC91BC">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0.00098</w:t>
                  </w:r>
                </w:p>
              </w:tc>
              <w:tc>
                <w:tcPr>
                  <w:tcW w:w="735" w:type="dxa"/>
                  <w:vMerge w:val="continue"/>
                  <w:tcBorders>
                    <w:tl2br w:val="nil"/>
                    <w:tr2bl w:val="nil"/>
                  </w:tcBorders>
                  <w:vAlign w:val="center"/>
                </w:tcPr>
                <w:p w14:paraId="5E286B6D">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56" w:type="dxa"/>
                  <w:vMerge w:val="continue"/>
                  <w:tcBorders>
                    <w:tl2br w:val="nil"/>
                    <w:tr2bl w:val="nil"/>
                  </w:tcBorders>
                  <w:vAlign w:val="center"/>
                </w:tcPr>
                <w:p w14:paraId="60D0BFD0">
                  <w:pPr>
                    <w:numPr>
                      <w:ilvl w:val="0"/>
                      <w:numId w:val="0"/>
                    </w:numPr>
                    <w:adjustRightInd w:val="0"/>
                    <w:snapToGrid w:val="0"/>
                    <w:spacing w:line="240" w:lineRule="auto"/>
                    <w:ind w:left="0" w:leftChars="0" w:firstLine="0" w:firstLineChars="0"/>
                    <w:jc w:val="center"/>
                    <w:rPr>
                      <w:rFonts w:hint="default" w:eastAsia="宋体" w:cs="Times New Roman"/>
                      <w:color w:val="auto"/>
                      <w:kern w:val="0"/>
                      <w:sz w:val="21"/>
                      <w:szCs w:val="21"/>
                      <w:highlight w:val="none"/>
                      <w:vertAlign w:val="baseline"/>
                      <w:lang w:val="en-US" w:eastAsia="zh-CN"/>
                    </w:rPr>
                  </w:pPr>
                </w:p>
              </w:tc>
              <w:tc>
                <w:tcPr>
                  <w:tcW w:w="792" w:type="dxa"/>
                  <w:tcBorders>
                    <w:tl2br w:val="nil"/>
                    <w:tr2bl w:val="nil"/>
                  </w:tcBorders>
                  <w:shd w:val="clear" w:color="auto" w:fill="auto"/>
                  <w:vAlign w:val="center"/>
                </w:tcPr>
                <w:p w14:paraId="1795C101">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eastAsia" w:ascii="宋体" w:hAnsi="宋体" w:eastAsia="宋体" w:cs="宋体"/>
                      <w:i w:val="0"/>
                      <w:iCs w:val="0"/>
                      <w:color w:val="000000"/>
                      <w:kern w:val="0"/>
                      <w:sz w:val="21"/>
                      <w:szCs w:val="21"/>
                      <w:u w:val="none"/>
                      <w:lang w:val="en-US" w:eastAsia="zh-CN" w:bidi="ar"/>
                    </w:rPr>
                    <w:t>0.</w:t>
                  </w:r>
                  <w:r>
                    <w:rPr>
                      <w:rFonts w:hint="eastAsia" w:ascii="宋体" w:hAnsi="宋体" w:cs="宋体"/>
                      <w:i w:val="0"/>
                      <w:iCs w:val="0"/>
                      <w:color w:val="000000"/>
                      <w:kern w:val="0"/>
                      <w:sz w:val="21"/>
                      <w:szCs w:val="21"/>
                      <w:u w:val="none"/>
                      <w:lang w:val="en-US" w:eastAsia="zh-CN" w:bidi="ar"/>
                    </w:rPr>
                    <w:t>1779</w:t>
                  </w:r>
                </w:p>
              </w:tc>
              <w:tc>
                <w:tcPr>
                  <w:tcW w:w="876" w:type="dxa"/>
                  <w:tcBorders>
                    <w:tl2br w:val="nil"/>
                    <w:tr2bl w:val="nil"/>
                  </w:tcBorders>
                  <w:shd w:val="clear" w:color="auto" w:fill="auto"/>
                  <w:vAlign w:val="center"/>
                </w:tcPr>
                <w:p w14:paraId="42C6F841">
                  <w:pPr>
                    <w:jc w:val="center"/>
                    <w:rPr>
                      <w:rFonts w:hint="default" w:eastAsia="宋体" w:cs="Times New Roman"/>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w:t>
                  </w:r>
                  <w:r>
                    <w:rPr>
                      <w:rFonts w:hint="eastAsia" w:cs="Times New Roman"/>
                      <w:color w:val="auto"/>
                      <w:kern w:val="0"/>
                      <w:sz w:val="21"/>
                      <w:szCs w:val="21"/>
                      <w:highlight w:val="none"/>
                      <w:vertAlign w:val="baseline"/>
                      <w:lang w:val="en-US" w:eastAsia="zh-CN"/>
                    </w:rPr>
                    <w:t>68</w:t>
                  </w:r>
                </w:p>
              </w:tc>
              <w:tc>
                <w:tcPr>
                  <w:tcW w:w="638" w:type="dxa"/>
                  <w:tcBorders>
                    <w:tl2br w:val="nil"/>
                    <w:tr2bl w:val="nil"/>
                  </w:tcBorders>
                  <w:shd w:val="clear" w:color="auto" w:fill="auto"/>
                  <w:vAlign w:val="center"/>
                </w:tcPr>
                <w:p w14:paraId="7CA30DDB">
                  <w:pPr>
                    <w:keepNext w:val="0"/>
                    <w:keepLines w:val="0"/>
                    <w:widowControl/>
                    <w:suppressLineNumbers w:val="0"/>
                    <w:jc w:val="center"/>
                    <w:textAlignment w:val="center"/>
                    <w:rPr>
                      <w:rFonts w:hint="default"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eastAsia" w:cs="Times New Roman"/>
                      <w:i w:val="0"/>
                      <w:iCs w:val="0"/>
                      <w:color w:val="000000"/>
                      <w:kern w:val="0"/>
                      <w:sz w:val="21"/>
                      <w:szCs w:val="21"/>
                      <w:u w:val="none"/>
                      <w:lang w:val="en-US" w:eastAsia="zh-CN" w:bidi="ar"/>
                    </w:rPr>
                    <w:t>68</w:t>
                  </w:r>
                </w:p>
              </w:tc>
            </w:tr>
          </w:tbl>
          <w:p w14:paraId="402FEDA3">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val="en-US" w:eastAsia="zh-CN"/>
              </w:rPr>
              <w:t>排放口基本情况</w:t>
            </w:r>
            <w:r>
              <w:rPr>
                <w:rFonts w:hint="eastAsia" w:eastAsia="宋体" w:cs="Times New Roman"/>
                <w:color w:val="auto"/>
                <w:kern w:val="0"/>
                <w:sz w:val="24"/>
                <w:highlight w:val="none"/>
                <w:lang w:val="en-US" w:eastAsia="zh-CN"/>
              </w:rPr>
              <w:t>见下表。</w:t>
            </w:r>
          </w:p>
          <w:p w14:paraId="0C225757">
            <w:pPr>
              <w:keepNext w:val="0"/>
              <w:keepLines w:val="0"/>
              <w:widowControl/>
              <w:numPr>
                <w:ilvl w:val="0"/>
                <w:numId w:val="32"/>
              </w:numPr>
              <w:suppressLineNumbers w:val="0"/>
              <w:ind w:left="425" w:leftChars="0" w:hanging="425" w:firstLineChars="0"/>
              <w:jc w:val="center"/>
              <w:rPr>
                <w:rFonts w:hint="eastAsia" w:ascii="Times New Roman" w:hAnsi="Times New Roman" w:eastAsia="宋体" w:cs="Times New Roman"/>
                <w:b/>
                <w:bCs/>
                <w:color w:val="auto"/>
                <w:kern w:val="0"/>
                <w:sz w:val="24"/>
                <w:highlight w:val="none"/>
                <w:lang w:val="en-US" w:eastAsia="zh-CN"/>
              </w:rPr>
            </w:pPr>
            <w:r>
              <w:rPr>
                <w:rFonts w:hint="eastAsia" w:ascii="Times New Roman" w:hAnsi="Times New Roman" w:eastAsia="宋体" w:cs="Times New Roman"/>
                <w:b/>
                <w:bCs/>
                <w:color w:val="auto"/>
                <w:kern w:val="0"/>
                <w:sz w:val="24"/>
                <w:highlight w:val="none"/>
                <w:lang w:val="en-US" w:eastAsia="zh-CN"/>
              </w:rPr>
              <w:t>大气排放口基本情况表</w:t>
            </w:r>
          </w:p>
          <w:tbl>
            <w:tblPr>
              <w:tblStyle w:val="24"/>
              <w:tblW w:w="7534"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342"/>
              <w:gridCol w:w="1964"/>
              <w:gridCol w:w="1058"/>
              <w:gridCol w:w="1549"/>
              <w:gridCol w:w="705"/>
            </w:tblGrid>
            <w:tr w14:paraId="00C184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6" w:type="dxa"/>
                  <w:tcBorders>
                    <w:tl2br w:val="nil"/>
                    <w:tr2bl w:val="nil"/>
                  </w:tcBorders>
                  <w:vAlign w:val="center"/>
                </w:tcPr>
                <w:p w14:paraId="084607CE">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编号</w:t>
                  </w:r>
                </w:p>
              </w:tc>
              <w:tc>
                <w:tcPr>
                  <w:tcW w:w="1342" w:type="dxa"/>
                  <w:tcBorders>
                    <w:tl2br w:val="nil"/>
                    <w:tr2bl w:val="nil"/>
                  </w:tcBorders>
                  <w:vAlign w:val="center"/>
                </w:tcPr>
                <w:p w14:paraId="34057882">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类型</w:t>
                  </w:r>
                </w:p>
              </w:tc>
              <w:tc>
                <w:tcPr>
                  <w:tcW w:w="1964" w:type="dxa"/>
                  <w:tcBorders>
                    <w:tl2br w:val="nil"/>
                    <w:tr2bl w:val="nil"/>
                  </w:tcBorders>
                  <w:vAlign w:val="center"/>
                </w:tcPr>
                <w:p w14:paraId="4A772052">
                  <w:pPr>
                    <w:numPr>
                      <w:ilvl w:val="0"/>
                      <w:numId w:val="0"/>
                    </w:numPr>
                    <w:adjustRightInd w:val="0"/>
                    <w:snapToGrid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地理坐标（</w:t>
                  </w:r>
                  <w:r>
                    <w:rPr>
                      <w:rFonts w:hint="default" w:ascii="Times New Roman" w:hAnsi="Times New Roman" w:eastAsia="宋体" w:cs="Times New Roman"/>
                      <w:b/>
                      <w:bCs/>
                      <w:color w:val="auto"/>
                      <w:kern w:val="0"/>
                      <w:sz w:val="21"/>
                      <w:szCs w:val="21"/>
                      <w:lang w:val="en-US" w:eastAsia="zh-CN" w:bidi="ar"/>
                    </w:rPr>
                    <w:t>°</w:t>
                  </w:r>
                  <w:r>
                    <w:rPr>
                      <w:rFonts w:hint="eastAsia" w:ascii="宋体" w:hAnsi="宋体" w:eastAsia="宋体" w:cs="宋体"/>
                      <w:b/>
                      <w:bCs/>
                      <w:color w:val="auto"/>
                      <w:kern w:val="0"/>
                      <w:sz w:val="21"/>
                      <w:szCs w:val="21"/>
                      <w:lang w:val="en-US" w:eastAsia="zh-CN" w:bidi="ar"/>
                    </w:rPr>
                    <w:t>）</w:t>
                  </w:r>
                </w:p>
              </w:tc>
              <w:tc>
                <w:tcPr>
                  <w:tcW w:w="1058" w:type="dxa"/>
                  <w:tcBorders>
                    <w:tl2br w:val="nil"/>
                    <w:tr2bl w:val="nil"/>
                  </w:tcBorders>
                  <w:vAlign w:val="center"/>
                </w:tcPr>
                <w:p w14:paraId="1A636C0D">
                  <w:pPr>
                    <w:keepNext w:val="0"/>
                    <w:keepLines w:val="0"/>
                    <w:widowControl/>
                    <w:suppressLineNumbers w:val="0"/>
                    <w:spacing w:line="240" w:lineRule="auto"/>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高度</w:t>
                  </w:r>
                </w:p>
                <w:p w14:paraId="31D02388">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w:t>
                  </w:r>
                  <w:r>
                    <w:rPr>
                      <w:rFonts w:hint="default" w:ascii="Times New Roman" w:hAnsi="Times New Roman" w:eastAsia="宋体" w:cs="Times New Roman"/>
                      <w:b/>
                      <w:bCs/>
                      <w:color w:val="auto"/>
                      <w:kern w:val="0"/>
                      <w:sz w:val="21"/>
                      <w:szCs w:val="21"/>
                      <w:lang w:val="en-US" w:eastAsia="zh-CN" w:bidi="ar"/>
                    </w:rPr>
                    <w:t>m</w:t>
                  </w:r>
                  <w:r>
                    <w:rPr>
                      <w:rFonts w:hint="eastAsia" w:ascii="宋体" w:hAnsi="宋体" w:eastAsia="宋体" w:cs="宋体"/>
                      <w:b/>
                      <w:bCs/>
                      <w:color w:val="auto"/>
                      <w:kern w:val="0"/>
                      <w:sz w:val="21"/>
                      <w:szCs w:val="21"/>
                      <w:lang w:val="en-US" w:eastAsia="zh-CN" w:bidi="ar"/>
                    </w:rPr>
                    <w:t>）</w:t>
                  </w:r>
                </w:p>
              </w:tc>
              <w:tc>
                <w:tcPr>
                  <w:tcW w:w="1549" w:type="dxa"/>
                  <w:tcBorders>
                    <w:tl2br w:val="nil"/>
                    <w:tr2bl w:val="nil"/>
                  </w:tcBorders>
                  <w:vAlign w:val="center"/>
                </w:tcPr>
                <w:p w14:paraId="1AADE5B5">
                  <w:pPr>
                    <w:keepNext w:val="0"/>
                    <w:keepLines w:val="0"/>
                    <w:widowControl/>
                    <w:suppressLineNumbers w:val="0"/>
                    <w:spacing w:line="240" w:lineRule="auto"/>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宋体" w:hAnsi="宋体" w:eastAsia="宋体" w:cs="宋体"/>
                      <w:b/>
                      <w:bCs/>
                      <w:color w:val="auto"/>
                      <w:kern w:val="0"/>
                      <w:sz w:val="21"/>
                      <w:szCs w:val="21"/>
                      <w:lang w:val="en-US" w:eastAsia="zh-CN" w:bidi="ar"/>
                    </w:rPr>
                    <w:t>排气筒内径（</w:t>
                  </w:r>
                  <w:r>
                    <w:rPr>
                      <w:rFonts w:hint="default" w:ascii="Times New Roman" w:hAnsi="Times New Roman" w:eastAsia="宋体" w:cs="Times New Roman"/>
                      <w:b/>
                      <w:bCs/>
                      <w:color w:val="auto"/>
                      <w:kern w:val="0"/>
                      <w:sz w:val="21"/>
                      <w:szCs w:val="21"/>
                      <w:lang w:val="en-US" w:eastAsia="zh-CN" w:bidi="ar"/>
                    </w:rPr>
                    <w:t>m</w:t>
                  </w:r>
                  <w:r>
                    <w:rPr>
                      <w:rFonts w:hint="eastAsia" w:ascii="宋体" w:hAnsi="宋体" w:eastAsia="宋体" w:cs="宋体"/>
                      <w:b/>
                      <w:bCs/>
                      <w:color w:val="auto"/>
                      <w:kern w:val="0"/>
                      <w:sz w:val="21"/>
                      <w:szCs w:val="21"/>
                      <w:lang w:val="en-US" w:eastAsia="zh-CN" w:bidi="ar"/>
                    </w:rPr>
                    <w:t>）</w:t>
                  </w:r>
                </w:p>
              </w:tc>
              <w:tc>
                <w:tcPr>
                  <w:tcW w:w="705" w:type="dxa"/>
                  <w:tcBorders>
                    <w:tl2br w:val="nil"/>
                    <w:tr2bl w:val="nil"/>
                  </w:tcBorders>
                  <w:vAlign w:val="center"/>
                </w:tcPr>
                <w:p w14:paraId="1FF8A122">
                  <w:pPr>
                    <w:keepNext w:val="0"/>
                    <w:keepLines w:val="0"/>
                    <w:widowControl/>
                    <w:suppressLineNumbers w:val="0"/>
                    <w:spacing w:line="240" w:lineRule="auto"/>
                    <w:jc w:val="center"/>
                    <w:rPr>
                      <w:rFonts w:hint="eastAsia" w:ascii="宋体" w:hAnsi="宋体" w:eastAsia="宋体" w:cs="宋体"/>
                      <w:b/>
                      <w:bCs/>
                      <w:color w:val="auto"/>
                      <w:kern w:val="0"/>
                      <w:sz w:val="21"/>
                      <w:szCs w:val="21"/>
                      <w:lang w:val="en-US" w:eastAsia="zh-CN" w:bidi="ar"/>
                    </w:rPr>
                  </w:pPr>
                  <w:r>
                    <w:rPr>
                      <w:rFonts w:hint="eastAsia" w:ascii="宋体" w:hAnsi="宋体" w:eastAsia="宋体" w:cs="宋体"/>
                      <w:b/>
                      <w:bCs/>
                      <w:color w:val="auto"/>
                      <w:kern w:val="0"/>
                      <w:sz w:val="21"/>
                      <w:szCs w:val="21"/>
                      <w:lang w:val="en-US" w:eastAsia="zh-CN" w:bidi="ar"/>
                    </w:rPr>
                    <w:t>温度</w:t>
                  </w:r>
                </w:p>
                <w:p w14:paraId="2C6240DD">
                  <w:pPr>
                    <w:keepNext w:val="0"/>
                    <w:keepLines w:val="0"/>
                    <w:widowControl/>
                    <w:suppressLineNumbers w:val="0"/>
                    <w:spacing w:line="240" w:lineRule="auto"/>
                    <w:jc w:val="center"/>
                    <w:rPr>
                      <w:rFonts w:hint="default" w:ascii="宋体" w:hAnsi="宋体" w:eastAsia="宋体" w:cs="宋体"/>
                      <w:b/>
                      <w:bCs/>
                      <w:color w:val="auto"/>
                      <w:kern w:val="0"/>
                      <w:sz w:val="21"/>
                      <w:szCs w:val="21"/>
                      <w:lang w:val="en-US" w:eastAsia="zh-CN" w:bidi="ar"/>
                    </w:rPr>
                  </w:pPr>
                  <w:r>
                    <w:rPr>
                      <w:rFonts w:hint="eastAsia" w:ascii="宋体" w:hAnsi="宋体" w:cs="宋体"/>
                      <w:b/>
                      <w:bCs/>
                      <w:color w:val="auto"/>
                      <w:kern w:val="0"/>
                      <w:sz w:val="21"/>
                      <w:szCs w:val="21"/>
                      <w:lang w:val="en-US" w:eastAsia="zh-CN" w:bidi="ar"/>
                    </w:rPr>
                    <w:t>℃</w:t>
                  </w:r>
                </w:p>
              </w:tc>
            </w:tr>
            <w:tr w14:paraId="6C827F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916" w:type="dxa"/>
                  <w:tcBorders>
                    <w:tl2br w:val="nil"/>
                    <w:tr2bl w:val="nil"/>
                  </w:tcBorders>
                  <w:vAlign w:val="center"/>
                </w:tcPr>
                <w:p w14:paraId="6976F859">
                  <w:pPr>
                    <w:numPr>
                      <w:ilvl w:val="0"/>
                      <w:numId w:val="0"/>
                    </w:numPr>
                    <w:adjustRightInd w:val="0"/>
                    <w:snapToGrid w:val="0"/>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DA001</w:t>
                  </w:r>
                </w:p>
              </w:tc>
              <w:tc>
                <w:tcPr>
                  <w:tcW w:w="1342" w:type="dxa"/>
                  <w:tcBorders>
                    <w:tl2br w:val="nil"/>
                    <w:tr2bl w:val="nil"/>
                  </w:tcBorders>
                  <w:vAlign w:val="center"/>
                </w:tcPr>
                <w:p w14:paraId="04C3D927">
                  <w:pPr>
                    <w:numPr>
                      <w:ilvl w:val="0"/>
                      <w:numId w:val="0"/>
                    </w:numPr>
                    <w:adjustRightInd w:val="0"/>
                    <w:snapToGrid w:val="0"/>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一般排放口</w:t>
                  </w:r>
                </w:p>
              </w:tc>
              <w:tc>
                <w:tcPr>
                  <w:tcW w:w="1964" w:type="dxa"/>
                  <w:tcBorders>
                    <w:tl2br w:val="nil"/>
                    <w:tr2bl w:val="nil"/>
                  </w:tcBorders>
                  <w:vAlign w:val="center"/>
                </w:tcPr>
                <w:p w14:paraId="765FF916">
                  <w:pPr>
                    <w:numPr>
                      <w:ilvl w:val="0"/>
                      <w:numId w:val="0"/>
                    </w:numPr>
                    <w:adjustRightInd w:val="0"/>
                    <w:snapToGrid w:val="0"/>
                    <w:spacing w:line="36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东经：</w:t>
                  </w:r>
                  <w:bookmarkStart w:id="2" w:name="_GoBack"/>
                  <w:bookmarkEnd w:id="2"/>
                  <w:r>
                    <w:rPr>
                      <w:rFonts w:hint="eastAsia" w:cs="Times New Roman"/>
                      <w:b w:val="0"/>
                      <w:bCs w:val="0"/>
                      <w:color w:val="auto"/>
                      <w:kern w:val="0"/>
                      <w:sz w:val="21"/>
                      <w:szCs w:val="21"/>
                      <w:highlight w:val="none"/>
                      <w:vertAlign w:val="baseline"/>
                      <w:lang w:val="en-US" w:eastAsia="zh-CN"/>
                    </w:rPr>
                    <w:t>116.5524766</w:t>
                  </w:r>
                </w:p>
                <w:p w14:paraId="709C3031">
                  <w:pPr>
                    <w:numPr>
                      <w:ilvl w:val="0"/>
                      <w:numId w:val="0"/>
                    </w:numPr>
                    <w:adjustRightInd w:val="0"/>
                    <w:snapToGrid w:val="0"/>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北纬：39.7300217</w:t>
                  </w:r>
                </w:p>
              </w:tc>
              <w:tc>
                <w:tcPr>
                  <w:tcW w:w="1058" w:type="dxa"/>
                  <w:tcBorders>
                    <w:tl2br w:val="nil"/>
                    <w:tr2bl w:val="nil"/>
                  </w:tcBorders>
                  <w:vAlign w:val="center"/>
                </w:tcPr>
                <w:p w14:paraId="4E8BDBF1">
                  <w:pPr>
                    <w:numPr>
                      <w:ilvl w:val="0"/>
                      <w:numId w:val="0"/>
                    </w:numPr>
                    <w:adjustRightInd w:val="0"/>
                    <w:snapToGrid w:val="0"/>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28</w:t>
                  </w:r>
                </w:p>
              </w:tc>
              <w:tc>
                <w:tcPr>
                  <w:tcW w:w="1549" w:type="dxa"/>
                  <w:tcBorders>
                    <w:tl2br w:val="nil"/>
                    <w:tr2bl w:val="nil"/>
                  </w:tcBorders>
                  <w:vAlign w:val="center"/>
                </w:tcPr>
                <w:p w14:paraId="6C943862">
                  <w:pPr>
                    <w:numPr>
                      <w:ilvl w:val="0"/>
                      <w:numId w:val="0"/>
                    </w:numPr>
                    <w:adjustRightInd w:val="0"/>
                    <w:snapToGrid w:val="0"/>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0.5</w:t>
                  </w:r>
                </w:p>
              </w:tc>
              <w:tc>
                <w:tcPr>
                  <w:tcW w:w="705" w:type="dxa"/>
                  <w:tcBorders>
                    <w:tl2br w:val="nil"/>
                    <w:tr2bl w:val="nil"/>
                  </w:tcBorders>
                  <w:vAlign w:val="center"/>
                </w:tcPr>
                <w:p w14:paraId="72685F74">
                  <w:pPr>
                    <w:numPr>
                      <w:ilvl w:val="0"/>
                      <w:numId w:val="0"/>
                    </w:numPr>
                    <w:adjustRightInd w:val="0"/>
                    <w:snapToGrid w:val="0"/>
                    <w:spacing w:line="360" w:lineRule="auto"/>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常温</w:t>
                  </w:r>
                </w:p>
              </w:tc>
            </w:tr>
          </w:tbl>
          <w:p w14:paraId="0F198D56">
            <w:pP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w:t>
            </w: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）废气治理措施可行性分析</w:t>
            </w:r>
          </w:p>
          <w:p w14:paraId="4CC13FD8">
            <w:pPr>
              <w:adjustRightIn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本项目采用一套干式过滤器分别吸附处理废气中的酸、碱、挥发性有机废气，</w:t>
            </w:r>
            <w:r>
              <w:rPr>
                <w:rFonts w:hint="eastAsia" w:eastAsia="宋体" w:cs="Times New Roman"/>
                <w:color w:val="auto"/>
                <w:sz w:val="24"/>
                <w:highlight w:val="none"/>
                <w:lang w:val="en-US" w:eastAsia="zh-CN"/>
              </w:rPr>
              <w:t>干式过滤器采用三级过滤</w:t>
            </w:r>
            <w:r>
              <w:rPr>
                <w:rFonts w:hint="eastAsia" w:cs="Times New Roman"/>
                <w:color w:val="auto"/>
                <w:sz w:val="24"/>
                <w:highlight w:val="none"/>
                <w:lang w:val="en-US" w:eastAsia="zh-CN"/>
              </w:rPr>
              <w:t>吸附</w:t>
            </w:r>
            <w:r>
              <w:rPr>
                <w:rFonts w:hint="eastAsia" w:eastAsia="宋体" w:cs="Times New Roman"/>
                <w:color w:val="auto"/>
                <w:sz w:val="24"/>
                <w:highlight w:val="none"/>
                <w:lang w:val="en-US" w:eastAsia="zh-CN"/>
              </w:rPr>
              <w:t>，分别用酸碱浸渍处理的吸附剂吸收碱性、酸性废气、用活性炭吸附挥发性有机</w:t>
            </w:r>
            <w:r>
              <w:rPr>
                <w:rFonts w:hint="eastAsia" w:cs="Times New Roman"/>
                <w:color w:val="auto"/>
                <w:sz w:val="24"/>
                <w:highlight w:val="none"/>
                <w:lang w:val="en-US" w:eastAsia="zh-CN"/>
              </w:rPr>
              <w:t>废气。</w:t>
            </w:r>
          </w:p>
          <w:p w14:paraId="323013C2">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吸附剂是一种具有大比表面积的固体颗粒无机物，当被净化气体中的酸</w:t>
            </w:r>
            <w:r>
              <w:rPr>
                <w:rFonts w:hint="eastAsia" w:eastAsia="宋体" w:cs="Times New Roman"/>
                <w:color w:val="auto"/>
                <w:sz w:val="24"/>
                <w:highlight w:val="none"/>
                <w:lang w:val="en-US" w:eastAsia="zh-CN"/>
              </w:rPr>
              <w:t>碱</w:t>
            </w:r>
            <w:r>
              <w:rPr>
                <w:rFonts w:hint="default" w:ascii="Times New Roman" w:hAnsi="Times New Roman" w:eastAsia="宋体" w:cs="Times New Roman"/>
                <w:color w:val="auto"/>
                <w:sz w:val="24"/>
                <w:highlight w:val="none"/>
                <w:lang w:val="en-US" w:eastAsia="zh-CN"/>
              </w:rPr>
              <w:t>气体扩散到吸附剂表面的吸附力场时，固定在其表面，然后与其中的活性成分发生化学反应，生成新的中性盐类物质，储存在吸附剂</w:t>
            </w:r>
            <w:r>
              <w:rPr>
                <w:rFonts w:hint="eastAsia" w:cs="Times New Roman"/>
                <w:color w:val="auto"/>
                <w:sz w:val="24"/>
                <w:highlight w:val="none"/>
                <w:lang w:val="en-US" w:eastAsia="zh-CN"/>
              </w:rPr>
              <w:t>中</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吸附剂净化酸</w:t>
            </w:r>
            <w:r>
              <w:rPr>
                <w:rFonts w:hint="eastAsia" w:eastAsia="宋体" w:cs="Times New Roman"/>
                <w:color w:val="auto"/>
                <w:sz w:val="24"/>
                <w:highlight w:val="none"/>
                <w:lang w:val="en-US" w:eastAsia="zh-CN"/>
              </w:rPr>
              <w:t>碱</w:t>
            </w:r>
            <w:r>
              <w:rPr>
                <w:rFonts w:hint="default" w:ascii="Times New Roman" w:hAnsi="Times New Roman" w:eastAsia="宋体" w:cs="Times New Roman"/>
                <w:color w:val="auto"/>
                <w:sz w:val="24"/>
                <w:highlight w:val="none"/>
                <w:lang w:val="en-US" w:eastAsia="zh-CN"/>
              </w:rPr>
              <w:t>气体是一种多功能的综合功能，除了一般的物理吸附外，还包括化学吸附、颗粒吸附、催化和化学反应。</w:t>
            </w:r>
          </w:p>
          <w:p w14:paraId="7D4ECF44">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活性炭吸附原理</w:t>
            </w:r>
            <w:r>
              <w:rPr>
                <w:rFonts w:hint="default" w:ascii="Times New Roman" w:hAnsi="Times New Roman" w:eastAsia="宋体" w:cs="Times New Roman"/>
                <w:color w:val="auto"/>
                <w:sz w:val="24"/>
                <w:highlight w:val="none"/>
                <w:lang w:val="en-US" w:eastAsia="zh-CN"/>
              </w:rPr>
              <w:t>是</w:t>
            </w:r>
            <w:r>
              <w:rPr>
                <w:rFonts w:hint="default" w:ascii="Times New Roman" w:hAnsi="Times New Roman" w:eastAsia="宋体" w:cs="Times New Roman"/>
                <w:color w:val="auto"/>
                <w:sz w:val="24"/>
                <w:highlight w:val="none"/>
              </w:rPr>
              <w:t>当废气由风机提供动力，负压进入吸附箱后进入活性炭吸附层，由于活性炭吸附剂表面上存在着未平衡和未饱和的分子引力或化学键力，因此，当活性炭吸附剂的表面与气体接触时，就能吸引气体分子，使其浓聚并保持在活性炭表面。利用活性炭吸附剂表面的吸附能力，使废气与大表面的多孔性活性炭吸附剂相接触，废气中的污染物被吸附在活性炭表面上，使其与其他混合物分离，净化后的气体排放。</w:t>
            </w:r>
          </w:p>
          <w:p w14:paraId="45513D33">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《实验室挥发性有机物污染防治技术规范》（DB11/T1736-2020）（2020年10月01日实施）中</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7.1.2吸附法可采用活性炭、活性炭纤维、分子筛等作为吸附介质</w:t>
            </w:r>
            <w:r>
              <w:rPr>
                <w:rFonts w:hint="eastAsia"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《排污许可证申请与核发技术规范 总则》（HJ 942-2018）“4.5.2.1废气产排污环节、污染物种类、排放形式及污染治理设施”中有“废气污染治理设施工艺包括有机废气收集治理设施（吸附）及其他废气收集处理设施（活性炭吸附）”等。</w:t>
            </w:r>
          </w:p>
          <w:p w14:paraId="0D4A8C67">
            <w:pPr>
              <w:adjustRightIn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本项目干式过滤器，配套一台风机，风机风量10000m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w:t>
            </w:r>
          </w:p>
          <w:p w14:paraId="40B3EFC4">
            <w:pPr>
              <w:adjustRightInd w:val="0"/>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风机风量可行性：本项目共有8个通风橱，每个通风橱长1.5m，操作时确保敞开面开度不超过0.5m、风速不低于0.35m/s，8个通风橱同时工作合计需要风量7560m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/h。本项目完成后，在产生废气的检测设备上方、部分前处理等产生废气的工位上方安装万向罩，万向罩合计15个，每个万向罩直径30cm，罩口风速不低于0.35m/s，15个万向罩同时工作合计需要风量1340m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/h。本项目完成后，所有通风橱、万向罩同时工作，合计需要风量8900m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/h，本项目干式过滤器配套的风机风量能满足需要。</w:t>
            </w:r>
          </w:p>
          <w:p w14:paraId="64887BF0">
            <w:pPr>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活性炭用量：</w:t>
            </w:r>
            <w:r>
              <w:rPr>
                <w:rFonts w:hint="default" w:ascii="Times New Roman" w:hAnsi="Times New Roman" w:eastAsia="宋体" w:cs="Times New Roman"/>
                <w:color w:val="auto"/>
                <w:sz w:val="24"/>
                <w:highlight w:val="none"/>
                <w:lang w:val="en-US" w:eastAsia="zh-CN"/>
              </w:rPr>
              <w:t>参照《活性炭纤维在挥发性有机废气处理中应用》（杨芬，刘品华，2003年）的实验结果表明，每公斤活性炭可吸附0.22-0.25kg的有机废气，本次环评取每公斤活性炭吸附量为0.2</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kg/kg，</w:t>
            </w: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项目非甲烷总烃的</w:t>
            </w:r>
            <w:r>
              <w:rPr>
                <w:rFonts w:hint="eastAsia" w:cs="Times New Roman"/>
                <w:color w:val="auto"/>
                <w:sz w:val="24"/>
                <w:highlight w:val="none"/>
                <w:lang w:val="en-US" w:eastAsia="zh-CN"/>
              </w:rPr>
              <w:t>总</w:t>
            </w:r>
            <w:r>
              <w:rPr>
                <w:rFonts w:hint="default" w:ascii="Times New Roman" w:hAnsi="Times New Roman" w:eastAsia="宋体" w:cs="Times New Roman"/>
                <w:color w:val="auto"/>
                <w:sz w:val="24"/>
                <w:highlight w:val="none"/>
                <w:lang w:val="en-US" w:eastAsia="zh-CN"/>
              </w:rPr>
              <w:t>去除量为</w:t>
            </w:r>
            <w:r>
              <w:rPr>
                <w:rFonts w:hint="eastAsia" w:cs="Times New Roman"/>
                <w:color w:val="auto"/>
                <w:sz w:val="24"/>
                <w:highlight w:val="none"/>
                <w:lang w:val="en-US" w:eastAsia="zh-CN"/>
              </w:rPr>
              <w:t>0.7661</w:t>
            </w:r>
            <w:r>
              <w:rPr>
                <w:rFonts w:hint="default" w:ascii="Times New Roman" w:hAnsi="Times New Roman" w:eastAsia="宋体" w:cs="Times New Roman"/>
                <w:color w:val="auto"/>
                <w:sz w:val="24"/>
                <w:highlight w:val="none"/>
                <w:lang w:val="en-US" w:eastAsia="zh-CN"/>
              </w:rPr>
              <w:t>kg/a，经计算共需活性炭</w:t>
            </w:r>
            <w:r>
              <w:rPr>
                <w:rFonts w:hint="eastAsia" w:cs="Times New Roman"/>
                <w:color w:val="auto"/>
                <w:sz w:val="24"/>
                <w:highlight w:val="none"/>
                <w:lang w:val="en-US" w:eastAsia="zh-CN"/>
              </w:rPr>
              <w:t>3.48</w:t>
            </w:r>
            <w:r>
              <w:rPr>
                <w:rFonts w:hint="default" w:ascii="Times New Roman" w:hAnsi="Times New Roman" w:eastAsia="宋体" w:cs="Times New Roman"/>
                <w:color w:val="auto"/>
                <w:sz w:val="24"/>
                <w:highlight w:val="none"/>
                <w:lang w:val="en-US" w:eastAsia="zh-CN"/>
              </w:rPr>
              <w:t>kg/a。</w:t>
            </w:r>
            <w:r>
              <w:rPr>
                <w:rFonts w:hint="eastAsia" w:cs="Times New Roman"/>
                <w:color w:val="auto"/>
                <w:sz w:val="24"/>
                <w:highlight w:val="none"/>
                <w:lang w:val="en-US" w:eastAsia="zh-CN"/>
              </w:rPr>
              <w:t>本项目拟采用的干式过滤器的活性炭箱体内腔体积0.15m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，颗粒状活性炭堆积密度一般在0.45-0.65g/cm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，本次评价按0.45cm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计算，则设备可装填活性炭67.5kg。</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实验室挥发性有机物污染防治技术规范</w:t>
            </w:r>
            <w:r>
              <w:rPr>
                <w:rFonts w:hint="eastAsia" w:ascii="Times New Roman" w:hAnsi="Times New Roman" w:cs="Times New Roman"/>
                <w:color w:val="auto"/>
                <w:sz w:val="24"/>
                <w:highlight w:val="none"/>
                <w:lang w:val="en-US" w:eastAsia="zh-CN"/>
              </w:rPr>
              <w:t>》（DB11/T 1736-2020）要求</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更换周期应综合考虑有机溶剂的使用量和实验强度等因素，原则上不应长于</w:t>
            </w:r>
            <w:r>
              <w:rPr>
                <w:rFonts w:hint="default" w:ascii="Times New Roman" w:hAnsi="Times New Roman" w:eastAsia="宋体"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个月</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，本项目</w:t>
            </w:r>
            <w:r>
              <w:rPr>
                <w:rFonts w:hint="eastAsia" w:ascii="Times New Roman" w:hAnsi="Times New Roman" w:eastAsia="宋体" w:cs="Times New Roman"/>
                <w:color w:val="auto"/>
                <w:sz w:val="24"/>
                <w:highlight w:val="none"/>
                <w:lang w:val="en-US" w:eastAsia="zh-CN"/>
              </w:rPr>
              <w:t>活性炭</w:t>
            </w:r>
            <w:r>
              <w:rPr>
                <w:rFonts w:hint="default" w:ascii="Times New Roman" w:hAnsi="Times New Roman" w:eastAsia="宋体" w:cs="Times New Roman"/>
                <w:color w:val="auto"/>
                <w:sz w:val="24"/>
                <w:highlight w:val="none"/>
                <w:lang w:val="en-US" w:eastAsia="zh-CN"/>
              </w:rPr>
              <w:t>每半年更换1次</w:t>
            </w:r>
            <w:r>
              <w:rPr>
                <w:rFonts w:hint="eastAsia" w:cs="Times New Roman"/>
                <w:color w:val="auto"/>
                <w:sz w:val="24"/>
                <w:highlight w:val="none"/>
                <w:lang w:val="en-US" w:eastAsia="zh-CN"/>
              </w:rPr>
              <w:t>，本项目完成后全年装填活性炭135</w:t>
            </w:r>
            <w:r>
              <w:rPr>
                <w:rFonts w:hint="default" w:ascii="Times New Roman" w:hAnsi="Times New Roman" w:eastAsia="宋体" w:cs="Times New Roman"/>
                <w:color w:val="auto"/>
                <w:sz w:val="24"/>
                <w:highlight w:val="none"/>
                <w:lang w:val="en-US" w:eastAsia="zh-CN"/>
              </w:rPr>
              <w:t>kg</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活性炭装</w:t>
            </w:r>
            <w:r>
              <w:rPr>
                <w:rFonts w:hint="eastAsia" w:cs="Times New Roman"/>
                <w:color w:val="auto"/>
                <w:sz w:val="24"/>
                <w:highlight w:val="none"/>
                <w:lang w:val="en-US" w:eastAsia="zh-CN"/>
              </w:rPr>
              <w:t>填量可以</w:t>
            </w:r>
            <w:r>
              <w:rPr>
                <w:rFonts w:hint="eastAsia" w:ascii="Times New Roman" w:hAnsi="Times New Roman" w:eastAsia="宋体" w:cs="Times New Roman"/>
                <w:color w:val="auto"/>
                <w:sz w:val="24"/>
                <w:highlight w:val="none"/>
                <w:lang w:val="en-US" w:eastAsia="zh-CN"/>
              </w:rPr>
              <w:t>满足本项目废气处理的需要。</w:t>
            </w:r>
            <w:r>
              <w:rPr>
                <w:rFonts w:hint="eastAsia" w:ascii="Times New Roman" w:hAnsi="Times New Roman" w:cs="Times New Roman"/>
                <w:color w:val="auto"/>
                <w:sz w:val="24"/>
                <w:highlight w:val="none"/>
                <w:lang w:val="en-US" w:eastAsia="zh-CN"/>
              </w:rPr>
              <w:t>综上，</w:t>
            </w:r>
            <w:r>
              <w:rPr>
                <w:rFonts w:hint="eastAsia"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完成后，公司</w:t>
            </w:r>
            <w:r>
              <w:rPr>
                <w:rFonts w:hint="default" w:ascii="Times New Roman" w:hAnsi="Times New Roman" w:eastAsia="宋体" w:cs="Times New Roman"/>
                <w:color w:val="auto"/>
                <w:sz w:val="24"/>
                <w:highlight w:val="none"/>
                <w:lang w:val="en-US" w:eastAsia="zh-CN"/>
              </w:rPr>
              <w:t>废活性炭</w:t>
            </w:r>
            <w:r>
              <w:rPr>
                <w:rFonts w:hint="eastAsia" w:ascii="Times New Roman" w:hAnsi="Times New Roman" w:cs="Times New Roman"/>
                <w:color w:val="auto"/>
                <w:sz w:val="24"/>
                <w:highlight w:val="none"/>
                <w:lang w:val="en-US" w:eastAsia="zh-CN"/>
              </w:rPr>
              <w:t>的产生量</w:t>
            </w:r>
            <w:r>
              <w:rPr>
                <w:rFonts w:hint="default" w:ascii="Times New Roman" w:hAnsi="Times New Roman" w:eastAsia="宋体" w:cs="Times New Roman"/>
                <w:color w:val="auto"/>
                <w:sz w:val="24"/>
                <w:highlight w:val="none"/>
                <w:lang w:val="en-US" w:eastAsia="zh-CN"/>
              </w:rPr>
              <w:t>约</w:t>
            </w:r>
            <w:r>
              <w:rPr>
                <w:rFonts w:hint="eastAsia" w:cs="Times New Roman"/>
                <w:color w:val="auto"/>
                <w:sz w:val="24"/>
                <w:highlight w:val="none"/>
                <w:lang w:val="en-US" w:eastAsia="zh-CN"/>
              </w:rPr>
              <w:t>135.8</w:t>
            </w:r>
            <w:r>
              <w:rPr>
                <w:rFonts w:hint="default" w:ascii="Times New Roman" w:hAnsi="Times New Roman" w:eastAsia="宋体" w:cs="Times New Roman"/>
                <w:color w:val="auto"/>
                <w:sz w:val="24"/>
                <w:highlight w:val="none"/>
                <w:lang w:val="en-US" w:eastAsia="zh-CN"/>
              </w:rPr>
              <w:t>kg/a（</w:t>
            </w:r>
            <w:r>
              <w:rPr>
                <w:rFonts w:hint="eastAsia"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1358</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w:t>
            </w:r>
          </w:p>
          <w:p w14:paraId="08FC5F20">
            <w:pPr>
              <w:spacing w:line="360" w:lineRule="auto"/>
              <w:ind w:firstLine="480" w:firstLineChars="200"/>
              <w:rPr>
                <w:rFonts w:hint="eastAsia" w:cs="Times New Roman"/>
                <w:color w:val="auto"/>
                <w:sz w:val="24"/>
                <w:highlight w:val="none"/>
                <w:lang w:val="en-US" w:eastAsia="zh-CN"/>
              </w:rPr>
            </w:pPr>
            <w:r>
              <w:rPr>
                <w:rFonts w:hint="eastAsia" w:cs="Times New Roman"/>
                <w:color w:val="auto"/>
                <w:sz w:val="24"/>
                <w:highlight w:val="none"/>
                <w:lang w:val="en-US" w:eastAsia="zh-CN"/>
              </w:rPr>
              <w:t>吸附剂用量：</w:t>
            </w:r>
            <w:r>
              <w:rPr>
                <w:rFonts w:hint="eastAsia" w:ascii="Times New Roman" w:hAnsi="Times New Roman" w:eastAsia="宋体" w:cs="Times New Roman"/>
                <w:color w:val="auto"/>
                <w:sz w:val="24"/>
                <w:highlight w:val="none"/>
                <w:lang w:val="en-US" w:eastAsia="zh-CN"/>
              </w:rPr>
              <w:t>本项目干式过滤器</w:t>
            </w:r>
            <w:r>
              <w:rPr>
                <w:rFonts w:hint="eastAsia" w:ascii="Times New Roman" w:hAnsi="Times New Roman" w:cs="Times New Roman"/>
                <w:color w:val="auto"/>
                <w:sz w:val="24"/>
                <w:highlight w:val="none"/>
                <w:lang w:val="en-US" w:eastAsia="zh-CN"/>
              </w:rPr>
              <w:t>分别用酸、碱处理的吸附剂</w:t>
            </w:r>
            <w:r>
              <w:rPr>
                <w:rFonts w:hint="eastAsia" w:ascii="Times New Roman" w:hAnsi="Times New Roman" w:eastAsia="宋体" w:cs="Times New Roman"/>
                <w:color w:val="auto"/>
                <w:sz w:val="24"/>
                <w:highlight w:val="none"/>
                <w:lang w:val="en-US" w:eastAsia="zh-CN"/>
              </w:rPr>
              <w:t>吸附</w:t>
            </w:r>
            <w:r>
              <w:rPr>
                <w:rFonts w:hint="eastAsia" w:ascii="Times New Roman" w:hAnsi="Times New Roman" w:cs="Times New Roman"/>
                <w:color w:val="auto"/>
                <w:sz w:val="24"/>
                <w:highlight w:val="none"/>
                <w:lang w:val="en-US" w:eastAsia="zh-CN"/>
              </w:rPr>
              <w:t>处理含碱、酸无机</w:t>
            </w:r>
            <w:r>
              <w:rPr>
                <w:rFonts w:hint="eastAsia" w:ascii="Times New Roman" w:hAnsi="Times New Roman" w:eastAsia="宋体" w:cs="Times New Roman"/>
                <w:color w:val="auto"/>
                <w:sz w:val="24"/>
                <w:highlight w:val="none"/>
                <w:lang w:val="en-US" w:eastAsia="zh-CN"/>
              </w:rPr>
              <w:t>废气，</w:t>
            </w:r>
            <w:r>
              <w:rPr>
                <w:rFonts w:hint="eastAsia" w:ascii="Times New Roman" w:hAnsi="Times New Roman" w:cs="Times New Roman"/>
                <w:color w:val="auto"/>
                <w:sz w:val="24"/>
                <w:highlight w:val="none"/>
                <w:lang w:val="en-US" w:eastAsia="zh-CN"/>
              </w:rPr>
              <w:t>根据建设单位提供的资料</w:t>
            </w:r>
            <w:r>
              <w:rPr>
                <w:rFonts w:hint="default" w:ascii="Times New Roman" w:hAnsi="Times New Roman" w:eastAsia="宋体" w:cs="Times New Roman"/>
                <w:color w:val="auto"/>
                <w:sz w:val="24"/>
                <w:highlight w:val="none"/>
                <w:lang w:val="en-US" w:eastAsia="zh-CN"/>
              </w:rPr>
              <w:t>，每公斤</w:t>
            </w:r>
            <w:r>
              <w:rPr>
                <w:rFonts w:hint="eastAsia" w:ascii="Times New Roman" w:hAnsi="Times New Roman" w:cs="Times New Roman"/>
                <w:color w:val="auto"/>
                <w:sz w:val="24"/>
                <w:highlight w:val="none"/>
                <w:lang w:val="en-US" w:eastAsia="zh-CN"/>
              </w:rPr>
              <w:t>吸附剂</w:t>
            </w:r>
            <w:r>
              <w:rPr>
                <w:rFonts w:hint="default" w:ascii="Times New Roman" w:hAnsi="Times New Roman" w:eastAsia="宋体" w:cs="Times New Roman"/>
                <w:color w:val="auto"/>
                <w:sz w:val="24"/>
                <w:highlight w:val="none"/>
                <w:lang w:val="en-US" w:eastAsia="zh-CN"/>
              </w:rPr>
              <w:t>可吸附0.</w:t>
            </w:r>
            <w:r>
              <w:rPr>
                <w:rFonts w:hint="eastAsia"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kg的</w:t>
            </w:r>
            <w:r>
              <w:rPr>
                <w:rFonts w:hint="eastAsia" w:ascii="Times New Roman" w:hAnsi="Times New Roman" w:cs="Times New Roman"/>
                <w:color w:val="auto"/>
                <w:sz w:val="24"/>
                <w:highlight w:val="none"/>
                <w:lang w:val="en-US" w:eastAsia="zh-CN"/>
              </w:rPr>
              <w:t>无机</w:t>
            </w:r>
            <w:r>
              <w:rPr>
                <w:rFonts w:hint="default" w:ascii="Times New Roman" w:hAnsi="Times New Roman" w:eastAsia="宋体" w:cs="Times New Roman"/>
                <w:color w:val="auto"/>
                <w:sz w:val="24"/>
                <w:highlight w:val="none"/>
                <w:lang w:val="en-US" w:eastAsia="zh-CN"/>
              </w:rPr>
              <w:t>废气，项目</w:t>
            </w:r>
            <w:r>
              <w:rPr>
                <w:rFonts w:hint="eastAsia" w:ascii="Times New Roman" w:hAnsi="Times New Roman" w:cs="Times New Roman"/>
                <w:color w:val="auto"/>
                <w:sz w:val="24"/>
                <w:highlight w:val="none"/>
                <w:lang w:val="en-US" w:eastAsia="zh-CN"/>
              </w:rPr>
              <w:t>无机废气</w:t>
            </w:r>
            <w:r>
              <w:rPr>
                <w:rFonts w:hint="default" w:ascii="Times New Roman" w:hAnsi="Times New Roman" w:eastAsia="宋体" w:cs="Times New Roman"/>
                <w:color w:val="auto"/>
                <w:sz w:val="24"/>
                <w:highlight w:val="none"/>
                <w:lang w:val="en-US" w:eastAsia="zh-CN"/>
              </w:rPr>
              <w:t>的去除量为</w:t>
            </w:r>
            <w:r>
              <w:rPr>
                <w:rFonts w:hint="eastAsia" w:ascii="Times New Roman" w:hAnsi="Times New Roman" w:cs="Times New Roman"/>
                <w:color w:val="auto"/>
                <w:sz w:val="24"/>
                <w:highlight w:val="none"/>
                <w:lang w:val="en-US" w:eastAsia="zh-CN"/>
              </w:rPr>
              <w:t>0.4809</w:t>
            </w:r>
            <w:r>
              <w:rPr>
                <w:rFonts w:hint="default" w:ascii="Times New Roman" w:hAnsi="Times New Roman" w:eastAsia="宋体" w:cs="Times New Roman"/>
                <w:color w:val="auto"/>
                <w:sz w:val="24"/>
                <w:highlight w:val="none"/>
                <w:lang w:val="en-US" w:eastAsia="zh-CN"/>
              </w:rPr>
              <w:t>kg/a，经计算共需</w:t>
            </w:r>
            <w:r>
              <w:rPr>
                <w:rFonts w:hint="eastAsia" w:ascii="Times New Roman" w:hAnsi="Times New Roman" w:cs="Times New Roman"/>
                <w:color w:val="auto"/>
                <w:sz w:val="24"/>
                <w:highlight w:val="none"/>
                <w:lang w:val="en-US" w:eastAsia="zh-CN"/>
              </w:rPr>
              <w:t>吸附剂4.809</w:t>
            </w:r>
            <w:r>
              <w:rPr>
                <w:rFonts w:hint="default" w:ascii="Times New Roman" w:hAnsi="Times New Roman" w:eastAsia="宋体" w:cs="Times New Roman"/>
                <w:color w:val="auto"/>
                <w:sz w:val="24"/>
                <w:highlight w:val="none"/>
                <w:lang w:val="en-US" w:eastAsia="zh-CN"/>
              </w:rPr>
              <w:t>kg/a。</w:t>
            </w:r>
            <w:r>
              <w:rPr>
                <w:rFonts w:hint="eastAsia" w:cs="Times New Roman"/>
                <w:color w:val="auto"/>
                <w:sz w:val="24"/>
                <w:highlight w:val="none"/>
                <w:lang w:val="en-US" w:eastAsia="zh-CN"/>
              </w:rPr>
              <w:t>本项目拟采用的干式过滤器全部内腔体积分别为0.1m</w:t>
            </w:r>
            <w:r>
              <w:rPr>
                <w:rFonts w:hint="eastAsia"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w:t>
            </w:r>
            <w:r>
              <w:rPr>
                <w:rFonts w:hint="eastAsia" w:ascii="Times New Roman" w:hAnsi="Times New Roman" w:cs="Times New Roman"/>
                <w:color w:val="auto"/>
                <w:sz w:val="24"/>
                <w:highlight w:val="none"/>
                <w:lang w:val="en-US" w:eastAsia="zh-CN"/>
              </w:rPr>
              <w:t>吸附剂</w:t>
            </w:r>
            <w:r>
              <w:rPr>
                <w:rFonts w:hint="eastAsia" w:ascii="Times New Roman" w:hAnsi="Times New Roman" w:eastAsia="宋体" w:cs="Times New Roman"/>
                <w:color w:val="auto"/>
                <w:sz w:val="24"/>
                <w:highlight w:val="none"/>
                <w:lang w:val="en-US" w:eastAsia="zh-CN"/>
              </w:rPr>
              <w:t>密度0.</w:t>
            </w:r>
            <w:r>
              <w:rPr>
                <w:rFonts w:hint="eastAsia" w:ascii="Times New Roman" w:hAnsi="Times New Roman" w:cs="Times New Roman"/>
                <w:color w:val="auto"/>
                <w:sz w:val="24"/>
                <w:highlight w:val="none"/>
                <w:lang w:val="en-US" w:eastAsia="zh-CN"/>
              </w:rPr>
              <w:t>45</w:t>
            </w:r>
            <w:r>
              <w:rPr>
                <w:rFonts w:hint="eastAsia" w:ascii="Times New Roman" w:hAnsi="Times New Roman" w:eastAsia="宋体" w:cs="Times New Roman"/>
                <w:color w:val="auto"/>
                <w:sz w:val="24"/>
                <w:highlight w:val="none"/>
                <w:lang w:val="en-US" w:eastAsia="zh-CN"/>
              </w:rPr>
              <w:t>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，则全部</w:t>
            </w:r>
            <w:r>
              <w:rPr>
                <w:rFonts w:hint="eastAsia" w:ascii="Times New Roman" w:hAnsi="Times New Roman" w:cs="Times New Roman"/>
                <w:color w:val="auto"/>
                <w:sz w:val="24"/>
                <w:highlight w:val="none"/>
                <w:lang w:val="en-US" w:eastAsia="zh-CN"/>
              </w:rPr>
              <w:t>吸吸附剂</w:t>
            </w:r>
            <w:r>
              <w:rPr>
                <w:rFonts w:hint="eastAsia" w:ascii="Times New Roman" w:hAnsi="Times New Roman" w:eastAsia="宋体" w:cs="Times New Roman"/>
                <w:color w:val="auto"/>
                <w:sz w:val="24"/>
                <w:highlight w:val="none"/>
                <w:lang w:val="en-US" w:eastAsia="zh-CN"/>
              </w:rPr>
              <w:t>填充量为</w:t>
            </w:r>
            <w:r>
              <w:rPr>
                <w:rFonts w:hint="eastAsia" w:cs="Times New Roman"/>
                <w:color w:val="auto"/>
                <w:sz w:val="24"/>
                <w:highlight w:val="none"/>
                <w:lang w:val="en-US" w:eastAsia="zh-CN"/>
              </w:rPr>
              <w:t>45</w:t>
            </w:r>
            <w:r>
              <w:rPr>
                <w:rFonts w:hint="eastAsia" w:ascii="Times New Roman" w:hAnsi="Times New Roman" w:eastAsia="宋体" w:cs="Times New Roman"/>
                <w:color w:val="auto"/>
                <w:sz w:val="24"/>
                <w:highlight w:val="none"/>
                <w:lang w:val="en-US" w:eastAsia="zh-CN"/>
              </w:rPr>
              <w:t>kg</w:t>
            </w:r>
            <w:r>
              <w:rPr>
                <w:rFonts w:hint="eastAsia" w:ascii="Times New Roman" w:hAnsi="Times New Roman" w:cs="Times New Roman"/>
                <w:color w:val="auto"/>
                <w:sz w:val="24"/>
                <w:highlight w:val="none"/>
                <w:lang w:val="en-US" w:eastAsia="zh-CN"/>
              </w:rPr>
              <w:t>，吸附剂</w:t>
            </w:r>
            <w:r>
              <w:rPr>
                <w:rFonts w:hint="default" w:ascii="Times New Roman" w:hAnsi="Times New Roman" w:eastAsia="宋体" w:cs="Times New Roman"/>
                <w:color w:val="auto"/>
                <w:sz w:val="24"/>
                <w:highlight w:val="none"/>
                <w:lang w:val="en-US" w:eastAsia="zh-CN"/>
              </w:rPr>
              <w:t>每半年更换1次，</w:t>
            </w:r>
            <w:r>
              <w:rPr>
                <w:rFonts w:hint="eastAsia" w:ascii="Times New Roman" w:hAnsi="Times New Roman" w:cs="Times New Roman"/>
                <w:color w:val="auto"/>
                <w:sz w:val="24"/>
                <w:highlight w:val="none"/>
                <w:lang w:val="en-US" w:eastAsia="zh-CN"/>
              </w:rPr>
              <w:t>吸附剂的</w:t>
            </w:r>
            <w:r>
              <w:rPr>
                <w:rFonts w:hint="eastAsia" w:ascii="Times New Roman" w:hAnsi="Times New Roman" w:eastAsia="宋体" w:cs="Times New Roman"/>
                <w:color w:val="auto"/>
                <w:sz w:val="24"/>
                <w:highlight w:val="none"/>
                <w:lang w:val="en-US" w:eastAsia="zh-CN"/>
              </w:rPr>
              <w:t>装填量</w:t>
            </w:r>
            <w:r>
              <w:rPr>
                <w:rFonts w:hint="eastAsia" w:cs="Times New Roman"/>
                <w:color w:val="auto"/>
                <w:sz w:val="24"/>
                <w:highlight w:val="none"/>
                <w:lang w:val="en-US" w:eastAsia="zh-CN"/>
              </w:rPr>
              <w:t>能</w:t>
            </w:r>
            <w:r>
              <w:rPr>
                <w:rFonts w:hint="eastAsia" w:ascii="Times New Roman" w:hAnsi="Times New Roman" w:eastAsia="宋体" w:cs="Times New Roman"/>
                <w:color w:val="auto"/>
                <w:sz w:val="24"/>
                <w:highlight w:val="none"/>
                <w:lang w:val="en-US" w:eastAsia="zh-CN"/>
              </w:rPr>
              <w:t>满足本项目废气处理的需要。</w:t>
            </w:r>
            <w:r>
              <w:rPr>
                <w:rFonts w:hint="eastAsia" w:ascii="Times New Roman" w:hAnsi="Times New Roman" w:cs="Times New Roman"/>
                <w:color w:val="auto"/>
                <w:sz w:val="24"/>
                <w:highlight w:val="none"/>
                <w:lang w:val="en-US" w:eastAsia="zh-CN"/>
              </w:rPr>
              <w:t>综上，</w:t>
            </w:r>
            <w:r>
              <w:rPr>
                <w:rFonts w:hint="eastAsia"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完成后，公司</w:t>
            </w:r>
            <w:r>
              <w:rPr>
                <w:rFonts w:hint="default" w:ascii="Times New Roman" w:hAnsi="Times New Roman" w:eastAsia="宋体" w:cs="Times New Roman"/>
                <w:color w:val="auto"/>
                <w:sz w:val="24"/>
                <w:highlight w:val="none"/>
                <w:lang w:val="en-US" w:eastAsia="zh-CN"/>
              </w:rPr>
              <w:t>废</w:t>
            </w:r>
            <w:r>
              <w:rPr>
                <w:rFonts w:hint="eastAsia" w:ascii="Times New Roman" w:hAnsi="Times New Roman" w:eastAsia="宋体" w:cs="Times New Roman"/>
                <w:color w:val="auto"/>
                <w:sz w:val="24"/>
                <w:highlight w:val="none"/>
                <w:lang w:val="en-US" w:eastAsia="zh-CN"/>
              </w:rPr>
              <w:t>吸附剂</w:t>
            </w:r>
            <w:r>
              <w:rPr>
                <w:rFonts w:hint="eastAsia" w:ascii="Times New Roman" w:hAnsi="Times New Roman" w:cs="Times New Roman"/>
                <w:color w:val="auto"/>
                <w:sz w:val="24"/>
                <w:highlight w:val="none"/>
                <w:lang w:val="en-US" w:eastAsia="zh-CN"/>
              </w:rPr>
              <w:t>的产生量</w:t>
            </w:r>
            <w:r>
              <w:rPr>
                <w:rFonts w:hint="default" w:ascii="Times New Roman" w:hAnsi="Times New Roman" w:eastAsia="宋体" w:cs="Times New Roman"/>
                <w:color w:val="auto"/>
                <w:sz w:val="24"/>
                <w:highlight w:val="none"/>
                <w:lang w:val="en-US" w:eastAsia="zh-CN"/>
              </w:rPr>
              <w:t>约</w:t>
            </w:r>
            <w:r>
              <w:rPr>
                <w:rFonts w:hint="eastAsia" w:cs="Times New Roman"/>
                <w:color w:val="auto"/>
                <w:sz w:val="24"/>
                <w:highlight w:val="none"/>
                <w:lang w:val="en-US" w:eastAsia="zh-CN"/>
              </w:rPr>
              <w:t>90.5</w:t>
            </w:r>
            <w:r>
              <w:rPr>
                <w:rFonts w:hint="default" w:ascii="Times New Roman" w:hAnsi="Times New Roman" w:eastAsia="宋体" w:cs="Times New Roman"/>
                <w:color w:val="auto"/>
                <w:sz w:val="24"/>
                <w:highlight w:val="none"/>
                <w:lang w:val="en-US" w:eastAsia="zh-CN"/>
              </w:rPr>
              <w:t>kg/a（</w:t>
            </w:r>
            <w:r>
              <w:rPr>
                <w:rFonts w:hint="eastAsia" w:ascii="Times New Roman" w:hAnsi="Times New Roman" w:eastAsia="宋体" w:cs="Times New Roman"/>
                <w:color w:val="auto"/>
                <w:sz w:val="24"/>
                <w:highlight w:val="none"/>
                <w:lang w:val="en-US" w:eastAsia="zh-CN"/>
              </w:rPr>
              <w:t>0.</w:t>
            </w:r>
            <w:r>
              <w:rPr>
                <w:rFonts w:hint="eastAsia" w:cs="Times New Roman"/>
                <w:color w:val="auto"/>
                <w:sz w:val="24"/>
                <w:highlight w:val="none"/>
                <w:lang w:val="en-US" w:eastAsia="zh-CN"/>
              </w:rPr>
              <w:t>0905</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w:t>
            </w:r>
          </w:p>
          <w:p w14:paraId="5B866C79">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w:t>
            </w:r>
            <w:r>
              <w:rPr>
                <w:rFonts w:hint="eastAsia" w:cs="Times New Roman"/>
                <w:color w:val="auto"/>
                <w:sz w:val="24"/>
                <w:highlight w:val="none"/>
                <w:lang w:val="en-US" w:eastAsia="zh-CN"/>
              </w:rPr>
              <w:t>采用干式过滤器处理检测实验过程的废气，属于可行性技术</w:t>
            </w:r>
            <w:r>
              <w:rPr>
                <w:rFonts w:hint="default" w:ascii="Times New Roman" w:hAnsi="Times New Roman" w:eastAsia="宋体" w:cs="Times New Roman"/>
                <w:color w:val="auto"/>
                <w:sz w:val="24"/>
                <w:highlight w:val="none"/>
                <w:lang w:val="en-US" w:eastAsia="zh-CN"/>
              </w:rPr>
              <w:t>。</w:t>
            </w:r>
          </w:p>
          <w:p w14:paraId="507F9A55">
            <w:pPr>
              <w:numPr>
                <w:ilvl w:val="0"/>
                <w:numId w:val="0"/>
              </w:numPr>
              <w:adjustRightInd w:val="0"/>
              <w:snapToGrid w:val="0"/>
              <w:spacing w:line="360" w:lineRule="auto"/>
              <w:ind w:leftChars="200"/>
              <w:rPr>
                <w:rFonts w:hint="default" w:ascii="Times New Roman" w:hAnsi="Times New Roman" w:eastAsia="宋体" w:cs="Times New Roman"/>
                <w:b/>
                <w:bCs/>
                <w:color w:val="auto"/>
                <w:sz w:val="24"/>
                <w:highlight w:val="none"/>
                <w:lang w:val="en-US" w:eastAsia="zh-CN"/>
              </w:rPr>
            </w:pPr>
            <w:r>
              <w:rPr>
                <w:rFonts w:hint="eastAsia"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lang w:val="en-US" w:eastAsia="zh-CN"/>
              </w:rPr>
              <w:t>废气达标</w:t>
            </w:r>
            <w:r>
              <w:rPr>
                <w:rFonts w:hint="eastAsia" w:cs="Times New Roman"/>
                <w:b/>
                <w:bCs/>
                <w:color w:val="auto"/>
                <w:sz w:val="24"/>
                <w:highlight w:val="none"/>
                <w:lang w:val="en-US" w:eastAsia="zh-CN"/>
              </w:rPr>
              <w:t>排放</w:t>
            </w:r>
            <w:r>
              <w:rPr>
                <w:rFonts w:hint="default" w:ascii="Times New Roman" w:hAnsi="Times New Roman" w:eastAsia="宋体" w:cs="Times New Roman"/>
                <w:b/>
                <w:bCs/>
                <w:color w:val="auto"/>
                <w:sz w:val="24"/>
                <w:highlight w:val="none"/>
                <w:lang w:val="en-US" w:eastAsia="zh-CN"/>
              </w:rPr>
              <w:t>分析</w:t>
            </w:r>
          </w:p>
          <w:p w14:paraId="281FD8B5">
            <w:pPr>
              <w:adjustRightIn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eastAsia="宋体" w:cs="Times New Roman"/>
                <w:color w:val="auto"/>
                <w:sz w:val="24"/>
                <w:highlight w:val="none"/>
                <w:lang w:val="en-US" w:eastAsia="zh-CN"/>
              </w:rPr>
              <w:t>本项目</w:t>
            </w:r>
            <w:r>
              <w:rPr>
                <w:rFonts w:hint="eastAsia" w:cs="Times New Roman"/>
                <w:color w:val="auto"/>
                <w:sz w:val="24"/>
                <w:highlight w:val="none"/>
                <w:lang w:val="en-US" w:eastAsia="zh-CN"/>
              </w:rPr>
              <w:t>废气排放及达标情况分析</w:t>
            </w:r>
            <w:r>
              <w:rPr>
                <w:rFonts w:hint="eastAsia" w:ascii="Times New Roman" w:hAnsi="Times New Roman" w:eastAsia="宋体" w:cs="Times New Roman"/>
                <w:color w:val="auto"/>
                <w:sz w:val="24"/>
                <w:highlight w:val="none"/>
                <w:lang w:val="en-US" w:eastAsia="zh-CN"/>
              </w:rPr>
              <w:t xml:space="preserve">见下表。 </w:t>
            </w:r>
          </w:p>
          <w:p w14:paraId="186C93F2">
            <w:pPr>
              <w:keepNext w:val="0"/>
              <w:keepLines w:val="0"/>
              <w:widowControl/>
              <w:numPr>
                <w:ilvl w:val="0"/>
                <w:numId w:val="32"/>
              </w:numPr>
              <w:suppressLineNumbers w:val="0"/>
              <w:ind w:left="425" w:leftChars="0" w:hanging="425" w:firstLineChars="0"/>
              <w:jc w:val="center"/>
              <w:rPr>
                <w:rFonts w:hint="default" w:ascii="Times New Roman" w:hAnsi="Times New Roman" w:eastAsia="宋体" w:cs="Times New Roman"/>
                <w:color w:val="auto"/>
                <w:sz w:val="24"/>
                <w:highlight w:val="none"/>
                <w:lang w:val="en-US" w:eastAsia="zh-CN"/>
              </w:rPr>
            </w:pPr>
            <w:r>
              <w:rPr>
                <w:rFonts w:hint="eastAsia" w:cs="Times New Roman"/>
                <w:b/>
                <w:bCs/>
                <w:color w:val="auto"/>
                <w:sz w:val="24"/>
                <w:highlight w:val="none"/>
                <w:lang w:val="en-US" w:eastAsia="zh-CN"/>
              </w:rPr>
              <w:t>本</w:t>
            </w:r>
            <w:r>
              <w:rPr>
                <w:rFonts w:hint="eastAsia" w:ascii="Times New Roman" w:hAnsi="Times New Roman" w:eastAsia="宋体" w:cs="Times New Roman"/>
                <w:b/>
                <w:bCs/>
                <w:color w:val="auto"/>
                <w:sz w:val="24"/>
                <w:highlight w:val="none"/>
                <w:lang w:val="en-US" w:eastAsia="zh-CN"/>
              </w:rPr>
              <w:t>项目建成后大气污染物达标排放分析</w:t>
            </w:r>
          </w:p>
          <w:tbl>
            <w:tblPr>
              <w:tblStyle w:val="24"/>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135"/>
              <w:gridCol w:w="1074"/>
              <w:gridCol w:w="1074"/>
              <w:gridCol w:w="1074"/>
              <w:gridCol w:w="1075"/>
              <w:gridCol w:w="1075"/>
            </w:tblGrid>
            <w:tr w14:paraId="159225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dxa"/>
                  <w:vMerge w:val="restart"/>
                  <w:tcBorders>
                    <w:tl2br w:val="nil"/>
                    <w:tr2bl w:val="nil"/>
                  </w:tcBorders>
                  <w:vAlign w:val="center"/>
                </w:tcPr>
                <w:p w14:paraId="5BC412B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排气筒</w:t>
                  </w:r>
                </w:p>
              </w:tc>
              <w:tc>
                <w:tcPr>
                  <w:tcW w:w="1135" w:type="dxa"/>
                  <w:vMerge w:val="restart"/>
                  <w:tcBorders>
                    <w:tl2br w:val="nil"/>
                    <w:tr2bl w:val="nil"/>
                  </w:tcBorders>
                  <w:vAlign w:val="center"/>
                </w:tcPr>
                <w:p w14:paraId="62E335B5">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污染物</w:t>
                  </w:r>
                </w:p>
              </w:tc>
              <w:tc>
                <w:tcPr>
                  <w:tcW w:w="2148" w:type="dxa"/>
                  <w:gridSpan w:val="2"/>
                  <w:tcBorders>
                    <w:tl2br w:val="nil"/>
                    <w:tr2bl w:val="nil"/>
                  </w:tcBorders>
                  <w:vAlign w:val="center"/>
                </w:tcPr>
                <w:p w14:paraId="558A8E59">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排放情况</w:t>
                  </w:r>
                </w:p>
              </w:tc>
              <w:tc>
                <w:tcPr>
                  <w:tcW w:w="2149" w:type="dxa"/>
                  <w:gridSpan w:val="2"/>
                  <w:tcBorders>
                    <w:tl2br w:val="nil"/>
                    <w:tr2bl w:val="nil"/>
                  </w:tcBorders>
                  <w:vAlign w:val="center"/>
                </w:tcPr>
                <w:p w14:paraId="0B80705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执行标准</w:t>
                  </w:r>
                </w:p>
              </w:tc>
              <w:tc>
                <w:tcPr>
                  <w:tcW w:w="1075" w:type="dxa"/>
                  <w:vMerge w:val="restart"/>
                  <w:tcBorders>
                    <w:tl2br w:val="nil"/>
                    <w:tr2bl w:val="nil"/>
                  </w:tcBorders>
                  <w:vAlign w:val="center"/>
                </w:tcPr>
                <w:p w14:paraId="1EF94D6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达标</w:t>
                  </w:r>
                </w:p>
                <w:p w14:paraId="129918F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情况</w:t>
                  </w:r>
                </w:p>
              </w:tc>
            </w:tr>
            <w:tr w14:paraId="13E288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dxa"/>
                  <w:vMerge w:val="continue"/>
                  <w:tcBorders>
                    <w:tl2br w:val="nil"/>
                    <w:tr2bl w:val="nil"/>
                  </w:tcBorders>
                  <w:vAlign w:val="center"/>
                </w:tcPr>
                <w:p w14:paraId="3F336975">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35" w:type="dxa"/>
                  <w:vMerge w:val="continue"/>
                  <w:tcBorders>
                    <w:tl2br w:val="nil"/>
                    <w:tr2bl w:val="nil"/>
                  </w:tcBorders>
                  <w:vAlign w:val="center"/>
                </w:tcPr>
                <w:p w14:paraId="5B7F9A6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074" w:type="dxa"/>
                  <w:tcBorders>
                    <w:tl2br w:val="nil"/>
                    <w:tr2bl w:val="nil"/>
                  </w:tcBorders>
                  <w:vAlign w:val="center"/>
                </w:tcPr>
                <w:p w14:paraId="372DB83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浓度</w:t>
                  </w:r>
                  <w:r>
                    <w:rPr>
                      <w:rFonts w:hint="eastAsia" w:cs="Times New Roman"/>
                      <w:b/>
                      <w:bCs/>
                      <w:color w:val="auto"/>
                      <w:kern w:val="0"/>
                      <w:sz w:val="21"/>
                      <w:szCs w:val="21"/>
                      <w:highlight w:val="none"/>
                      <w:vertAlign w:val="baseline"/>
                      <w:lang w:val="en-US" w:eastAsia="zh-CN"/>
                    </w:rPr>
                    <w:t>m</w:t>
                  </w:r>
                  <w:r>
                    <w:rPr>
                      <w:rFonts w:hint="default" w:ascii="Times New Roman" w:hAnsi="Times New Roman" w:eastAsia="宋体" w:cs="Times New Roman"/>
                      <w:b/>
                      <w:bCs/>
                      <w:color w:val="auto"/>
                      <w:kern w:val="0"/>
                      <w:sz w:val="21"/>
                      <w:szCs w:val="21"/>
                      <w:highlight w:val="none"/>
                      <w:vertAlign w:val="baseline"/>
                      <w:lang w:val="en-US" w:eastAsia="zh-CN"/>
                    </w:rPr>
                    <w:t>g/m</w:t>
                  </w:r>
                  <w:r>
                    <w:rPr>
                      <w:rFonts w:hint="default" w:ascii="Times New Roman" w:hAnsi="Times New Roman" w:eastAsia="宋体" w:cs="Times New Roman"/>
                      <w:b/>
                      <w:bCs/>
                      <w:color w:val="auto"/>
                      <w:kern w:val="0"/>
                      <w:sz w:val="21"/>
                      <w:szCs w:val="21"/>
                      <w:highlight w:val="none"/>
                      <w:vertAlign w:val="superscript"/>
                      <w:lang w:val="en-US" w:eastAsia="zh-CN"/>
                    </w:rPr>
                    <w:t>3</w:t>
                  </w:r>
                </w:p>
              </w:tc>
              <w:tc>
                <w:tcPr>
                  <w:tcW w:w="1074" w:type="dxa"/>
                  <w:tcBorders>
                    <w:tl2br w:val="nil"/>
                    <w:tr2bl w:val="nil"/>
                  </w:tcBorders>
                  <w:vAlign w:val="center"/>
                </w:tcPr>
                <w:p w14:paraId="4163933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速率</w:t>
                  </w:r>
                </w:p>
                <w:p w14:paraId="1634504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kg/h</w:t>
                  </w:r>
                </w:p>
              </w:tc>
              <w:tc>
                <w:tcPr>
                  <w:tcW w:w="1074" w:type="dxa"/>
                  <w:tcBorders>
                    <w:tl2br w:val="nil"/>
                    <w:tr2bl w:val="nil"/>
                  </w:tcBorders>
                  <w:vAlign w:val="center"/>
                </w:tcPr>
                <w:p w14:paraId="41DB836C">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浓度</w:t>
                  </w:r>
                  <w:r>
                    <w:rPr>
                      <w:rFonts w:hint="eastAsia" w:cs="Times New Roman"/>
                      <w:b/>
                      <w:bCs/>
                      <w:color w:val="auto"/>
                      <w:kern w:val="0"/>
                      <w:sz w:val="21"/>
                      <w:szCs w:val="21"/>
                      <w:highlight w:val="none"/>
                      <w:vertAlign w:val="baseline"/>
                      <w:lang w:val="en-US" w:eastAsia="zh-CN"/>
                    </w:rPr>
                    <w:t>m</w:t>
                  </w:r>
                  <w:r>
                    <w:rPr>
                      <w:rFonts w:hint="default" w:ascii="Times New Roman" w:hAnsi="Times New Roman" w:eastAsia="宋体" w:cs="Times New Roman"/>
                      <w:b/>
                      <w:bCs/>
                      <w:color w:val="auto"/>
                      <w:kern w:val="0"/>
                      <w:sz w:val="21"/>
                      <w:szCs w:val="21"/>
                      <w:highlight w:val="none"/>
                      <w:vertAlign w:val="baseline"/>
                      <w:lang w:val="en-US" w:eastAsia="zh-CN"/>
                    </w:rPr>
                    <w:t>g/m</w:t>
                  </w:r>
                  <w:r>
                    <w:rPr>
                      <w:rFonts w:hint="default" w:ascii="Times New Roman" w:hAnsi="Times New Roman" w:eastAsia="宋体" w:cs="Times New Roman"/>
                      <w:b/>
                      <w:bCs/>
                      <w:color w:val="auto"/>
                      <w:kern w:val="0"/>
                      <w:sz w:val="21"/>
                      <w:szCs w:val="21"/>
                      <w:highlight w:val="none"/>
                      <w:vertAlign w:val="superscript"/>
                      <w:lang w:val="en-US" w:eastAsia="zh-CN"/>
                    </w:rPr>
                    <w:t>3</w:t>
                  </w:r>
                </w:p>
              </w:tc>
              <w:tc>
                <w:tcPr>
                  <w:tcW w:w="1075" w:type="dxa"/>
                  <w:tcBorders>
                    <w:tl2br w:val="nil"/>
                    <w:tr2bl w:val="nil"/>
                  </w:tcBorders>
                  <w:vAlign w:val="center"/>
                </w:tcPr>
                <w:p w14:paraId="4770A33E">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速率</w:t>
                  </w:r>
                </w:p>
                <w:p w14:paraId="0EFD425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kg/h</w:t>
                  </w:r>
                </w:p>
              </w:tc>
              <w:tc>
                <w:tcPr>
                  <w:tcW w:w="1075" w:type="dxa"/>
                  <w:vMerge w:val="continue"/>
                  <w:tcBorders>
                    <w:tl2br w:val="nil"/>
                    <w:tr2bl w:val="nil"/>
                  </w:tcBorders>
                  <w:vAlign w:val="center"/>
                </w:tcPr>
                <w:p w14:paraId="27C7940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r>
            <w:tr w14:paraId="668D4D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0" w:type="dxa"/>
                  <w:vMerge w:val="restart"/>
                  <w:tcBorders>
                    <w:tl2br w:val="nil"/>
                    <w:tr2bl w:val="nil"/>
                  </w:tcBorders>
                  <w:vAlign w:val="center"/>
                </w:tcPr>
                <w:p w14:paraId="548A3F28">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DA</w:t>
                  </w:r>
                </w:p>
                <w:p w14:paraId="6ACF94E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001</w:t>
                  </w:r>
                </w:p>
              </w:tc>
              <w:tc>
                <w:tcPr>
                  <w:tcW w:w="1135" w:type="dxa"/>
                  <w:tcBorders>
                    <w:tl2br w:val="nil"/>
                    <w:tr2bl w:val="nil"/>
                  </w:tcBorders>
                  <w:shd w:val="clear" w:color="auto" w:fill="auto"/>
                  <w:vAlign w:val="center"/>
                </w:tcPr>
                <w:p w14:paraId="2D18AFF7">
                  <w:pPr>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rPr>
                    <w:t>甲醇</w:t>
                  </w:r>
                </w:p>
              </w:tc>
              <w:tc>
                <w:tcPr>
                  <w:tcW w:w="1074" w:type="dxa"/>
                  <w:tcBorders>
                    <w:tl2br w:val="nil"/>
                    <w:tr2bl w:val="nil"/>
                  </w:tcBorders>
                  <w:vAlign w:val="center"/>
                </w:tcPr>
                <w:p w14:paraId="0A113168">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cs="Times New Roman"/>
                      <w:i w:val="0"/>
                      <w:iCs w:val="0"/>
                      <w:color w:val="auto"/>
                      <w:kern w:val="0"/>
                      <w:sz w:val="21"/>
                      <w:szCs w:val="21"/>
                      <w:u w:val="none"/>
                      <w:lang w:val="en-US" w:eastAsia="zh-CN" w:bidi="ar"/>
                    </w:rPr>
                    <w:t>02</w:t>
                  </w:r>
                </w:p>
              </w:tc>
              <w:tc>
                <w:tcPr>
                  <w:tcW w:w="1074" w:type="dxa"/>
                  <w:tcBorders>
                    <w:tl2br w:val="nil"/>
                    <w:tr2bl w:val="nil"/>
                  </w:tcBorders>
                  <w:vAlign w:val="center"/>
                </w:tcPr>
                <w:p w14:paraId="7356AD1D">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0.0000</w:t>
                  </w:r>
                  <w:r>
                    <w:rPr>
                      <w:rFonts w:hint="eastAsia" w:ascii="Times New Roman" w:hAnsi="Times New Roman" w:cs="Times New Roman"/>
                      <w:i w:val="0"/>
                      <w:iCs w:val="0"/>
                      <w:color w:val="auto"/>
                      <w:kern w:val="0"/>
                      <w:sz w:val="21"/>
                      <w:szCs w:val="21"/>
                      <w:u w:val="none"/>
                      <w:lang w:val="en-US" w:eastAsia="zh-CN" w:bidi="ar"/>
                    </w:rPr>
                    <w:t>2</w:t>
                  </w:r>
                </w:p>
              </w:tc>
              <w:tc>
                <w:tcPr>
                  <w:tcW w:w="1074" w:type="dxa"/>
                  <w:tcBorders>
                    <w:tl2br w:val="nil"/>
                    <w:tr2bl w:val="nil"/>
                  </w:tcBorders>
                  <w:vAlign w:val="center"/>
                </w:tcPr>
                <w:p w14:paraId="33356F7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w:t>
                  </w:r>
                </w:p>
              </w:tc>
              <w:tc>
                <w:tcPr>
                  <w:tcW w:w="1075" w:type="dxa"/>
                  <w:tcBorders>
                    <w:tl2br w:val="nil"/>
                    <w:tr2bl w:val="nil"/>
                  </w:tcBorders>
                  <w:vAlign w:val="center"/>
                </w:tcPr>
                <w:p w14:paraId="2635AC6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4.3</w:t>
                  </w:r>
                </w:p>
              </w:tc>
              <w:tc>
                <w:tcPr>
                  <w:tcW w:w="1075" w:type="dxa"/>
                  <w:tcBorders>
                    <w:tl2br w:val="nil"/>
                    <w:tr2bl w:val="nil"/>
                  </w:tcBorders>
                  <w:vAlign w:val="center"/>
                </w:tcPr>
                <w:p w14:paraId="532F61B5">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46D457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910" w:type="dxa"/>
                  <w:vMerge w:val="continue"/>
                  <w:tcBorders>
                    <w:tl2br w:val="nil"/>
                    <w:tr2bl w:val="nil"/>
                  </w:tcBorders>
                  <w:vAlign w:val="center"/>
                </w:tcPr>
                <w:p w14:paraId="792C139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35" w:type="dxa"/>
                  <w:tcBorders>
                    <w:tl2br w:val="nil"/>
                    <w:tr2bl w:val="nil"/>
                  </w:tcBorders>
                  <w:shd w:val="clear" w:color="auto" w:fill="auto"/>
                  <w:vAlign w:val="center"/>
                </w:tcPr>
                <w:p w14:paraId="785B9853">
                  <w:pPr>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lang w:val="en-US" w:eastAsia="zh-CN"/>
                    </w:rPr>
                    <w:t>其他C类物质（</w:t>
                  </w:r>
                  <w:r>
                    <w:rPr>
                      <w:rFonts w:hint="eastAsia"/>
                    </w:rPr>
                    <w:t>丙酮</w:t>
                  </w:r>
                  <w:r>
                    <w:rPr>
                      <w:rFonts w:hint="eastAsia"/>
                      <w:lang w:val="en-US" w:eastAsia="zh-CN"/>
                    </w:rPr>
                    <w:t>）</w:t>
                  </w:r>
                </w:p>
              </w:tc>
              <w:tc>
                <w:tcPr>
                  <w:tcW w:w="1074" w:type="dxa"/>
                  <w:tcBorders>
                    <w:tl2br w:val="nil"/>
                    <w:tr2bl w:val="nil"/>
                  </w:tcBorders>
                  <w:vAlign w:val="center"/>
                </w:tcPr>
                <w:p w14:paraId="07F9732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cs="Times New Roman"/>
                      <w:i w:val="0"/>
                      <w:iCs w:val="0"/>
                      <w:color w:val="auto"/>
                      <w:kern w:val="0"/>
                      <w:sz w:val="21"/>
                      <w:szCs w:val="21"/>
                      <w:u w:val="none"/>
                      <w:lang w:val="en-US" w:eastAsia="zh-CN" w:bidi="ar"/>
                    </w:rPr>
                    <w:t>3</w:t>
                  </w:r>
                </w:p>
              </w:tc>
              <w:tc>
                <w:tcPr>
                  <w:tcW w:w="1074" w:type="dxa"/>
                  <w:tcBorders>
                    <w:tl2br w:val="nil"/>
                    <w:tr2bl w:val="nil"/>
                  </w:tcBorders>
                  <w:vAlign w:val="center"/>
                </w:tcPr>
                <w:p w14:paraId="2BD76A7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074" w:type="dxa"/>
                  <w:tcBorders>
                    <w:tl2br w:val="nil"/>
                    <w:tr2bl w:val="nil"/>
                  </w:tcBorders>
                  <w:vAlign w:val="center"/>
                </w:tcPr>
                <w:p w14:paraId="29A17F6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80</w:t>
                  </w:r>
                </w:p>
              </w:tc>
              <w:tc>
                <w:tcPr>
                  <w:tcW w:w="1075" w:type="dxa"/>
                  <w:tcBorders>
                    <w:tl2br w:val="nil"/>
                    <w:tr2bl w:val="nil"/>
                  </w:tcBorders>
                  <w:vAlign w:val="center"/>
                </w:tcPr>
                <w:p w14:paraId="40AB985B">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1075" w:type="dxa"/>
                  <w:tcBorders>
                    <w:tl2br w:val="nil"/>
                    <w:tr2bl w:val="nil"/>
                  </w:tcBorders>
                  <w:vAlign w:val="center"/>
                </w:tcPr>
                <w:p w14:paraId="7D80360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01D280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910" w:type="dxa"/>
                  <w:vMerge w:val="continue"/>
                  <w:tcBorders>
                    <w:tl2br w:val="nil"/>
                    <w:tr2bl w:val="nil"/>
                  </w:tcBorders>
                  <w:vAlign w:val="center"/>
                </w:tcPr>
                <w:p w14:paraId="685729A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35" w:type="dxa"/>
                  <w:tcBorders>
                    <w:tl2br w:val="nil"/>
                    <w:tr2bl w:val="nil"/>
                  </w:tcBorders>
                  <w:shd w:val="clear" w:color="auto" w:fill="auto"/>
                  <w:vAlign w:val="center"/>
                </w:tcPr>
                <w:p w14:paraId="190B48BF">
                  <w:pPr>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lang w:val="en-US" w:eastAsia="zh-CN"/>
                    </w:rPr>
                    <w:t>其他C类物质（</w:t>
                  </w:r>
                  <w:r>
                    <w:rPr>
                      <w:rFonts w:hint="eastAsia"/>
                    </w:rPr>
                    <w:t>正己烷</w:t>
                  </w:r>
                  <w:r>
                    <w:rPr>
                      <w:rFonts w:hint="eastAsia"/>
                      <w:lang w:val="en-US" w:eastAsia="zh-CN"/>
                    </w:rPr>
                    <w:t>）</w:t>
                  </w:r>
                </w:p>
              </w:tc>
              <w:tc>
                <w:tcPr>
                  <w:tcW w:w="1074" w:type="dxa"/>
                  <w:tcBorders>
                    <w:tl2br w:val="nil"/>
                    <w:tr2bl w:val="nil"/>
                  </w:tcBorders>
                  <w:vAlign w:val="center"/>
                </w:tcPr>
                <w:p w14:paraId="0578D71C">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02</w:t>
                  </w:r>
                </w:p>
              </w:tc>
              <w:tc>
                <w:tcPr>
                  <w:tcW w:w="1074" w:type="dxa"/>
                  <w:tcBorders>
                    <w:tl2br w:val="nil"/>
                    <w:tr2bl w:val="nil"/>
                  </w:tcBorders>
                  <w:vAlign w:val="center"/>
                </w:tcPr>
                <w:p w14:paraId="25EE9BB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0.0002</w:t>
                  </w:r>
                </w:p>
              </w:tc>
              <w:tc>
                <w:tcPr>
                  <w:tcW w:w="1074" w:type="dxa"/>
                  <w:tcBorders>
                    <w:tl2br w:val="nil"/>
                    <w:tr2bl w:val="nil"/>
                  </w:tcBorders>
                  <w:vAlign w:val="center"/>
                </w:tcPr>
                <w:p w14:paraId="186FCC7E">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80</w:t>
                  </w:r>
                </w:p>
              </w:tc>
              <w:tc>
                <w:tcPr>
                  <w:tcW w:w="1075" w:type="dxa"/>
                  <w:tcBorders>
                    <w:tl2br w:val="nil"/>
                    <w:tr2bl w:val="nil"/>
                  </w:tcBorders>
                  <w:vAlign w:val="center"/>
                </w:tcPr>
                <w:p w14:paraId="6C089C75">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1075" w:type="dxa"/>
                  <w:tcBorders>
                    <w:tl2br w:val="nil"/>
                    <w:tr2bl w:val="nil"/>
                  </w:tcBorders>
                  <w:vAlign w:val="center"/>
                </w:tcPr>
                <w:p w14:paraId="39A5B7C7">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2E8C21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910" w:type="dxa"/>
                  <w:vMerge w:val="continue"/>
                  <w:tcBorders>
                    <w:tl2br w:val="nil"/>
                    <w:tr2bl w:val="nil"/>
                  </w:tcBorders>
                  <w:vAlign w:val="center"/>
                </w:tcPr>
                <w:p w14:paraId="7B14F8E7">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35" w:type="dxa"/>
                  <w:tcBorders>
                    <w:tl2br w:val="nil"/>
                    <w:tr2bl w:val="nil"/>
                  </w:tcBorders>
                  <w:shd w:val="clear" w:color="auto" w:fill="auto"/>
                  <w:vAlign w:val="center"/>
                </w:tcPr>
                <w:p w14:paraId="5ECA3C09">
                  <w:pPr>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lang w:val="en-US" w:eastAsia="zh-CN"/>
                    </w:rPr>
                    <w:t>其他A类物质（</w:t>
                  </w:r>
                  <w:r>
                    <w:rPr>
                      <w:rFonts w:hint="eastAsia"/>
                    </w:rPr>
                    <w:t>三氯甲烷</w:t>
                  </w:r>
                  <w:r>
                    <w:rPr>
                      <w:rFonts w:hint="eastAsia"/>
                      <w:lang w:val="en-US" w:eastAsia="zh-CN"/>
                    </w:rPr>
                    <w:t>）</w:t>
                  </w:r>
                </w:p>
              </w:tc>
              <w:tc>
                <w:tcPr>
                  <w:tcW w:w="1074" w:type="dxa"/>
                  <w:tcBorders>
                    <w:tl2br w:val="nil"/>
                    <w:tr2bl w:val="nil"/>
                  </w:tcBorders>
                  <w:vAlign w:val="center"/>
                </w:tcPr>
                <w:p w14:paraId="497C46BE">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cs="Times New Roman"/>
                      <w:i w:val="0"/>
                      <w:iCs w:val="0"/>
                      <w:color w:val="auto"/>
                      <w:kern w:val="0"/>
                      <w:sz w:val="21"/>
                      <w:szCs w:val="21"/>
                      <w:u w:val="none"/>
                      <w:lang w:val="en-US" w:eastAsia="zh-CN" w:bidi="ar"/>
                    </w:rPr>
                    <w:t>97</w:t>
                  </w:r>
                </w:p>
              </w:tc>
              <w:tc>
                <w:tcPr>
                  <w:tcW w:w="1074" w:type="dxa"/>
                  <w:tcBorders>
                    <w:tl2br w:val="nil"/>
                    <w:tr2bl w:val="nil"/>
                  </w:tcBorders>
                  <w:vAlign w:val="center"/>
                </w:tcPr>
                <w:p w14:paraId="39787B62">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0.0097</w:t>
                  </w:r>
                </w:p>
              </w:tc>
              <w:tc>
                <w:tcPr>
                  <w:tcW w:w="1074" w:type="dxa"/>
                  <w:tcBorders>
                    <w:tl2br w:val="nil"/>
                    <w:tr2bl w:val="nil"/>
                  </w:tcBorders>
                  <w:vAlign w:val="center"/>
                </w:tcPr>
                <w:p w14:paraId="693ECC3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20</w:t>
                  </w:r>
                </w:p>
              </w:tc>
              <w:tc>
                <w:tcPr>
                  <w:tcW w:w="1075" w:type="dxa"/>
                  <w:tcBorders>
                    <w:tl2br w:val="nil"/>
                    <w:tr2bl w:val="nil"/>
                  </w:tcBorders>
                  <w:vAlign w:val="center"/>
                </w:tcPr>
                <w:p w14:paraId="090DFAD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w:t>
                  </w:r>
                </w:p>
              </w:tc>
              <w:tc>
                <w:tcPr>
                  <w:tcW w:w="1075" w:type="dxa"/>
                  <w:tcBorders>
                    <w:tl2br w:val="nil"/>
                    <w:tr2bl w:val="nil"/>
                  </w:tcBorders>
                  <w:vAlign w:val="center"/>
                </w:tcPr>
                <w:p w14:paraId="097FB979">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573073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910" w:type="dxa"/>
                  <w:vMerge w:val="continue"/>
                  <w:tcBorders>
                    <w:tl2br w:val="nil"/>
                    <w:tr2bl w:val="nil"/>
                  </w:tcBorders>
                  <w:vAlign w:val="center"/>
                </w:tcPr>
                <w:p w14:paraId="7BF6E9E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35" w:type="dxa"/>
                  <w:tcBorders>
                    <w:tl2br w:val="nil"/>
                    <w:tr2bl w:val="nil"/>
                  </w:tcBorders>
                  <w:shd w:val="clear" w:color="auto" w:fill="auto"/>
                  <w:vAlign w:val="center"/>
                </w:tcPr>
                <w:p w14:paraId="2C590297">
                  <w:pPr>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lang w:val="en-US" w:eastAsia="zh-CN"/>
                    </w:rPr>
                    <w:t>其他C类物质（</w:t>
                  </w:r>
                  <w:r>
                    <w:rPr>
                      <w:rFonts w:hint="eastAsia"/>
                    </w:rPr>
                    <w:t>四氯乙烯</w:t>
                  </w:r>
                  <w:r>
                    <w:rPr>
                      <w:rFonts w:hint="eastAsia"/>
                      <w:lang w:val="en-US" w:eastAsia="zh-CN"/>
                    </w:rPr>
                    <w:t>）</w:t>
                  </w:r>
                </w:p>
              </w:tc>
              <w:tc>
                <w:tcPr>
                  <w:tcW w:w="1074" w:type="dxa"/>
                  <w:tcBorders>
                    <w:tl2br w:val="nil"/>
                    <w:tr2bl w:val="nil"/>
                  </w:tcBorders>
                  <w:vAlign w:val="center"/>
                </w:tcPr>
                <w:p w14:paraId="57923208">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eastAsia" w:ascii="Times New Roman" w:hAnsi="Times New Roman" w:cs="Times New Roman"/>
                      <w:i w:val="0"/>
                      <w:iCs w:val="0"/>
                      <w:color w:val="auto"/>
                      <w:kern w:val="0"/>
                      <w:sz w:val="21"/>
                      <w:szCs w:val="21"/>
                      <w:u w:val="none"/>
                      <w:lang w:val="en-US" w:eastAsia="zh-CN" w:bidi="ar"/>
                    </w:rPr>
                    <w:t>1.06</w:t>
                  </w:r>
                </w:p>
              </w:tc>
              <w:tc>
                <w:tcPr>
                  <w:tcW w:w="1074" w:type="dxa"/>
                  <w:tcBorders>
                    <w:tl2br w:val="nil"/>
                    <w:tr2bl w:val="nil"/>
                  </w:tcBorders>
                  <w:vAlign w:val="center"/>
                </w:tcPr>
                <w:p w14:paraId="0111AF01">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0.0106</w:t>
                  </w:r>
                </w:p>
              </w:tc>
              <w:tc>
                <w:tcPr>
                  <w:tcW w:w="1074" w:type="dxa"/>
                  <w:tcBorders>
                    <w:tl2br w:val="nil"/>
                    <w:tr2bl w:val="nil"/>
                  </w:tcBorders>
                  <w:vAlign w:val="center"/>
                </w:tcPr>
                <w:p w14:paraId="1F32B837">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w:t>
                  </w:r>
                </w:p>
              </w:tc>
              <w:tc>
                <w:tcPr>
                  <w:tcW w:w="1075" w:type="dxa"/>
                  <w:tcBorders>
                    <w:tl2br w:val="nil"/>
                    <w:tr2bl w:val="nil"/>
                  </w:tcBorders>
                  <w:vAlign w:val="center"/>
                </w:tcPr>
                <w:p w14:paraId="2BCB0322">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2.5</w:t>
                  </w:r>
                </w:p>
              </w:tc>
              <w:tc>
                <w:tcPr>
                  <w:tcW w:w="1075" w:type="dxa"/>
                  <w:tcBorders>
                    <w:tl2br w:val="nil"/>
                    <w:tr2bl w:val="nil"/>
                  </w:tcBorders>
                  <w:vAlign w:val="center"/>
                </w:tcPr>
                <w:p w14:paraId="74F40A83">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0A5498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910" w:type="dxa"/>
                  <w:vMerge w:val="continue"/>
                  <w:tcBorders>
                    <w:tl2br w:val="nil"/>
                    <w:tr2bl w:val="nil"/>
                  </w:tcBorders>
                  <w:vAlign w:val="center"/>
                </w:tcPr>
                <w:p w14:paraId="051092C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35" w:type="dxa"/>
                  <w:tcBorders>
                    <w:tl2br w:val="nil"/>
                    <w:tr2bl w:val="nil"/>
                  </w:tcBorders>
                  <w:shd w:val="clear" w:color="auto" w:fill="auto"/>
                  <w:vAlign w:val="center"/>
                </w:tcPr>
                <w:p w14:paraId="14AC44E0">
                  <w:pPr>
                    <w:jc w:val="center"/>
                    <w:rPr>
                      <w:rFonts w:hint="eastAsia" w:cs="Times New Roman"/>
                      <w:color w:val="auto"/>
                      <w:kern w:val="0"/>
                      <w:sz w:val="21"/>
                      <w:szCs w:val="21"/>
                      <w:highlight w:val="none"/>
                      <w:vertAlign w:val="baseline"/>
                      <w:lang w:val="en-US" w:eastAsia="zh-CN"/>
                    </w:rPr>
                  </w:pPr>
                  <w:r>
                    <w:rPr>
                      <w:rFonts w:hint="eastAsia"/>
                      <w:lang w:val="en-US" w:eastAsia="zh-CN"/>
                    </w:rPr>
                    <w:t>其他A类物质（乙酸）</w:t>
                  </w:r>
                </w:p>
              </w:tc>
              <w:tc>
                <w:tcPr>
                  <w:tcW w:w="1074" w:type="dxa"/>
                  <w:tcBorders>
                    <w:tl2br w:val="nil"/>
                    <w:tr2bl w:val="nil"/>
                  </w:tcBorders>
                  <w:vAlign w:val="center"/>
                </w:tcPr>
                <w:p w14:paraId="694885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0.03</w:t>
                  </w:r>
                </w:p>
              </w:tc>
              <w:tc>
                <w:tcPr>
                  <w:tcW w:w="1074" w:type="dxa"/>
                  <w:tcBorders>
                    <w:tl2br w:val="nil"/>
                    <w:tr2bl w:val="nil"/>
                  </w:tcBorders>
                  <w:vAlign w:val="center"/>
                </w:tcPr>
                <w:p w14:paraId="1836092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0.0003</w:t>
                  </w:r>
                </w:p>
              </w:tc>
              <w:tc>
                <w:tcPr>
                  <w:tcW w:w="1074" w:type="dxa"/>
                  <w:tcBorders>
                    <w:tl2br w:val="nil"/>
                    <w:tr2bl w:val="nil"/>
                  </w:tcBorders>
                  <w:vAlign w:val="center"/>
                </w:tcPr>
                <w:p w14:paraId="307FF51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20</w:t>
                  </w:r>
                </w:p>
              </w:tc>
              <w:tc>
                <w:tcPr>
                  <w:tcW w:w="1075" w:type="dxa"/>
                  <w:tcBorders>
                    <w:tl2br w:val="nil"/>
                    <w:tr2bl w:val="nil"/>
                  </w:tcBorders>
                  <w:vAlign w:val="center"/>
                </w:tcPr>
                <w:p w14:paraId="322A806F">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c>
                <w:tcPr>
                  <w:tcW w:w="1075" w:type="dxa"/>
                  <w:tcBorders>
                    <w:tl2br w:val="nil"/>
                    <w:tr2bl w:val="nil"/>
                  </w:tcBorders>
                  <w:vAlign w:val="center"/>
                </w:tcPr>
                <w:p w14:paraId="6D2422BF">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14:paraId="461F6B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910" w:type="dxa"/>
                  <w:vMerge w:val="continue"/>
                  <w:tcBorders>
                    <w:tl2br w:val="nil"/>
                    <w:tr2bl w:val="nil"/>
                  </w:tcBorders>
                  <w:vAlign w:val="center"/>
                </w:tcPr>
                <w:p w14:paraId="4609D1E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35" w:type="dxa"/>
                  <w:tcBorders>
                    <w:tl2br w:val="nil"/>
                    <w:tr2bl w:val="nil"/>
                  </w:tcBorders>
                  <w:shd w:val="clear" w:color="auto" w:fill="auto"/>
                  <w:vAlign w:val="center"/>
                </w:tcPr>
                <w:p w14:paraId="75C5EA60">
                  <w:pPr>
                    <w:numPr>
                      <w:ilvl w:val="0"/>
                      <w:numId w:val="0"/>
                    </w:numPr>
                    <w:adjustRightInd w:val="0"/>
                    <w:snapToGrid w:val="0"/>
                    <w:spacing w:line="240" w:lineRule="auto"/>
                    <w:ind w:left="0" w:leftChars="0" w:firstLine="0" w:firstLineChars="0"/>
                    <w:jc w:val="center"/>
                    <w:rPr>
                      <w:rFonts w:hint="eastAsia"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非甲烷总烃</w:t>
                  </w:r>
                </w:p>
              </w:tc>
              <w:tc>
                <w:tcPr>
                  <w:tcW w:w="1074" w:type="dxa"/>
                  <w:tcBorders>
                    <w:tl2br w:val="nil"/>
                    <w:tr2bl w:val="nil"/>
                  </w:tcBorders>
                  <w:vAlign w:val="center"/>
                </w:tcPr>
                <w:p w14:paraId="58E4C3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2.14</w:t>
                  </w:r>
                </w:p>
              </w:tc>
              <w:tc>
                <w:tcPr>
                  <w:tcW w:w="1074" w:type="dxa"/>
                  <w:tcBorders>
                    <w:tl2br w:val="nil"/>
                    <w:tr2bl w:val="nil"/>
                  </w:tcBorders>
                  <w:vAlign w:val="center"/>
                </w:tcPr>
                <w:p w14:paraId="11D86A4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0.0214</w:t>
                  </w:r>
                </w:p>
              </w:tc>
              <w:tc>
                <w:tcPr>
                  <w:tcW w:w="1074" w:type="dxa"/>
                  <w:tcBorders>
                    <w:tl2br w:val="nil"/>
                    <w:tr2bl w:val="nil"/>
                  </w:tcBorders>
                  <w:vAlign w:val="center"/>
                </w:tcPr>
                <w:p w14:paraId="55BB3626">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50</w:t>
                  </w:r>
                </w:p>
              </w:tc>
              <w:tc>
                <w:tcPr>
                  <w:tcW w:w="1075" w:type="dxa"/>
                  <w:tcBorders>
                    <w:tl2br w:val="nil"/>
                    <w:tr2bl w:val="nil"/>
                  </w:tcBorders>
                  <w:vAlign w:val="center"/>
                </w:tcPr>
                <w:p w14:paraId="1CABAF6B">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8.6</w:t>
                  </w:r>
                </w:p>
              </w:tc>
              <w:tc>
                <w:tcPr>
                  <w:tcW w:w="1075" w:type="dxa"/>
                  <w:tcBorders>
                    <w:tl2br w:val="nil"/>
                    <w:tr2bl w:val="nil"/>
                  </w:tcBorders>
                  <w:vAlign w:val="center"/>
                </w:tcPr>
                <w:p w14:paraId="7F074936">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p>
              </w:tc>
            </w:tr>
            <w:tr w14:paraId="73FA13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910" w:type="dxa"/>
                  <w:vMerge w:val="continue"/>
                  <w:tcBorders>
                    <w:tl2br w:val="nil"/>
                    <w:tr2bl w:val="nil"/>
                  </w:tcBorders>
                  <w:vAlign w:val="center"/>
                </w:tcPr>
                <w:p w14:paraId="01488DD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35" w:type="dxa"/>
                  <w:tcBorders>
                    <w:tl2br w:val="nil"/>
                    <w:tr2bl w:val="nil"/>
                  </w:tcBorders>
                  <w:shd w:val="clear" w:color="auto" w:fill="auto"/>
                  <w:vAlign w:val="center"/>
                </w:tcPr>
                <w:p w14:paraId="78B024B7">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氯化氢</w:t>
                  </w:r>
                </w:p>
              </w:tc>
              <w:tc>
                <w:tcPr>
                  <w:tcW w:w="1074" w:type="dxa"/>
                  <w:tcBorders>
                    <w:tl2br w:val="nil"/>
                    <w:tr2bl w:val="nil"/>
                  </w:tcBorders>
                  <w:vAlign w:val="center"/>
                </w:tcPr>
                <w:p w14:paraId="410FFC00">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0.19</w:t>
                  </w:r>
                </w:p>
              </w:tc>
              <w:tc>
                <w:tcPr>
                  <w:tcW w:w="1074" w:type="dxa"/>
                  <w:tcBorders>
                    <w:tl2br w:val="nil"/>
                    <w:tr2bl w:val="nil"/>
                  </w:tcBorders>
                  <w:vAlign w:val="center"/>
                </w:tcPr>
                <w:p w14:paraId="122D8CDF">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19</w:t>
                  </w:r>
                </w:p>
              </w:tc>
              <w:tc>
                <w:tcPr>
                  <w:tcW w:w="1074" w:type="dxa"/>
                  <w:tcBorders>
                    <w:tl2br w:val="nil"/>
                    <w:tr2bl w:val="nil"/>
                  </w:tcBorders>
                  <w:vAlign w:val="center"/>
                </w:tcPr>
                <w:p w14:paraId="030B5582">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w:t>
                  </w:r>
                </w:p>
              </w:tc>
              <w:tc>
                <w:tcPr>
                  <w:tcW w:w="1075" w:type="dxa"/>
                  <w:tcBorders>
                    <w:tl2br w:val="nil"/>
                    <w:tr2bl w:val="nil"/>
                  </w:tcBorders>
                  <w:vAlign w:val="center"/>
                </w:tcPr>
                <w:p w14:paraId="13B2C8A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0.0</w:t>
                  </w:r>
                  <w:r>
                    <w:rPr>
                      <w:rFonts w:hint="eastAsia" w:cs="Times New Roman"/>
                      <w:b w:val="0"/>
                      <w:bCs w:val="0"/>
                      <w:color w:val="auto"/>
                      <w:kern w:val="0"/>
                      <w:sz w:val="21"/>
                      <w:szCs w:val="21"/>
                      <w:highlight w:val="none"/>
                      <w:vertAlign w:val="baseline"/>
                      <w:lang w:val="en-US" w:eastAsia="zh-CN"/>
                    </w:rPr>
                    <w:t>86</w:t>
                  </w:r>
                </w:p>
              </w:tc>
              <w:tc>
                <w:tcPr>
                  <w:tcW w:w="1075" w:type="dxa"/>
                  <w:tcBorders>
                    <w:tl2br w:val="nil"/>
                    <w:tr2bl w:val="nil"/>
                  </w:tcBorders>
                  <w:vAlign w:val="center"/>
                </w:tcPr>
                <w:p w14:paraId="2F7DF69F">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730FBA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910" w:type="dxa"/>
                  <w:vMerge w:val="continue"/>
                  <w:tcBorders>
                    <w:tl2br w:val="nil"/>
                    <w:tr2bl w:val="nil"/>
                  </w:tcBorders>
                  <w:vAlign w:val="center"/>
                </w:tcPr>
                <w:p w14:paraId="12CD75B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35" w:type="dxa"/>
                  <w:tcBorders>
                    <w:tl2br w:val="nil"/>
                    <w:tr2bl w:val="nil"/>
                  </w:tcBorders>
                  <w:shd w:val="clear" w:color="auto" w:fill="auto"/>
                  <w:vAlign w:val="center"/>
                </w:tcPr>
                <w:p w14:paraId="3917D0EB">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氮氧化物</w:t>
                  </w:r>
                </w:p>
              </w:tc>
              <w:tc>
                <w:tcPr>
                  <w:tcW w:w="1074" w:type="dxa"/>
                  <w:tcBorders>
                    <w:tl2br w:val="nil"/>
                    <w:tr2bl w:val="nil"/>
                  </w:tcBorders>
                  <w:vAlign w:val="center"/>
                </w:tcPr>
                <w:p w14:paraId="2B174F68">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0.05</w:t>
                  </w:r>
                </w:p>
              </w:tc>
              <w:tc>
                <w:tcPr>
                  <w:tcW w:w="1074" w:type="dxa"/>
                  <w:tcBorders>
                    <w:tl2br w:val="nil"/>
                    <w:tr2bl w:val="nil"/>
                  </w:tcBorders>
                  <w:vAlign w:val="center"/>
                </w:tcPr>
                <w:p w14:paraId="15F35F36">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ascii="Times New Roman" w:hAnsi="Times New Roman" w:eastAsia="宋体" w:cs="Times New Roman"/>
                      <w:i w:val="0"/>
                      <w:iCs w:val="0"/>
                      <w:color w:val="auto"/>
                      <w:kern w:val="0"/>
                      <w:sz w:val="21"/>
                      <w:szCs w:val="21"/>
                      <w:u w:val="none"/>
                      <w:lang w:val="en-US" w:eastAsia="zh-CN" w:bidi="ar"/>
                    </w:rPr>
                    <w:t>5</w:t>
                  </w:r>
                </w:p>
              </w:tc>
              <w:tc>
                <w:tcPr>
                  <w:tcW w:w="1074" w:type="dxa"/>
                  <w:tcBorders>
                    <w:tl2br w:val="nil"/>
                    <w:tr2bl w:val="nil"/>
                  </w:tcBorders>
                  <w:vAlign w:val="center"/>
                </w:tcPr>
                <w:p w14:paraId="0DD8334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100</w:t>
                  </w:r>
                </w:p>
              </w:tc>
              <w:tc>
                <w:tcPr>
                  <w:tcW w:w="1075" w:type="dxa"/>
                  <w:tcBorders>
                    <w:tl2br w:val="nil"/>
                    <w:tr2bl w:val="nil"/>
                  </w:tcBorders>
                  <w:vAlign w:val="center"/>
                </w:tcPr>
                <w:p w14:paraId="5D553FBF">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1.032</w:t>
                  </w:r>
                </w:p>
              </w:tc>
              <w:tc>
                <w:tcPr>
                  <w:tcW w:w="1075" w:type="dxa"/>
                  <w:tcBorders>
                    <w:tl2br w:val="nil"/>
                    <w:tr2bl w:val="nil"/>
                  </w:tcBorders>
                  <w:vAlign w:val="center"/>
                </w:tcPr>
                <w:p w14:paraId="75084CB9">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2C2B83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910" w:type="dxa"/>
                  <w:vMerge w:val="continue"/>
                  <w:tcBorders>
                    <w:tl2br w:val="nil"/>
                    <w:tr2bl w:val="nil"/>
                  </w:tcBorders>
                  <w:vAlign w:val="center"/>
                </w:tcPr>
                <w:p w14:paraId="4A17C54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35" w:type="dxa"/>
                  <w:tcBorders>
                    <w:tl2br w:val="nil"/>
                    <w:tr2bl w:val="nil"/>
                  </w:tcBorders>
                  <w:shd w:val="clear" w:color="auto" w:fill="auto"/>
                  <w:vAlign w:val="center"/>
                </w:tcPr>
                <w:p w14:paraId="4844EB48">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硫酸雾</w:t>
                  </w:r>
                </w:p>
              </w:tc>
              <w:tc>
                <w:tcPr>
                  <w:tcW w:w="1074" w:type="dxa"/>
                  <w:tcBorders>
                    <w:tl2br w:val="nil"/>
                    <w:tr2bl w:val="nil"/>
                  </w:tcBorders>
                  <w:vAlign w:val="center"/>
                </w:tcPr>
                <w:p w14:paraId="28525B50">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0.004</w:t>
                  </w:r>
                </w:p>
              </w:tc>
              <w:tc>
                <w:tcPr>
                  <w:tcW w:w="1074" w:type="dxa"/>
                  <w:tcBorders>
                    <w:tl2br w:val="nil"/>
                    <w:tr2bl w:val="nil"/>
                  </w:tcBorders>
                  <w:vAlign w:val="center"/>
                </w:tcPr>
                <w:p w14:paraId="2DA730E8">
                  <w:pPr>
                    <w:keepNext w:val="0"/>
                    <w:keepLines w:val="0"/>
                    <w:widowControl/>
                    <w:suppressLineNumbers w:val="0"/>
                    <w:jc w:val="center"/>
                    <w:textAlignment w:val="center"/>
                    <w:rPr>
                      <w:rFonts w:hint="eastAsia"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w:t>
                  </w:r>
                  <w:r>
                    <w:rPr>
                      <w:rFonts w:hint="eastAsia" w:ascii="Times New Roman" w:hAnsi="Times New Roman" w:eastAsia="宋体" w:cs="Times New Roman"/>
                      <w:i w:val="0"/>
                      <w:iCs w:val="0"/>
                      <w:color w:val="auto"/>
                      <w:kern w:val="0"/>
                      <w:sz w:val="21"/>
                      <w:szCs w:val="21"/>
                      <w:u w:val="none"/>
                      <w:lang w:val="en-US" w:eastAsia="zh-CN" w:bidi="ar"/>
                    </w:rPr>
                    <w:t>4</w:t>
                  </w:r>
                </w:p>
              </w:tc>
              <w:tc>
                <w:tcPr>
                  <w:tcW w:w="1074" w:type="dxa"/>
                  <w:tcBorders>
                    <w:tl2br w:val="nil"/>
                    <w:tr2bl w:val="nil"/>
                  </w:tcBorders>
                  <w:vAlign w:val="center"/>
                </w:tcPr>
                <w:p w14:paraId="4E980790">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5.0</w:t>
                  </w:r>
                </w:p>
              </w:tc>
              <w:tc>
                <w:tcPr>
                  <w:tcW w:w="1075" w:type="dxa"/>
                  <w:tcBorders>
                    <w:tl2br w:val="nil"/>
                    <w:tr2bl w:val="nil"/>
                  </w:tcBorders>
                  <w:vAlign w:val="center"/>
                </w:tcPr>
                <w:p w14:paraId="54BCFB9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2.62</w:t>
                  </w:r>
                </w:p>
              </w:tc>
              <w:tc>
                <w:tcPr>
                  <w:tcW w:w="1075" w:type="dxa"/>
                  <w:tcBorders>
                    <w:tl2br w:val="nil"/>
                    <w:tr2bl w:val="nil"/>
                  </w:tcBorders>
                  <w:vAlign w:val="center"/>
                </w:tcPr>
                <w:p w14:paraId="4239C309">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r w14:paraId="2511C1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910" w:type="dxa"/>
                  <w:vMerge w:val="continue"/>
                  <w:tcBorders>
                    <w:tl2br w:val="nil"/>
                    <w:tr2bl w:val="nil"/>
                  </w:tcBorders>
                  <w:vAlign w:val="center"/>
                </w:tcPr>
                <w:p w14:paraId="6068AFB2">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p>
              </w:tc>
              <w:tc>
                <w:tcPr>
                  <w:tcW w:w="1135" w:type="dxa"/>
                  <w:tcBorders>
                    <w:tl2br w:val="nil"/>
                    <w:tr2bl w:val="nil"/>
                  </w:tcBorders>
                  <w:shd w:val="clear" w:color="auto" w:fill="auto"/>
                  <w:vAlign w:val="center"/>
                </w:tcPr>
                <w:p w14:paraId="328F82A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bidi="ar-SA"/>
                    </w:rPr>
                    <w:t>氨</w:t>
                  </w:r>
                </w:p>
              </w:tc>
              <w:tc>
                <w:tcPr>
                  <w:tcW w:w="1074" w:type="dxa"/>
                  <w:tcBorders>
                    <w:tl2br w:val="nil"/>
                    <w:tr2bl w:val="nil"/>
                  </w:tcBorders>
                  <w:vAlign w:val="center"/>
                </w:tcPr>
                <w:p w14:paraId="5D3BCF9F">
                  <w:pPr>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eastAsia="宋体" w:cs="Times New Roman"/>
                      <w:color w:val="auto"/>
                      <w:kern w:val="0"/>
                      <w:sz w:val="21"/>
                      <w:szCs w:val="21"/>
                      <w:highlight w:val="none"/>
                      <w:vertAlign w:val="baseline"/>
                      <w:lang w:val="en-US" w:eastAsia="zh-CN"/>
                    </w:rPr>
                    <w:t>0.0</w:t>
                  </w:r>
                  <w:r>
                    <w:rPr>
                      <w:rFonts w:hint="eastAsia" w:cs="Times New Roman"/>
                      <w:color w:val="auto"/>
                      <w:kern w:val="0"/>
                      <w:sz w:val="21"/>
                      <w:szCs w:val="21"/>
                      <w:highlight w:val="none"/>
                      <w:vertAlign w:val="baseline"/>
                      <w:lang w:val="en-US" w:eastAsia="zh-CN"/>
                    </w:rPr>
                    <w:t>68</w:t>
                  </w:r>
                </w:p>
              </w:tc>
              <w:tc>
                <w:tcPr>
                  <w:tcW w:w="1074" w:type="dxa"/>
                  <w:tcBorders>
                    <w:tl2br w:val="nil"/>
                    <w:tr2bl w:val="nil"/>
                  </w:tcBorders>
                  <w:vAlign w:val="center"/>
                </w:tcPr>
                <w:p w14:paraId="5958DBF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w:t>
                  </w:r>
                  <w:r>
                    <w:rPr>
                      <w:rFonts w:hint="eastAsia" w:cs="Times New Roman"/>
                      <w:i w:val="0"/>
                      <w:iCs w:val="0"/>
                      <w:color w:val="000000"/>
                      <w:kern w:val="0"/>
                      <w:sz w:val="21"/>
                      <w:szCs w:val="21"/>
                      <w:u w:val="none"/>
                      <w:lang w:val="en-US" w:eastAsia="zh-CN" w:bidi="ar"/>
                    </w:rPr>
                    <w:t>68</w:t>
                  </w:r>
                </w:p>
              </w:tc>
              <w:tc>
                <w:tcPr>
                  <w:tcW w:w="1074" w:type="dxa"/>
                  <w:tcBorders>
                    <w:tl2br w:val="nil"/>
                    <w:tr2bl w:val="nil"/>
                  </w:tcBorders>
                  <w:vAlign w:val="center"/>
                </w:tcPr>
                <w:p w14:paraId="63027B3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10</w:t>
                  </w:r>
                </w:p>
              </w:tc>
              <w:tc>
                <w:tcPr>
                  <w:tcW w:w="1075" w:type="dxa"/>
                  <w:tcBorders>
                    <w:tl2br w:val="nil"/>
                    <w:tr2bl w:val="nil"/>
                  </w:tcBorders>
                  <w:vAlign w:val="center"/>
                </w:tcPr>
                <w:p w14:paraId="561CC661">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1.76</w:t>
                  </w:r>
                </w:p>
              </w:tc>
              <w:tc>
                <w:tcPr>
                  <w:tcW w:w="1075" w:type="dxa"/>
                  <w:tcBorders>
                    <w:tl2br w:val="nil"/>
                    <w:tr2bl w:val="nil"/>
                  </w:tcBorders>
                  <w:vAlign w:val="center"/>
                </w:tcPr>
                <w:p w14:paraId="39CCEC1A">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达标</w:t>
                  </w:r>
                </w:p>
              </w:tc>
            </w:tr>
          </w:tbl>
          <w:p w14:paraId="53B868B9">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由上表可知，项目有组织排放各污染物排放浓度和速率满足《大气污染物综合排放标准》（DB11/501-2017）中表3</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生产工艺废气及其他废气大气污染物排放限值</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，可达标排放。</w:t>
            </w:r>
          </w:p>
          <w:p w14:paraId="0555CEE1">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w:t>
            </w:r>
            <w:r>
              <w:rPr>
                <w:rFonts w:hint="eastAsia"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）非正常</w:t>
            </w:r>
            <w:r>
              <w:rPr>
                <w:rFonts w:hint="default" w:ascii="Times New Roman" w:hAnsi="Times New Roman" w:eastAsia="宋体" w:cs="Times New Roman"/>
                <w:b/>
                <w:bCs/>
                <w:color w:val="auto"/>
                <w:sz w:val="24"/>
                <w:highlight w:val="none"/>
                <w:lang w:val="en-US" w:eastAsia="zh-CN"/>
              </w:rPr>
              <w:t>排放情况</w:t>
            </w:r>
          </w:p>
          <w:p w14:paraId="45AEF6B9">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本项目主要考虑</w:t>
            </w:r>
            <w:r>
              <w:rPr>
                <w:rFonts w:hint="eastAsia" w:cs="Times New Roman"/>
                <w:color w:val="auto"/>
                <w:sz w:val="24"/>
                <w:highlight w:val="none"/>
                <w:lang w:val="en-US" w:eastAsia="zh-CN"/>
              </w:rPr>
              <w:t>由于</w:t>
            </w:r>
            <w:r>
              <w:rPr>
                <w:rFonts w:hint="default" w:ascii="Times New Roman" w:hAnsi="Times New Roman" w:eastAsia="宋体" w:cs="Times New Roman"/>
                <w:color w:val="auto"/>
                <w:sz w:val="24"/>
                <w:highlight w:val="none"/>
              </w:rPr>
              <w:t>废气处理装置运转不正常造成的非正常排放情况，即废气处理装置对废气净化效率</w:t>
            </w:r>
            <w:r>
              <w:rPr>
                <w:rFonts w:hint="default" w:ascii="Times New Roman" w:hAnsi="Times New Roman" w:eastAsia="宋体" w:cs="Times New Roman"/>
                <w:color w:val="auto"/>
                <w:sz w:val="24"/>
                <w:highlight w:val="none"/>
                <w:lang w:val="en-US" w:eastAsia="zh-CN"/>
              </w:rPr>
              <w:t>为0</w:t>
            </w:r>
            <w:r>
              <w:rPr>
                <w:rFonts w:hint="default" w:ascii="Times New Roman" w:hAnsi="Times New Roman" w:eastAsia="宋体" w:cs="Times New Roman"/>
                <w:color w:val="auto"/>
                <w:sz w:val="24"/>
                <w:highlight w:val="none"/>
              </w:rPr>
              <w:t>时的污染物排放情况，事故处理时间为1h，年发生频次为1次/年。项目建成后，非正常排放参数详见下表。</w:t>
            </w:r>
          </w:p>
          <w:p w14:paraId="3A521BC5">
            <w:pPr>
              <w:keepNext w:val="0"/>
              <w:keepLines w:val="0"/>
              <w:widowControl/>
              <w:numPr>
                <w:ilvl w:val="0"/>
                <w:numId w:val="32"/>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非正常工况排放情况一览表</w:t>
            </w:r>
          </w:p>
          <w:tbl>
            <w:tblPr>
              <w:tblStyle w:val="24"/>
              <w:tblW w:w="75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9"/>
              <w:gridCol w:w="891"/>
              <w:gridCol w:w="1253"/>
              <w:gridCol w:w="1033"/>
              <w:gridCol w:w="961"/>
              <w:gridCol w:w="803"/>
              <w:gridCol w:w="768"/>
              <w:gridCol w:w="833"/>
              <w:gridCol w:w="658"/>
            </w:tblGrid>
            <w:tr w14:paraId="56F67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39" w:hRule="atLeast"/>
                <w:jc w:val="center"/>
              </w:trPr>
              <w:tc>
                <w:tcPr>
                  <w:tcW w:w="349" w:type="dxa"/>
                  <w:tcBorders>
                    <w:tl2br w:val="nil"/>
                    <w:tr2bl w:val="nil"/>
                  </w:tcBorders>
                  <w:shd w:val="clear" w:color="auto" w:fill="auto"/>
                  <w:tcMar>
                    <w:top w:w="0" w:type="dxa"/>
                    <w:left w:w="0" w:type="dxa"/>
                    <w:bottom w:w="0" w:type="dxa"/>
                    <w:right w:w="0" w:type="dxa"/>
                  </w:tcMar>
                  <w:vAlign w:val="center"/>
                </w:tcPr>
                <w:p w14:paraId="2A21FDFE">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排放源</w:t>
                  </w:r>
                </w:p>
              </w:tc>
              <w:tc>
                <w:tcPr>
                  <w:tcW w:w="891" w:type="dxa"/>
                  <w:tcBorders>
                    <w:tl2br w:val="nil"/>
                    <w:tr2bl w:val="nil"/>
                  </w:tcBorders>
                  <w:shd w:val="clear" w:color="auto" w:fill="auto"/>
                  <w:tcMar>
                    <w:top w:w="0" w:type="dxa"/>
                    <w:left w:w="0" w:type="dxa"/>
                    <w:bottom w:w="0" w:type="dxa"/>
                    <w:right w:w="0" w:type="dxa"/>
                  </w:tcMar>
                  <w:vAlign w:val="center"/>
                </w:tcPr>
                <w:p w14:paraId="5B2F9571">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非正常排放原因</w:t>
                  </w:r>
                </w:p>
              </w:tc>
              <w:tc>
                <w:tcPr>
                  <w:tcW w:w="1253" w:type="dxa"/>
                  <w:tcBorders>
                    <w:tl2br w:val="nil"/>
                    <w:tr2bl w:val="nil"/>
                  </w:tcBorders>
                  <w:shd w:val="clear" w:color="auto" w:fill="auto"/>
                  <w:tcMar>
                    <w:top w:w="0" w:type="dxa"/>
                    <w:left w:w="0" w:type="dxa"/>
                    <w:bottom w:w="0" w:type="dxa"/>
                    <w:right w:w="0" w:type="dxa"/>
                  </w:tcMar>
                  <w:vAlign w:val="center"/>
                </w:tcPr>
                <w:p w14:paraId="66AAC8E2">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污染物</w:t>
                  </w:r>
                </w:p>
              </w:tc>
              <w:tc>
                <w:tcPr>
                  <w:tcW w:w="1033" w:type="dxa"/>
                  <w:tcBorders>
                    <w:tl2br w:val="nil"/>
                    <w:tr2bl w:val="nil"/>
                  </w:tcBorders>
                  <w:shd w:val="clear" w:color="auto" w:fill="auto"/>
                  <w:tcMar>
                    <w:top w:w="0" w:type="dxa"/>
                    <w:left w:w="0" w:type="dxa"/>
                    <w:bottom w:w="0" w:type="dxa"/>
                    <w:right w:w="0" w:type="dxa"/>
                  </w:tcMar>
                  <w:vAlign w:val="center"/>
                </w:tcPr>
                <w:p w14:paraId="15C59DE1">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非正常排放浓度</w:t>
                  </w:r>
                  <w:r>
                    <w:rPr>
                      <w:rFonts w:hint="default" w:ascii="Times New Roman" w:hAnsi="Times New Roman" w:eastAsia="宋体" w:cs="Times New Roman"/>
                      <w:b/>
                      <w:color w:val="auto"/>
                      <w:sz w:val="22"/>
                      <w:szCs w:val="22"/>
                      <w:highlight w:val="none"/>
                    </w:rPr>
                    <w:t>（mg/m</w:t>
                  </w:r>
                  <w:r>
                    <w:rPr>
                      <w:rFonts w:hint="default" w:ascii="Times New Roman" w:hAnsi="Times New Roman" w:eastAsia="宋体" w:cs="Times New Roman"/>
                      <w:b/>
                      <w:color w:val="auto"/>
                      <w:sz w:val="22"/>
                      <w:szCs w:val="22"/>
                      <w:highlight w:val="none"/>
                      <w:vertAlign w:val="superscript"/>
                    </w:rPr>
                    <w:t>3</w:t>
                  </w:r>
                  <w:r>
                    <w:rPr>
                      <w:rFonts w:hint="default" w:ascii="Times New Roman" w:hAnsi="Times New Roman" w:eastAsia="宋体" w:cs="Times New Roman"/>
                      <w:b/>
                      <w:color w:val="auto"/>
                      <w:sz w:val="22"/>
                      <w:szCs w:val="22"/>
                      <w:highlight w:val="none"/>
                    </w:rPr>
                    <w:t>）</w:t>
                  </w:r>
                </w:p>
              </w:tc>
              <w:tc>
                <w:tcPr>
                  <w:tcW w:w="961" w:type="dxa"/>
                  <w:tcBorders>
                    <w:tl2br w:val="nil"/>
                    <w:tr2bl w:val="nil"/>
                  </w:tcBorders>
                  <w:shd w:val="clear" w:color="auto" w:fill="auto"/>
                  <w:tcMar>
                    <w:top w:w="0" w:type="dxa"/>
                    <w:left w:w="0" w:type="dxa"/>
                    <w:bottom w:w="0" w:type="dxa"/>
                    <w:right w:w="0" w:type="dxa"/>
                  </w:tcMar>
                  <w:vAlign w:val="center"/>
                </w:tcPr>
                <w:p w14:paraId="34638A4D">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非正常排放速率（kg/h）</w:t>
                  </w:r>
                </w:p>
              </w:tc>
              <w:tc>
                <w:tcPr>
                  <w:tcW w:w="803" w:type="dxa"/>
                  <w:tcBorders>
                    <w:tl2br w:val="nil"/>
                    <w:tr2bl w:val="nil"/>
                  </w:tcBorders>
                  <w:shd w:val="clear" w:color="auto" w:fill="auto"/>
                  <w:tcMar>
                    <w:top w:w="0" w:type="dxa"/>
                    <w:left w:w="0" w:type="dxa"/>
                    <w:bottom w:w="0" w:type="dxa"/>
                    <w:right w:w="0" w:type="dxa"/>
                  </w:tcMar>
                  <w:vAlign w:val="center"/>
                </w:tcPr>
                <w:p w14:paraId="79E33C95">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单次持续时间(h)</w:t>
                  </w:r>
                </w:p>
              </w:tc>
              <w:tc>
                <w:tcPr>
                  <w:tcW w:w="768" w:type="dxa"/>
                  <w:tcBorders>
                    <w:tl2br w:val="nil"/>
                    <w:tr2bl w:val="nil"/>
                  </w:tcBorders>
                  <w:shd w:val="clear" w:color="auto" w:fill="auto"/>
                  <w:tcMar>
                    <w:top w:w="0" w:type="dxa"/>
                    <w:left w:w="0" w:type="dxa"/>
                    <w:bottom w:w="0" w:type="dxa"/>
                    <w:right w:w="0" w:type="dxa"/>
                  </w:tcMar>
                  <w:vAlign w:val="center"/>
                </w:tcPr>
                <w:p w14:paraId="21EDBD9D">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年发生频次（次）</w:t>
                  </w:r>
                </w:p>
              </w:tc>
              <w:tc>
                <w:tcPr>
                  <w:tcW w:w="833" w:type="dxa"/>
                  <w:tcBorders>
                    <w:tl2br w:val="nil"/>
                    <w:tr2bl w:val="nil"/>
                  </w:tcBorders>
                  <w:shd w:val="clear" w:color="auto" w:fill="auto"/>
                  <w:tcMar>
                    <w:top w:w="0" w:type="dxa"/>
                    <w:left w:w="0" w:type="dxa"/>
                    <w:bottom w:w="0" w:type="dxa"/>
                    <w:right w:w="0" w:type="dxa"/>
                  </w:tcMar>
                  <w:vAlign w:val="center"/>
                </w:tcPr>
                <w:p w14:paraId="5C2720F3">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非正常排放量（kg/a）</w:t>
                  </w:r>
                </w:p>
              </w:tc>
              <w:tc>
                <w:tcPr>
                  <w:tcW w:w="658" w:type="dxa"/>
                  <w:tcBorders>
                    <w:tl2br w:val="nil"/>
                    <w:tr2bl w:val="nil"/>
                  </w:tcBorders>
                  <w:shd w:val="clear" w:color="auto" w:fill="auto"/>
                  <w:tcMar>
                    <w:top w:w="0" w:type="dxa"/>
                    <w:left w:w="0" w:type="dxa"/>
                    <w:bottom w:w="0" w:type="dxa"/>
                    <w:right w:w="0" w:type="dxa"/>
                  </w:tcMar>
                  <w:vAlign w:val="center"/>
                </w:tcPr>
                <w:p w14:paraId="56A22313">
                  <w:pPr>
                    <w:adjustRightInd w:val="0"/>
                    <w:jc w:val="center"/>
                    <w:rPr>
                      <w:rFonts w:hint="default" w:ascii="Times New Roman" w:hAnsi="Times New Roman" w:eastAsia="宋体" w:cs="Times New Roman"/>
                      <w:b/>
                      <w:bCs/>
                      <w:color w:val="auto"/>
                      <w:sz w:val="22"/>
                      <w:szCs w:val="22"/>
                      <w:highlight w:val="none"/>
                    </w:rPr>
                  </w:pPr>
                  <w:r>
                    <w:rPr>
                      <w:rFonts w:hint="default" w:ascii="Times New Roman" w:hAnsi="Times New Roman" w:eastAsia="宋体" w:cs="Times New Roman"/>
                      <w:b/>
                      <w:bCs/>
                      <w:color w:val="auto"/>
                      <w:sz w:val="22"/>
                      <w:szCs w:val="22"/>
                      <w:highlight w:val="none"/>
                    </w:rPr>
                    <w:t>应对措施</w:t>
                  </w:r>
                </w:p>
              </w:tc>
            </w:tr>
            <w:tr w14:paraId="76460F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6" w:hRule="atLeast"/>
                <w:jc w:val="center"/>
              </w:trPr>
              <w:tc>
                <w:tcPr>
                  <w:tcW w:w="349" w:type="dxa"/>
                  <w:vMerge w:val="restart"/>
                  <w:tcBorders>
                    <w:tl2br w:val="nil"/>
                    <w:tr2bl w:val="nil"/>
                  </w:tcBorders>
                  <w:shd w:val="clear" w:color="auto" w:fill="auto"/>
                  <w:tcMar>
                    <w:top w:w="0" w:type="dxa"/>
                    <w:left w:w="0" w:type="dxa"/>
                    <w:bottom w:w="0" w:type="dxa"/>
                    <w:right w:w="0" w:type="dxa"/>
                  </w:tcMar>
                  <w:vAlign w:val="center"/>
                </w:tcPr>
                <w:p w14:paraId="4CC62BB4">
                  <w:pPr>
                    <w:adjustRightIn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DA001</w:t>
                  </w:r>
                </w:p>
                <w:p w14:paraId="45E6D6D3">
                  <w:pPr>
                    <w:adjustRightInd w:val="0"/>
                    <w:jc w:val="center"/>
                    <w:rPr>
                      <w:rFonts w:hint="default" w:ascii="Times New Roman" w:hAnsi="Times New Roman" w:eastAsia="宋体" w:cs="Times New Roman"/>
                      <w:color w:val="auto"/>
                      <w:sz w:val="22"/>
                      <w:szCs w:val="22"/>
                      <w:highlight w:val="none"/>
                      <w:lang w:val="en-US" w:eastAsia="zh-CN"/>
                    </w:rPr>
                  </w:pPr>
                </w:p>
              </w:tc>
              <w:tc>
                <w:tcPr>
                  <w:tcW w:w="891" w:type="dxa"/>
                  <w:vMerge w:val="restart"/>
                  <w:tcBorders>
                    <w:tl2br w:val="nil"/>
                    <w:tr2bl w:val="nil"/>
                  </w:tcBorders>
                  <w:shd w:val="clear" w:color="auto" w:fill="auto"/>
                  <w:tcMar>
                    <w:top w:w="0" w:type="dxa"/>
                    <w:left w:w="0" w:type="dxa"/>
                    <w:bottom w:w="0" w:type="dxa"/>
                    <w:right w:w="0" w:type="dxa"/>
                  </w:tcMar>
                  <w:vAlign w:val="center"/>
                </w:tcPr>
                <w:p w14:paraId="685AB200">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废气处理装置运转不正常</w:t>
                  </w:r>
                </w:p>
              </w:tc>
              <w:tc>
                <w:tcPr>
                  <w:tcW w:w="1253" w:type="dxa"/>
                  <w:tcBorders>
                    <w:tl2br w:val="nil"/>
                    <w:tr2bl w:val="nil"/>
                  </w:tcBorders>
                  <w:shd w:val="clear" w:color="auto" w:fill="auto"/>
                  <w:tcMar>
                    <w:top w:w="0" w:type="dxa"/>
                    <w:left w:w="0" w:type="dxa"/>
                    <w:bottom w:w="0" w:type="dxa"/>
                    <w:right w:w="0" w:type="dxa"/>
                  </w:tcMar>
                  <w:vAlign w:val="center"/>
                </w:tcPr>
                <w:p w14:paraId="71F83570">
                  <w:pPr>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rPr>
                    <w:t>甲醇</w:t>
                  </w:r>
                </w:p>
              </w:tc>
              <w:tc>
                <w:tcPr>
                  <w:tcW w:w="1033" w:type="dxa"/>
                  <w:tcBorders>
                    <w:tl2br w:val="nil"/>
                    <w:tr2bl w:val="nil"/>
                  </w:tcBorders>
                  <w:shd w:val="clear" w:color="auto" w:fill="auto"/>
                  <w:tcMar>
                    <w:top w:w="0" w:type="dxa"/>
                    <w:left w:w="0" w:type="dxa"/>
                    <w:bottom w:w="0" w:type="dxa"/>
                    <w:right w:w="0" w:type="dxa"/>
                  </w:tcMar>
                  <w:vAlign w:val="center"/>
                </w:tcPr>
                <w:p w14:paraId="20C50B9F">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0.0002</w:t>
                  </w:r>
                </w:p>
              </w:tc>
              <w:tc>
                <w:tcPr>
                  <w:tcW w:w="961" w:type="dxa"/>
                  <w:tcBorders>
                    <w:tl2br w:val="nil"/>
                    <w:tr2bl w:val="nil"/>
                  </w:tcBorders>
                  <w:shd w:val="clear" w:color="auto" w:fill="auto"/>
                  <w:tcMar>
                    <w:top w:w="0" w:type="dxa"/>
                    <w:left w:w="0" w:type="dxa"/>
                    <w:bottom w:w="0" w:type="dxa"/>
                    <w:right w:w="0" w:type="dxa"/>
                  </w:tcMar>
                  <w:vAlign w:val="center"/>
                </w:tcPr>
                <w:p w14:paraId="7003C6A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0.000002</w:t>
                  </w:r>
                </w:p>
              </w:tc>
              <w:tc>
                <w:tcPr>
                  <w:tcW w:w="803" w:type="dxa"/>
                  <w:tcBorders>
                    <w:tl2br w:val="nil"/>
                    <w:tr2bl w:val="nil"/>
                  </w:tcBorders>
                  <w:shd w:val="clear" w:color="auto" w:fill="auto"/>
                  <w:tcMar>
                    <w:top w:w="0" w:type="dxa"/>
                    <w:left w:w="0" w:type="dxa"/>
                    <w:bottom w:w="0" w:type="dxa"/>
                    <w:right w:w="0" w:type="dxa"/>
                  </w:tcMar>
                  <w:vAlign w:val="center"/>
                </w:tcPr>
                <w:p w14:paraId="47BC9D26">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61C2DB24">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443FA0B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0.000002</w:t>
                  </w:r>
                </w:p>
              </w:tc>
              <w:tc>
                <w:tcPr>
                  <w:tcW w:w="658" w:type="dxa"/>
                  <w:vMerge w:val="restart"/>
                  <w:tcBorders>
                    <w:tl2br w:val="nil"/>
                    <w:tr2bl w:val="nil"/>
                  </w:tcBorders>
                  <w:shd w:val="clear" w:color="auto" w:fill="auto"/>
                  <w:tcMar>
                    <w:top w:w="0" w:type="dxa"/>
                    <w:left w:w="0" w:type="dxa"/>
                    <w:bottom w:w="0" w:type="dxa"/>
                    <w:right w:w="0" w:type="dxa"/>
                  </w:tcMar>
                  <w:vAlign w:val="center"/>
                </w:tcPr>
                <w:p w14:paraId="7E2D9579">
                  <w:pPr>
                    <w:widowControl/>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发现故障应立即停工检修</w:t>
                  </w:r>
                </w:p>
              </w:tc>
            </w:tr>
            <w:tr w14:paraId="0537F4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4FE6FD7D">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21554B80">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6E33922D">
                  <w:pPr>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lang w:val="en-US" w:eastAsia="zh-CN"/>
                    </w:rPr>
                    <w:t>其他C类物质（</w:t>
                  </w:r>
                  <w:r>
                    <w:rPr>
                      <w:rFonts w:hint="eastAsia"/>
                    </w:rPr>
                    <w:t>丙酮</w:t>
                  </w:r>
                  <w:r>
                    <w:rPr>
                      <w:rFonts w:hint="eastAsia"/>
                      <w:lang w:val="en-US" w:eastAsia="zh-CN"/>
                    </w:rPr>
                    <w:t>）</w:t>
                  </w:r>
                </w:p>
              </w:tc>
              <w:tc>
                <w:tcPr>
                  <w:tcW w:w="1033" w:type="dxa"/>
                  <w:tcBorders>
                    <w:tl2br w:val="nil"/>
                    <w:tr2bl w:val="nil"/>
                  </w:tcBorders>
                  <w:shd w:val="clear" w:color="auto" w:fill="auto"/>
                  <w:tcMar>
                    <w:top w:w="0" w:type="dxa"/>
                    <w:left w:w="0" w:type="dxa"/>
                    <w:bottom w:w="0" w:type="dxa"/>
                    <w:right w:w="0" w:type="dxa"/>
                  </w:tcMar>
                  <w:vAlign w:val="center"/>
                </w:tcPr>
                <w:p w14:paraId="0221C4F3">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0.03</w:t>
                  </w:r>
                </w:p>
              </w:tc>
              <w:tc>
                <w:tcPr>
                  <w:tcW w:w="961" w:type="dxa"/>
                  <w:tcBorders>
                    <w:tl2br w:val="nil"/>
                    <w:tr2bl w:val="nil"/>
                  </w:tcBorders>
                  <w:shd w:val="clear" w:color="auto" w:fill="auto"/>
                  <w:tcMar>
                    <w:top w:w="0" w:type="dxa"/>
                    <w:left w:w="0" w:type="dxa"/>
                    <w:bottom w:w="0" w:type="dxa"/>
                    <w:right w:w="0" w:type="dxa"/>
                  </w:tcMar>
                  <w:vAlign w:val="center"/>
                </w:tcPr>
                <w:p w14:paraId="67E5A71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0.0003</w:t>
                  </w:r>
                </w:p>
              </w:tc>
              <w:tc>
                <w:tcPr>
                  <w:tcW w:w="803" w:type="dxa"/>
                  <w:tcBorders>
                    <w:tl2br w:val="nil"/>
                    <w:tr2bl w:val="nil"/>
                  </w:tcBorders>
                  <w:shd w:val="clear" w:color="auto" w:fill="auto"/>
                  <w:tcMar>
                    <w:top w:w="0" w:type="dxa"/>
                    <w:left w:w="0" w:type="dxa"/>
                    <w:bottom w:w="0" w:type="dxa"/>
                    <w:right w:w="0" w:type="dxa"/>
                  </w:tcMar>
                  <w:vAlign w:val="center"/>
                </w:tcPr>
                <w:p w14:paraId="23C0F988">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6EFCC617">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08EB159F">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0.0003</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374953BE">
                  <w:pPr>
                    <w:adjustRightInd w:val="0"/>
                    <w:jc w:val="center"/>
                    <w:rPr>
                      <w:rFonts w:hint="default" w:ascii="Times New Roman" w:hAnsi="Times New Roman" w:eastAsia="宋体" w:cs="Times New Roman"/>
                      <w:bCs/>
                      <w:color w:val="auto"/>
                      <w:sz w:val="22"/>
                      <w:szCs w:val="22"/>
                      <w:highlight w:val="none"/>
                    </w:rPr>
                  </w:pPr>
                </w:p>
              </w:tc>
            </w:tr>
            <w:tr w14:paraId="42E54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65AC6745">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2E875C5E">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2B6DD422">
                  <w:pPr>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lang w:val="en-US" w:eastAsia="zh-CN"/>
                    </w:rPr>
                    <w:t>其他C类物质（</w:t>
                  </w:r>
                  <w:r>
                    <w:rPr>
                      <w:rFonts w:hint="eastAsia"/>
                    </w:rPr>
                    <w:t>正己烷</w:t>
                  </w:r>
                  <w:r>
                    <w:rPr>
                      <w:rFonts w:hint="eastAsia"/>
                      <w:lang w:val="en-US" w:eastAsia="zh-CN"/>
                    </w:rPr>
                    <w:t>）</w:t>
                  </w:r>
                </w:p>
              </w:tc>
              <w:tc>
                <w:tcPr>
                  <w:tcW w:w="1033" w:type="dxa"/>
                  <w:tcBorders>
                    <w:tl2br w:val="nil"/>
                    <w:tr2bl w:val="nil"/>
                  </w:tcBorders>
                  <w:shd w:val="clear" w:color="auto" w:fill="auto"/>
                  <w:tcMar>
                    <w:top w:w="0" w:type="dxa"/>
                    <w:left w:w="0" w:type="dxa"/>
                    <w:bottom w:w="0" w:type="dxa"/>
                    <w:right w:w="0" w:type="dxa"/>
                  </w:tcMar>
                  <w:vAlign w:val="center"/>
                </w:tcPr>
                <w:p w14:paraId="0A5934D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0.03</w:t>
                  </w:r>
                </w:p>
              </w:tc>
              <w:tc>
                <w:tcPr>
                  <w:tcW w:w="961" w:type="dxa"/>
                  <w:tcBorders>
                    <w:tl2br w:val="nil"/>
                    <w:tr2bl w:val="nil"/>
                  </w:tcBorders>
                  <w:shd w:val="clear" w:color="auto" w:fill="auto"/>
                  <w:tcMar>
                    <w:top w:w="0" w:type="dxa"/>
                    <w:left w:w="0" w:type="dxa"/>
                    <w:bottom w:w="0" w:type="dxa"/>
                    <w:right w:w="0" w:type="dxa"/>
                  </w:tcMar>
                  <w:vAlign w:val="center"/>
                </w:tcPr>
                <w:p w14:paraId="585E57FF">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0.0003</w:t>
                  </w:r>
                </w:p>
              </w:tc>
              <w:tc>
                <w:tcPr>
                  <w:tcW w:w="803" w:type="dxa"/>
                  <w:tcBorders>
                    <w:tl2br w:val="nil"/>
                    <w:tr2bl w:val="nil"/>
                  </w:tcBorders>
                  <w:shd w:val="clear" w:color="auto" w:fill="auto"/>
                  <w:tcMar>
                    <w:top w:w="0" w:type="dxa"/>
                    <w:left w:w="0" w:type="dxa"/>
                    <w:bottom w:w="0" w:type="dxa"/>
                    <w:right w:w="0" w:type="dxa"/>
                  </w:tcMar>
                  <w:vAlign w:val="center"/>
                </w:tcPr>
                <w:p w14:paraId="69C14FCD">
                  <w:pPr>
                    <w:adjustRightIn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445E3897">
                  <w:pPr>
                    <w:adjustRightIn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7C165C16">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0.0003</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5FB34C35">
                  <w:pPr>
                    <w:adjustRightInd w:val="0"/>
                    <w:jc w:val="center"/>
                    <w:rPr>
                      <w:rFonts w:hint="default" w:ascii="Times New Roman" w:hAnsi="Times New Roman" w:eastAsia="宋体" w:cs="Times New Roman"/>
                      <w:bCs/>
                      <w:color w:val="auto"/>
                      <w:sz w:val="22"/>
                      <w:szCs w:val="22"/>
                      <w:highlight w:val="none"/>
                    </w:rPr>
                  </w:pPr>
                </w:p>
              </w:tc>
            </w:tr>
            <w:tr w14:paraId="2C3E5D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16E25E15">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044C5848">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15F5F190">
                  <w:pPr>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lang w:val="en-US" w:eastAsia="zh-CN"/>
                    </w:rPr>
                    <w:t>其他A类物质（</w:t>
                  </w:r>
                  <w:r>
                    <w:rPr>
                      <w:rFonts w:hint="eastAsia"/>
                    </w:rPr>
                    <w:t>三氯甲烷</w:t>
                  </w:r>
                  <w:r>
                    <w:rPr>
                      <w:rFonts w:hint="eastAsia"/>
                      <w:lang w:val="en-US" w:eastAsia="zh-CN"/>
                    </w:rPr>
                    <w:t>）</w:t>
                  </w:r>
                </w:p>
              </w:tc>
              <w:tc>
                <w:tcPr>
                  <w:tcW w:w="1033" w:type="dxa"/>
                  <w:tcBorders>
                    <w:tl2br w:val="nil"/>
                    <w:tr2bl w:val="nil"/>
                  </w:tcBorders>
                  <w:shd w:val="clear" w:color="auto" w:fill="auto"/>
                  <w:tcMar>
                    <w:top w:w="0" w:type="dxa"/>
                    <w:left w:w="0" w:type="dxa"/>
                    <w:bottom w:w="0" w:type="dxa"/>
                    <w:right w:w="0" w:type="dxa"/>
                  </w:tcMar>
                  <w:vAlign w:val="center"/>
                </w:tcPr>
                <w:p w14:paraId="53539F6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1.140</w:t>
                  </w:r>
                </w:p>
              </w:tc>
              <w:tc>
                <w:tcPr>
                  <w:tcW w:w="961" w:type="dxa"/>
                  <w:tcBorders>
                    <w:tl2br w:val="nil"/>
                    <w:tr2bl w:val="nil"/>
                  </w:tcBorders>
                  <w:shd w:val="clear" w:color="auto" w:fill="auto"/>
                  <w:tcMar>
                    <w:top w:w="0" w:type="dxa"/>
                    <w:left w:w="0" w:type="dxa"/>
                    <w:bottom w:w="0" w:type="dxa"/>
                    <w:right w:w="0" w:type="dxa"/>
                  </w:tcMar>
                  <w:vAlign w:val="center"/>
                </w:tcPr>
                <w:p w14:paraId="627D8D0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0.0114</w:t>
                  </w:r>
                </w:p>
              </w:tc>
              <w:tc>
                <w:tcPr>
                  <w:tcW w:w="803" w:type="dxa"/>
                  <w:tcBorders>
                    <w:tl2br w:val="nil"/>
                    <w:tr2bl w:val="nil"/>
                  </w:tcBorders>
                  <w:shd w:val="clear" w:color="auto" w:fill="auto"/>
                  <w:tcMar>
                    <w:top w:w="0" w:type="dxa"/>
                    <w:left w:w="0" w:type="dxa"/>
                    <w:bottom w:w="0" w:type="dxa"/>
                    <w:right w:w="0" w:type="dxa"/>
                  </w:tcMar>
                  <w:vAlign w:val="center"/>
                </w:tcPr>
                <w:p w14:paraId="69F86F15">
                  <w:pPr>
                    <w:adjustRightIn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7CFBAE42">
                  <w:pPr>
                    <w:adjustRightInd w:val="0"/>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4FEA6D85">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0.0114</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500EFFED">
                  <w:pPr>
                    <w:adjustRightInd w:val="0"/>
                    <w:jc w:val="center"/>
                    <w:rPr>
                      <w:rFonts w:hint="default" w:ascii="Times New Roman" w:hAnsi="Times New Roman" w:eastAsia="宋体" w:cs="Times New Roman"/>
                      <w:bCs/>
                      <w:color w:val="auto"/>
                      <w:sz w:val="22"/>
                      <w:szCs w:val="22"/>
                      <w:highlight w:val="none"/>
                    </w:rPr>
                  </w:pPr>
                </w:p>
              </w:tc>
            </w:tr>
            <w:tr w14:paraId="7C681F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00A27A10">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6865360F">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057B112A">
                  <w:pPr>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lang w:val="en-US" w:eastAsia="zh-CN"/>
                    </w:rPr>
                    <w:t>其他C类物质（</w:t>
                  </w:r>
                  <w:r>
                    <w:rPr>
                      <w:rFonts w:hint="eastAsia"/>
                    </w:rPr>
                    <w:t>四氯乙烯</w:t>
                  </w:r>
                  <w:r>
                    <w:rPr>
                      <w:rFonts w:hint="eastAsia"/>
                      <w:lang w:val="en-US" w:eastAsia="zh-CN"/>
                    </w:rPr>
                    <w:t>）</w:t>
                  </w:r>
                </w:p>
              </w:tc>
              <w:tc>
                <w:tcPr>
                  <w:tcW w:w="1033" w:type="dxa"/>
                  <w:tcBorders>
                    <w:tl2br w:val="nil"/>
                    <w:tr2bl w:val="nil"/>
                  </w:tcBorders>
                  <w:shd w:val="clear" w:color="auto" w:fill="auto"/>
                  <w:tcMar>
                    <w:top w:w="0" w:type="dxa"/>
                    <w:left w:w="0" w:type="dxa"/>
                    <w:bottom w:w="0" w:type="dxa"/>
                    <w:right w:w="0" w:type="dxa"/>
                  </w:tcMar>
                  <w:vAlign w:val="center"/>
                </w:tcPr>
                <w:p w14:paraId="2698C65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1.250</w:t>
                  </w:r>
                </w:p>
              </w:tc>
              <w:tc>
                <w:tcPr>
                  <w:tcW w:w="961" w:type="dxa"/>
                  <w:tcBorders>
                    <w:tl2br w:val="nil"/>
                    <w:tr2bl w:val="nil"/>
                  </w:tcBorders>
                  <w:shd w:val="clear" w:color="auto" w:fill="auto"/>
                  <w:tcMar>
                    <w:top w:w="0" w:type="dxa"/>
                    <w:left w:w="0" w:type="dxa"/>
                    <w:bottom w:w="0" w:type="dxa"/>
                    <w:right w:w="0" w:type="dxa"/>
                  </w:tcMar>
                  <w:vAlign w:val="center"/>
                </w:tcPr>
                <w:p w14:paraId="64DE91CF">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0.0125</w:t>
                  </w:r>
                </w:p>
              </w:tc>
              <w:tc>
                <w:tcPr>
                  <w:tcW w:w="803" w:type="dxa"/>
                  <w:tcBorders>
                    <w:tl2br w:val="nil"/>
                    <w:tr2bl w:val="nil"/>
                  </w:tcBorders>
                  <w:shd w:val="clear" w:color="auto" w:fill="auto"/>
                  <w:tcMar>
                    <w:top w:w="0" w:type="dxa"/>
                    <w:left w:w="0" w:type="dxa"/>
                    <w:bottom w:w="0" w:type="dxa"/>
                    <w:right w:w="0" w:type="dxa"/>
                  </w:tcMar>
                  <w:vAlign w:val="center"/>
                </w:tcPr>
                <w:p w14:paraId="7A9E6235">
                  <w:pPr>
                    <w:adjustRightInd w:val="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2B82F0F6">
                  <w:pPr>
                    <w:adjustRightInd w:val="0"/>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3167571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0.0125</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494E5EB0">
                  <w:pPr>
                    <w:adjustRightInd w:val="0"/>
                    <w:jc w:val="center"/>
                    <w:rPr>
                      <w:rFonts w:hint="default" w:ascii="Times New Roman" w:hAnsi="Times New Roman" w:eastAsia="宋体" w:cs="Times New Roman"/>
                      <w:bCs/>
                      <w:color w:val="auto"/>
                      <w:sz w:val="22"/>
                      <w:szCs w:val="22"/>
                      <w:highlight w:val="none"/>
                    </w:rPr>
                  </w:pPr>
                </w:p>
              </w:tc>
            </w:tr>
            <w:tr w14:paraId="62893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1FAD8B54">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4DAC0E0C">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520AA690">
                  <w:pPr>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lang w:val="en-US" w:eastAsia="zh-CN"/>
                    </w:rPr>
                    <w:t>其他A类物质（乙酸）</w:t>
                  </w:r>
                </w:p>
              </w:tc>
              <w:tc>
                <w:tcPr>
                  <w:tcW w:w="1033" w:type="dxa"/>
                  <w:tcBorders>
                    <w:tl2br w:val="nil"/>
                    <w:tr2bl w:val="nil"/>
                  </w:tcBorders>
                  <w:shd w:val="clear" w:color="auto" w:fill="auto"/>
                  <w:tcMar>
                    <w:top w:w="0" w:type="dxa"/>
                    <w:left w:w="0" w:type="dxa"/>
                    <w:bottom w:w="0" w:type="dxa"/>
                    <w:right w:w="0" w:type="dxa"/>
                  </w:tcMar>
                  <w:vAlign w:val="center"/>
                </w:tcPr>
                <w:p w14:paraId="4DA8F3C3">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0.04</w:t>
                  </w:r>
                </w:p>
              </w:tc>
              <w:tc>
                <w:tcPr>
                  <w:tcW w:w="961" w:type="dxa"/>
                  <w:tcBorders>
                    <w:tl2br w:val="nil"/>
                    <w:tr2bl w:val="nil"/>
                  </w:tcBorders>
                  <w:shd w:val="clear" w:color="auto" w:fill="auto"/>
                  <w:tcMar>
                    <w:top w:w="0" w:type="dxa"/>
                    <w:left w:w="0" w:type="dxa"/>
                    <w:bottom w:w="0" w:type="dxa"/>
                    <w:right w:w="0" w:type="dxa"/>
                  </w:tcMar>
                  <w:vAlign w:val="center"/>
                </w:tcPr>
                <w:p w14:paraId="3A465FC4">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0.0004</w:t>
                  </w:r>
                </w:p>
              </w:tc>
              <w:tc>
                <w:tcPr>
                  <w:tcW w:w="803" w:type="dxa"/>
                  <w:tcBorders>
                    <w:tl2br w:val="nil"/>
                    <w:tr2bl w:val="nil"/>
                  </w:tcBorders>
                  <w:shd w:val="clear" w:color="auto" w:fill="auto"/>
                  <w:tcMar>
                    <w:top w:w="0" w:type="dxa"/>
                    <w:left w:w="0" w:type="dxa"/>
                    <w:bottom w:w="0" w:type="dxa"/>
                    <w:right w:w="0" w:type="dxa"/>
                  </w:tcMar>
                  <w:vAlign w:val="center"/>
                </w:tcPr>
                <w:p w14:paraId="57C25AC9">
                  <w:pPr>
                    <w:adjustRightInd w:val="0"/>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1</w:t>
                  </w:r>
                </w:p>
              </w:tc>
              <w:tc>
                <w:tcPr>
                  <w:tcW w:w="768" w:type="dxa"/>
                  <w:tcBorders>
                    <w:tl2br w:val="nil"/>
                    <w:tr2bl w:val="nil"/>
                  </w:tcBorders>
                  <w:shd w:val="clear" w:color="auto" w:fill="auto"/>
                  <w:tcMar>
                    <w:top w:w="0" w:type="dxa"/>
                    <w:left w:w="0" w:type="dxa"/>
                    <w:bottom w:w="0" w:type="dxa"/>
                    <w:right w:w="0" w:type="dxa"/>
                  </w:tcMar>
                  <w:vAlign w:val="center"/>
                </w:tcPr>
                <w:p w14:paraId="77FCF406">
                  <w:pPr>
                    <w:adjustRightInd w:val="0"/>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1</w:t>
                  </w:r>
                </w:p>
              </w:tc>
              <w:tc>
                <w:tcPr>
                  <w:tcW w:w="833" w:type="dxa"/>
                  <w:tcBorders>
                    <w:tl2br w:val="nil"/>
                    <w:tr2bl w:val="nil"/>
                  </w:tcBorders>
                  <w:shd w:val="clear" w:color="auto" w:fill="auto"/>
                  <w:tcMar>
                    <w:top w:w="0" w:type="dxa"/>
                    <w:left w:w="0" w:type="dxa"/>
                    <w:bottom w:w="0" w:type="dxa"/>
                    <w:right w:w="0" w:type="dxa"/>
                  </w:tcMar>
                  <w:vAlign w:val="center"/>
                </w:tcPr>
                <w:p w14:paraId="4B8EF23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0.0004</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792B877E">
                  <w:pPr>
                    <w:adjustRightInd w:val="0"/>
                    <w:jc w:val="center"/>
                    <w:rPr>
                      <w:rFonts w:hint="default" w:ascii="Times New Roman" w:hAnsi="Times New Roman" w:eastAsia="宋体" w:cs="Times New Roman"/>
                      <w:bCs/>
                      <w:color w:val="auto"/>
                      <w:sz w:val="22"/>
                      <w:szCs w:val="22"/>
                      <w:highlight w:val="none"/>
                    </w:rPr>
                  </w:pPr>
                </w:p>
              </w:tc>
            </w:tr>
            <w:tr w14:paraId="5C9DC9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04552E80">
                  <w:pPr>
                    <w:adjustRightInd w:val="0"/>
                    <w:jc w:val="center"/>
                    <w:rPr>
                      <w:rFonts w:hint="default" w:ascii="Times New Roman" w:hAnsi="Times New Roman" w:eastAsia="宋体" w:cs="Times New Roman"/>
                      <w:color w:val="auto"/>
                      <w:sz w:val="22"/>
                      <w:szCs w:val="22"/>
                      <w:highlight w:val="none"/>
                      <w:lang w:val="en-US" w:eastAsia="zh-CN"/>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1DBE80DF">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05831F14">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rPr>
                    <w:t>非甲烷总烃</w:t>
                  </w:r>
                </w:p>
              </w:tc>
              <w:tc>
                <w:tcPr>
                  <w:tcW w:w="1033" w:type="dxa"/>
                  <w:tcBorders>
                    <w:tl2br w:val="nil"/>
                    <w:tr2bl w:val="nil"/>
                  </w:tcBorders>
                  <w:shd w:val="clear" w:color="auto" w:fill="auto"/>
                  <w:tcMar>
                    <w:top w:w="0" w:type="dxa"/>
                    <w:left w:w="0" w:type="dxa"/>
                    <w:bottom w:w="0" w:type="dxa"/>
                    <w:right w:w="0" w:type="dxa"/>
                  </w:tcMar>
                  <w:vAlign w:val="center"/>
                </w:tcPr>
                <w:p w14:paraId="0B255B3F">
                  <w:pPr>
                    <w:numPr>
                      <w:ilvl w:val="0"/>
                      <w:numId w:val="0"/>
                    </w:numPr>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2.510</w:t>
                  </w:r>
                </w:p>
              </w:tc>
              <w:tc>
                <w:tcPr>
                  <w:tcW w:w="961" w:type="dxa"/>
                  <w:tcBorders>
                    <w:tl2br w:val="nil"/>
                    <w:tr2bl w:val="nil"/>
                  </w:tcBorders>
                  <w:shd w:val="clear" w:color="auto" w:fill="auto"/>
                  <w:tcMar>
                    <w:top w:w="0" w:type="dxa"/>
                    <w:left w:w="0" w:type="dxa"/>
                    <w:bottom w:w="0" w:type="dxa"/>
                    <w:right w:w="0" w:type="dxa"/>
                  </w:tcMar>
                  <w:vAlign w:val="center"/>
                </w:tcPr>
                <w:p w14:paraId="02AB3F79">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0.0251</w:t>
                  </w:r>
                </w:p>
              </w:tc>
              <w:tc>
                <w:tcPr>
                  <w:tcW w:w="803" w:type="dxa"/>
                  <w:tcBorders>
                    <w:tl2br w:val="nil"/>
                    <w:tr2bl w:val="nil"/>
                  </w:tcBorders>
                  <w:shd w:val="clear" w:color="auto" w:fill="auto"/>
                  <w:tcMar>
                    <w:top w:w="0" w:type="dxa"/>
                    <w:left w:w="0" w:type="dxa"/>
                    <w:bottom w:w="0" w:type="dxa"/>
                    <w:right w:w="0" w:type="dxa"/>
                  </w:tcMar>
                  <w:vAlign w:val="center"/>
                </w:tcPr>
                <w:p w14:paraId="4346DA77">
                  <w:pPr>
                    <w:adjustRightInd w:val="0"/>
                    <w:jc w:val="center"/>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75FACAD0">
                  <w:pPr>
                    <w:adjustRightInd w:val="0"/>
                    <w:jc w:val="center"/>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7E1DD306">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ascii="Times New Roman" w:hAnsi="Times New Roman" w:cs="Times New Roman"/>
                      <w:b w:val="0"/>
                      <w:bCs w:val="0"/>
                      <w:color w:val="auto"/>
                      <w:kern w:val="2"/>
                      <w:sz w:val="21"/>
                      <w:szCs w:val="21"/>
                      <w:highlight w:val="none"/>
                      <w:vertAlign w:val="baseline"/>
                      <w:lang w:val="en-US" w:eastAsia="zh-CN" w:bidi="ar-SA"/>
                    </w:rPr>
                    <w:t>0.0251</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059F8118">
                  <w:pPr>
                    <w:adjustRightInd w:val="0"/>
                    <w:jc w:val="center"/>
                    <w:rPr>
                      <w:rFonts w:hint="default" w:ascii="Times New Roman" w:hAnsi="Times New Roman" w:eastAsia="宋体" w:cs="Times New Roman"/>
                      <w:bCs/>
                      <w:color w:val="auto"/>
                      <w:sz w:val="22"/>
                      <w:szCs w:val="22"/>
                      <w:highlight w:val="none"/>
                    </w:rPr>
                  </w:pPr>
                </w:p>
              </w:tc>
            </w:tr>
            <w:tr w14:paraId="58F7E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39E4C5A4">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2BEB6212">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58BD0F5C">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氯化氢</w:t>
                  </w:r>
                </w:p>
              </w:tc>
              <w:tc>
                <w:tcPr>
                  <w:tcW w:w="1033" w:type="dxa"/>
                  <w:tcBorders>
                    <w:tl2br w:val="nil"/>
                    <w:tr2bl w:val="nil"/>
                  </w:tcBorders>
                  <w:shd w:val="clear" w:color="auto" w:fill="auto"/>
                  <w:tcMar>
                    <w:top w:w="0" w:type="dxa"/>
                    <w:left w:w="0" w:type="dxa"/>
                    <w:bottom w:w="0" w:type="dxa"/>
                    <w:right w:w="0" w:type="dxa"/>
                  </w:tcMar>
                  <w:vAlign w:val="center"/>
                </w:tcPr>
                <w:p w14:paraId="70D2588C">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0.227</w:t>
                  </w:r>
                </w:p>
              </w:tc>
              <w:tc>
                <w:tcPr>
                  <w:tcW w:w="961" w:type="dxa"/>
                  <w:tcBorders>
                    <w:tl2br w:val="nil"/>
                    <w:tr2bl w:val="nil"/>
                  </w:tcBorders>
                  <w:shd w:val="clear" w:color="auto" w:fill="auto"/>
                  <w:tcMar>
                    <w:top w:w="0" w:type="dxa"/>
                    <w:left w:w="0" w:type="dxa"/>
                    <w:bottom w:w="0" w:type="dxa"/>
                    <w:right w:w="0" w:type="dxa"/>
                  </w:tcMar>
                  <w:vAlign w:val="center"/>
                </w:tcPr>
                <w:p w14:paraId="367C0DFD">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0.00227</w:t>
                  </w:r>
                </w:p>
              </w:tc>
              <w:tc>
                <w:tcPr>
                  <w:tcW w:w="803" w:type="dxa"/>
                  <w:tcBorders>
                    <w:tl2br w:val="nil"/>
                    <w:tr2bl w:val="nil"/>
                  </w:tcBorders>
                  <w:shd w:val="clear" w:color="auto" w:fill="auto"/>
                  <w:tcMar>
                    <w:top w:w="0" w:type="dxa"/>
                    <w:left w:w="0" w:type="dxa"/>
                    <w:bottom w:w="0" w:type="dxa"/>
                    <w:right w:w="0" w:type="dxa"/>
                  </w:tcMar>
                  <w:vAlign w:val="center"/>
                </w:tcPr>
                <w:p w14:paraId="5D02743C">
                  <w:pPr>
                    <w:adjustRightInd w:val="0"/>
                    <w:jc w:val="center"/>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331BD921">
                  <w:pPr>
                    <w:adjustRightInd w:val="0"/>
                    <w:jc w:val="center"/>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25158F3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0.00227</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6E0A90A1">
                  <w:pPr>
                    <w:adjustRightInd w:val="0"/>
                    <w:jc w:val="center"/>
                    <w:rPr>
                      <w:rFonts w:hint="default" w:ascii="Times New Roman" w:hAnsi="Times New Roman" w:eastAsia="宋体" w:cs="Times New Roman"/>
                      <w:bCs/>
                      <w:color w:val="auto"/>
                      <w:sz w:val="22"/>
                      <w:szCs w:val="22"/>
                      <w:highlight w:val="none"/>
                    </w:rPr>
                  </w:pPr>
                </w:p>
              </w:tc>
            </w:tr>
            <w:tr w14:paraId="60362A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50A25F9C">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3F6BB249">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6F14B684">
                  <w:pPr>
                    <w:numPr>
                      <w:ilvl w:val="0"/>
                      <w:numId w:val="0"/>
                    </w:numPr>
                    <w:adjustRightInd w:val="0"/>
                    <w:snapToGrid w:val="0"/>
                    <w:spacing w:line="240" w:lineRule="auto"/>
                    <w:ind w:left="0" w:leftChars="0" w:firstLine="0" w:firstLineChars="0"/>
                    <w:jc w:val="center"/>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氮氧化物</w:t>
                  </w:r>
                </w:p>
              </w:tc>
              <w:tc>
                <w:tcPr>
                  <w:tcW w:w="1033" w:type="dxa"/>
                  <w:tcBorders>
                    <w:tl2br w:val="nil"/>
                    <w:tr2bl w:val="nil"/>
                  </w:tcBorders>
                  <w:shd w:val="clear" w:color="auto" w:fill="auto"/>
                  <w:tcMar>
                    <w:top w:w="0" w:type="dxa"/>
                    <w:left w:w="0" w:type="dxa"/>
                    <w:bottom w:w="0" w:type="dxa"/>
                    <w:right w:w="0" w:type="dxa"/>
                  </w:tcMar>
                  <w:vAlign w:val="center"/>
                </w:tcPr>
                <w:p w14:paraId="141E81DE">
                  <w:pPr>
                    <w:numPr>
                      <w:ilvl w:val="0"/>
                      <w:numId w:val="0"/>
                    </w:numPr>
                    <w:adjustRightInd w:val="0"/>
                    <w:snapToGrid w:val="0"/>
                    <w:spacing w:line="240" w:lineRule="auto"/>
                    <w:ind w:left="0" w:leftChars="0" w:firstLine="0" w:firstLineChars="0"/>
                    <w:jc w:val="center"/>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0.07</w:t>
                  </w:r>
                </w:p>
              </w:tc>
              <w:tc>
                <w:tcPr>
                  <w:tcW w:w="961" w:type="dxa"/>
                  <w:tcBorders>
                    <w:tl2br w:val="nil"/>
                    <w:tr2bl w:val="nil"/>
                  </w:tcBorders>
                  <w:shd w:val="clear" w:color="auto" w:fill="auto"/>
                  <w:tcMar>
                    <w:top w:w="0" w:type="dxa"/>
                    <w:left w:w="0" w:type="dxa"/>
                    <w:bottom w:w="0" w:type="dxa"/>
                    <w:right w:w="0" w:type="dxa"/>
                  </w:tcMar>
                  <w:vAlign w:val="center"/>
                </w:tcPr>
                <w:p w14:paraId="254AC640">
                  <w:pPr>
                    <w:numPr>
                      <w:ilvl w:val="0"/>
                      <w:numId w:val="0"/>
                    </w:numPr>
                    <w:adjustRightInd w:val="0"/>
                    <w:snapToGrid w:val="0"/>
                    <w:spacing w:line="240" w:lineRule="auto"/>
                    <w:ind w:left="0" w:leftChars="0" w:firstLine="0" w:firstLineChars="0"/>
                    <w:jc w:val="center"/>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0.0007</w:t>
                  </w:r>
                </w:p>
              </w:tc>
              <w:tc>
                <w:tcPr>
                  <w:tcW w:w="803" w:type="dxa"/>
                  <w:tcBorders>
                    <w:tl2br w:val="nil"/>
                    <w:tr2bl w:val="nil"/>
                  </w:tcBorders>
                  <w:shd w:val="clear" w:color="auto" w:fill="auto"/>
                  <w:tcMar>
                    <w:top w:w="0" w:type="dxa"/>
                    <w:left w:w="0" w:type="dxa"/>
                    <w:bottom w:w="0" w:type="dxa"/>
                    <w:right w:w="0" w:type="dxa"/>
                  </w:tcMar>
                  <w:vAlign w:val="center"/>
                </w:tcPr>
                <w:p w14:paraId="303AF20E">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35CB76F7">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3BAE8BF1">
                  <w:pPr>
                    <w:numPr>
                      <w:ilvl w:val="0"/>
                      <w:numId w:val="0"/>
                    </w:numPr>
                    <w:adjustRightInd w:val="0"/>
                    <w:snapToGrid w:val="0"/>
                    <w:spacing w:line="240" w:lineRule="auto"/>
                    <w:ind w:left="0" w:leftChars="0" w:firstLine="0" w:firstLineChars="0"/>
                    <w:jc w:val="center"/>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0.0007</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1790A3CF">
                  <w:pPr>
                    <w:adjustRightInd w:val="0"/>
                    <w:jc w:val="center"/>
                    <w:rPr>
                      <w:rFonts w:hint="default" w:ascii="Times New Roman" w:hAnsi="Times New Roman" w:eastAsia="宋体" w:cs="Times New Roman"/>
                      <w:bCs/>
                      <w:color w:val="auto"/>
                      <w:sz w:val="22"/>
                      <w:szCs w:val="22"/>
                      <w:highlight w:val="none"/>
                    </w:rPr>
                  </w:pPr>
                </w:p>
              </w:tc>
            </w:tr>
            <w:tr w14:paraId="68F5F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7EDF5C34">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08DE8CD6">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075B895C">
                  <w:pPr>
                    <w:numPr>
                      <w:ilvl w:val="0"/>
                      <w:numId w:val="0"/>
                    </w:numPr>
                    <w:adjustRightInd w:val="0"/>
                    <w:snapToGrid w:val="0"/>
                    <w:spacing w:line="240" w:lineRule="auto"/>
                    <w:ind w:left="0" w:leftChars="0" w:firstLine="0" w:firstLineChars="0"/>
                    <w:jc w:val="center"/>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硫酸雾</w:t>
                  </w:r>
                </w:p>
              </w:tc>
              <w:tc>
                <w:tcPr>
                  <w:tcW w:w="1033" w:type="dxa"/>
                  <w:tcBorders>
                    <w:tl2br w:val="nil"/>
                    <w:tr2bl w:val="nil"/>
                  </w:tcBorders>
                  <w:shd w:val="clear" w:color="auto" w:fill="auto"/>
                  <w:tcMar>
                    <w:top w:w="0" w:type="dxa"/>
                    <w:left w:w="0" w:type="dxa"/>
                    <w:bottom w:w="0" w:type="dxa"/>
                    <w:right w:w="0" w:type="dxa"/>
                  </w:tcMar>
                  <w:vAlign w:val="center"/>
                </w:tcPr>
                <w:p w14:paraId="41BA8D98">
                  <w:pPr>
                    <w:numPr>
                      <w:ilvl w:val="0"/>
                      <w:numId w:val="0"/>
                    </w:numPr>
                    <w:adjustRightInd w:val="0"/>
                    <w:snapToGrid w:val="0"/>
                    <w:spacing w:line="240" w:lineRule="auto"/>
                    <w:ind w:left="0" w:leftChars="0" w:firstLine="0" w:firstLineChars="0"/>
                    <w:jc w:val="center"/>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0.005</w:t>
                  </w:r>
                </w:p>
              </w:tc>
              <w:tc>
                <w:tcPr>
                  <w:tcW w:w="961" w:type="dxa"/>
                  <w:tcBorders>
                    <w:tl2br w:val="nil"/>
                    <w:tr2bl w:val="nil"/>
                  </w:tcBorders>
                  <w:shd w:val="clear" w:color="auto" w:fill="auto"/>
                  <w:tcMar>
                    <w:top w:w="0" w:type="dxa"/>
                    <w:left w:w="0" w:type="dxa"/>
                    <w:bottom w:w="0" w:type="dxa"/>
                    <w:right w:w="0" w:type="dxa"/>
                  </w:tcMar>
                  <w:vAlign w:val="center"/>
                </w:tcPr>
                <w:p w14:paraId="565D7570">
                  <w:pPr>
                    <w:numPr>
                      <w:ilvl w:val="0"/>
                      <w:numId w:val="0"/>
                    </w:numPr>
                    <w:adjustRightInd w:val="0"/>
                    <w:snapToGrid w:val="0"/>
                    <w:spacing w:line="240" w:lineRule="auto"/>
                    <w:ind w:left="0" w:leftChars="0" w:firstLine="0" w:firstLineChars="0"/>
                    <w:jc w:val="center"/>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0.00005</w:t>
                  </w:r>
                </w:p>
              </w:tc>
              <w:tc>
                <w:tcPr>
                  <w:tcW w:w="803" w:type="dxa"/>
                  <w:tcBorders>
                    <w:tl2br w:val="nil"/>
                    <w:tr2bl w:val="nil"/>
                  </w:tcBorders>
                  <w:shd w:val="clear" w:color="auto" w:fill="auto"/>
                  <w:tcMar>
                    <w:top w:w="0" w:type="dxa"/>
                    <w:left w:w="0" w:type="dxa"/>
                    <w:bottom w:w="0" w:type="dxa"/>
                    <w:right w:w="0" w:type="dxa"/>
                  </w:tcMar>
                  <w:vAlign w:val="center"/>
                </w:tcPr>
                <w:p w14:paraId="2D9B5864">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68FBAB6C">
                  <w:pPr>
                    <w:adjustRightInd w:val="0"/>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4400A9F7">
                  <w:pPr>
                    <w:numPr>
                      <w:ilvl w:val="0"/>
                      <w:numId w:val="0"/>
                    </w:numPr>
                    <w:adjustRightInd w:val="0"/>
                    <w:snapToGrid w:val="0"/>
                    <w:spacing w:line="240" w:lineRule="auto"/>
                    <w:ind w:left="0" w:leftChars="0" w:firstLine="0" w:firstLineChars="0"/>
                    <w:jc w:val="center"/>
                    <w:rPr>
                      <w:rFonts w:hint="eastAsia"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0.00005</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129E302F">
                  <w:pPr>
                    <w:adjustRightInd w:val="0"/>
                    <w:jc w:val="center"/>
                    <w:rPr>
                      <w:rFonts w:hint="default" w:ascii="Times New Roman" w:hAnsi="Times New Roman" w:eastAsia="宋体" w:cs="Times New Roman"/>
                      <w:bCs/>
                      <w:color w:val="auto"/>
                      <w:sz w:val="22"/>
                      <w:szCs w:val="22"/>
                      <w:highlight w:val="none"/>
                    </w:rPr>
                  </w:pPr>
                </w:p>
              </w:tc>
            </w:tr>
            <w:tr w14:paraId="076F0D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9" w:type="dxa"/>
                  <w:vMerge w:val="continue"/>
                  <w:tcBorders>
                    <w:tl2br w:val="nil"/>
                    <w:tr2bl w:val="nil"/>
                  </w:tcBorders>
                  <w:shd w:val="clear" w:color="auto" w:fill="auto"/>
                  <w:tcMar>
                    <w:top w:w="0" w:type="dxa"/>
                    <w:left w:w="0" w:type="dxa"/>
                    <w:bottom w:w="0" w:type="dxa"/>
                    <w:right w:w="0" w:type="dxa"/>
                  </w:tcMar>
                  <w:vAlign w:val="center"/>
                </w:tcPr>
                <w:p w14:paraId="5319CA57">
                  <w:pPr>
                    <w:adjustRightInd w:val="0"/>
                    <w:jc w:val="center"/>
                    <w:rPr>
                      <w:rFonts w:hint="default" w:ascii="Times New Roman" w:hAnsi="Times New Roman" w:eastAsia="宋体" w:cs="Times New Roman"/>
                      <w:color w:val="auto"/>
                      <w:sz w:val="22"/>
                      <w:szCs w:val="22"/>
                      <w:highlight w:val="none"/>
                    </w:rPr>
                  </w:pPr>
                </w:p>
              </w:tc>
              <w:tc>
                <w:tcPr>
                  <w:tcW w:w="891" w:type="dxa"/>
                  <w:vMerge w:val="continue"/>
                  <w:tcBorders>
                    <w:tl2br w:val="nil"/>
                    <w:tr2bl w:val="nil"/>
                  </w:tcBorders>
                  <w:shd w:val="clear" w:color="auto" w:fill="auto"/>
                  <w:tcMar>
                    <w:top w:w="0" w:type="dxa"/>
                    <w:left w:w="0" w:type="dxa"/>
                    <w:bottom w:w="0" w:type="dxa"/>
                    <w:right w:w="0" w:type="dxa"/>
                  </w:tcMar>
                  <w:vAlign w:val="center"/>
                </w:tcPr>
                <w:p w14:paraId="17B59309">
                  <w:pPr>
                    <w:adjustRightInd w:val="0"/>
                    <w:jc w:val="center"/>
                    <w:rPr>
                      <w:rFonts w:hint="default" w:ascii="Times New Roman" w:hAnsi="Times New Roman" w:eastAsia="宋体" w:cs="Times New Roman"/>
                      <w:color w:val="auto"/>
                      <w:sz w:val="22"/>
                      <w:szCs w:val="22"/>
                      <w:highlight w:val="none"/>
                    </w:rPr>
                  </w:pPr>
                </w:p>
              </w:tc>
              <w:tc>
                <w:tcPr>
                  <w:tcW w:w="1253" w:type="dxa"/>
                  <w:tcBorders>
                    <w:tl2br w:val="nil"/>
                    <w:tr2bl w:val="nil"/>
                  </w:tcBorders>
                  <w:shd w:val="clear" w:color="auto" w:fill="auto"/>
                  <w:tcMar>
                    <w:top w:w="0" w:type="dxa"/>
                    <w:left w:w="0" w:type="dxa"/>
                    <w:bottom w:w="0" w:type="dxa"/>
                    <w:right w:w="0" w:type="dxa"/>
                  </w:tcMar>
                  <w:vAlign w:val="center"/>
                </w:tcPr>
                <w:p w14:paraId="2D637828">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eastAsia" w:cs="Times New Roman"/>
                      <w:color w:val="auto"/>
                      <w:kern w:val="0"/>
                      <w:sz w:val="21"/>
                      <w:szCs w:val="21"/>
                      <w:highlight w:val="none"/>
                      <w:vertAlign w:val="baseline"/>
                      <w:lang w:val="en-US" w:eastAsia="zh-CN" w:bidi="ar-SA"/>
                    </w:rPr>
                    <w:t>氨</w:t>
                  </w:r>
                </w:p>
              </w:tc>
              <w:tc>
                <w:tcPr>
                  <w:tcW w:w="1033" w:type="dxa"/>
                  <w:tcBorders>
                    <w:tl2br w:val="nil"/>
                    <w:tr2bl w:val="nil"/>
                  </w:tcBorders>
                  <w:shd w:val="clear" w:color="auto" w:fill="auto"/>
                  <w:tcMar>
                    <w:top w:w="0" w:type="dxa"/>
                    <w:left w:w="0" w:type="dxa"/>
                    <w:bottom w:w="0" w:type="dxa"/>
                    <w:right w:w="0" w:type="dxa"/>
                  </w:tcMar>
                  <w:vAlign w:val="center"/>
                </w:tcPr>
                <w:p w14:paraId="33E0B238">
                  <w:pPr>
                    <w:numPr>
                      <w:ilvl w:val="0"/>
                      <w:numId w:val="0"/>
                    </w:numPr>
                    <w:adjustRightInd w:val="0"/>
                    <w:snapToGrid w:val="0"/>
                    <w:spacing w:line="240" w:lineRule="auto"/>
                    <w:ind w:left="0" w:leftChars="0" w:firstLine="0" w:firstLineChars="0"/>
                    <w:jc w:val="center"/>
                    <w:rPr>
                      <w:rFonts w:hint="eastAsia"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rPr>
                    <w:t>0.098</w:t>
                  </w:r>
                </w:p>
              </w:tc>
              <w:tc>
                <w:tcPr>
                  <w:tcW w:w="961" w:type="dxa"/>
                  <w:tcBorders>
                    <w:tl2br w:val="nil"/>
                    <w:tr2bl w:val="nil"/>
                  </w:tcBorders>
                  <w:shd w:val="clear" w:color="auto" w:fill="auto"/>
                  <w:tcMar>
                    <w:top w:w="0" w:type="dxa"/>
                    <w:left w:w="0" w:type="dxa"/>
                    <w:bottom w:w="0" w:type="dxa"/>
                    <w:right w:w="0" w:type="dxa"/>
                  </w:tcMar>
                  <w:vAlign w:val="center"/>
                </w:tcPr>
                <w:p w14:paraId="643DF6B4">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0.00098</w:t>
                  </w:r>
                </w:p>
              </w:tc>
              <w:tc>
                <w:tcPr>
                  <w:tcW w:w="803" w:type="dxa"/>
                  <w:tcBorders>
                    <w:tl2br w:val="nil"/>
                    <w:tr2bl w:val="nil"/>
                  </w:tcBorders>
                  <w:shd w:val="clear" w:color="auto" w:fill="auto"/>
                  <w:tcMar>
                    <w:top w:w="0" w:type="dxa"/>
                    <w:left w:w="0" w:type="dxa"/>
                    <w:bottom w:w="0" w:type="dxa"/>
                    <w:right w:w="0" w:type="dxa"/>
                  </w:tcMar>
                  <w:vAlign w:val="center"/>
                </w:tcPr>
                <w:p w14:paraId="5AE6C8DE">
                  <w:pPr>
                    <w:adjustRightInd w:val="0"/>
                    <w:jc w:val="center"/>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768" w:type="dxa"/>
                  <w:tcBorders>
                    <w:tl2br w:val="nil"/>
                    <w:tr2bl w:val="nil"/>
                  </w:tcBorders>
                  <w:shd w:val="clear" w:color="auto" w:fill="auto"/>
                  <w:tcMar>
                    <w:top w:w="0" w:type="dxa"/>
                    <w:left w:w="0" w:type="dxa"/>
                    <w:bottom w:w="0" w:type="dxa"/>
                    <w:right w:w="0" w:type="dxa"/>
                  </w:tcMar>
                  <w:vAlign w:val="center"/>
                </w:tcPr>
                <w:p w14:paraId="37FAA81E">
                  <w:pPr>
                    <w:adjustRightInd w:val="0"/>
                    <w:jc w:val="center"/>
                    <w:rPr>
                      <w:rFonts w:hint="eastAsia"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rPr>
                    <w:t>1</w:t>
                  </w:r>
                </w:p>
              </w:tc>
              <w:tc>
                <w:tcPr>
                  <w:tcW w:w="833" w:type="dxa"/>
                  <w:tcBorders>
                    <w:tl2br w:val="nil"/>
                    <w:tr2bl w:val="nil"/>
                  </w:tcBorders>
                  <w:shd w:val="clear" w:color="auto" w:fill="auto"/>
                  <w:tcMar>
                    <w:top w:w="0" w:type="dxa"/>
                    <w:left w:w="0" w:type="dxa"/>
                    <w:bottom w:w="0" w:type="dxa"/>
                    <w:right w:w="0" w:type="dxa"/>
                  </w:tcMar>
                  <w:vAlign w:val="center"/>
                </w:tcPr>
                <w:p w14:paraId="48DAC51B">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0"/>
                      <w:sz w:val="21"/>
                      <w:szCs w:val="21"/>
                      <w:highlight w:val="none"/>
                      <w:vertAlign w:val="baseline"/>
                      <w:lang w:val="en-US" w:eastAsia="zh-CN" w:bidi="ar-SA"/>
                    </w:rPr>
                    <w:t>0.00098</w:t>
                  </w:r>
                </w:p>
              </w:tc>
              <w:tc>
                <w:tcPr>
                  <w:tcW w:w="658" w:type="dxa"/>
                  <w:vMerge w:val="continue"/>
                  <w:tcBorders>
                    <w:tl2br w:val="nil"/>
                    <w:tr2bl w:val="nil"/>
                  </w:tcBorders>
                  <w:shd w:val="clear" w:color="auto" w:fill="auto"/>
                  <w:tcMar>
                    <w:top w:w="0" w:type="dxa"/>
                    <w:left w:w="0" w:type="dxa"/>
                    <w:bottom w:w="0" w:type="dxa"/>
                    <w:right w:w="0" w:type="dxa"/>
                  </w:tcMar>
                  <w:vAlign w:val="center"/>
                </w:tcPr>
                <w:p w14:paraId="3C74DD10">
                  <w:pPr>
                    <w:adjustRightInd w:val="0"/>
                    <w:jc w:val="center"/>
                    <w:rPr>
                      <w:rFonts w:hint="default" w:ascii="Times New Roman" w:hAnsi="Times New Roman" w:eastAsia="宋体" w:cs="Times New Roman"/>
                      <w:bCs/>
                      <w:color w:val="auto"/>
                      <w:sz w:val="22"/>
                      <w:szCs w:val="22"/>
                      <w:highlight w:val="none"/>
                    </w:rPr>
                  </w:pPr>
                </w:p>
              </w:tc>
            </w:tr>
          </w:tbl>
          <w:p w14:paraId="764E049A">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上表可知，非正常工况下，</w:t>
            </w: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w:t>
            </w:r>
            <w:r>
              <w:rPr>
                <w:rFonts w:hint="eastAsia" w:cs="Times New Roman"/>
                <w:color w:val="auto"/>
                <w:sz w:val="24"/>
                <w:highlight w:val="none"/>
                <w:lang w:val="en-US" w:eastAsia="zh-CN"/>
              </w:rPr>
              <w:t>废气</w:t>
            </w:r>
            <w:r>
              <w:rPr>
                <w:rFonts w:hint="default" w:ascii="Times New Roman" w:hAnsi="Times New Roman" w:eastAsia="宋体" w:cs="Times New Roman"/>
                <w:color w:val="auto"/>
                <w:sz w:val="24"/>
                <w:highlight w:val="none"/>
                <w:lang w:val="en-US" w:eastAsia="zh-CN"/>
              </w:rPr>
              <w:t>排放浓度和排放速率能满足北京市《大气污染物综合排放标准》（DB11/501-2017）表3中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生产工艺废气及其他废气大气污染物排放限值</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第II时段排放限值要求，非正常工况较正常工况排污量都有所增加，为确保项目废气</w:t>
            </w:r>
            <w:r>
              <w:rPr>
                <w:rFonts w:hint="eastAsia" w:cs="Times New Roman"/>
                <w:color w:val="auto"/>
                <w:sz w:val="24"/>
                <w:highlight w:val="none"/>
                <w:lang w:val="en-US" w:eastAsia="zh-CN"/>
              </w:rPr>
              <w:t>正常排放</w:t>
            </w:r>
            <w:r>
              <w:rPr>
                <w:rFonts w:hint="default" w:ascii="Times New Roman" w:hAnsi="Times New Roman" w:eastAsia="宋体" w:cs="Times New Roman"/>
                <w:color w:val="auto"/>
                <w:sz w:val="24"/>
                <w:highlight w:val="none"/>
                <w:lang w:val="en-US" w:eastAsia="zh-CN"/>
              </w:rPr>
              <w:t>，应立即停止所有产生污染的</w:t>
            </w:r>
            <w:r>
              <w:rPr>
                <w:rFonts w:hint="eastAsia" w:cs="Times New Roman"/>
                <w:color w:val="auto"/>
                <w:sz w:val="24"/>
                <w:highlight w:val="none"/>
                <w:lang w:val="en-US" w:eastAsia="zh-CN"/>
              </w:rPr>
              <w:t>检测</w:t>
            </w:r>
            <w:r>
              <w:rPr>
                <w:rFonts w:hint="default" w:ascii="Times New Roman" w:hAnsi="Times New Roman" w:eastAsia="宋体" w:cs="Times New Roman"/>
                <w:color w:val="auto"/>
                <w:sz w:val="24"/>
                <w:highlight w:val="none"/>
                <w:lang w:val="en-US" w:eastAsia="zh-CN"/>
              </w:rPr>
              <w:t>活动，检查维修环保设施，直至故障排除。</w:t>
            </w:r>
          </w:p>
          <w:p w14:paraId="085415A6">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rPr>
              <w:t>自行监测计划</w:t>
            </w:r>
          </w:p>
          <w:p w14:paraId="0A1DBD20">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本项目废气监测计划详见下表。</w:t>
            </w:r>
          </w:p>
          <w:p w14:paraId="115D03F0">
            <w:pPr>
              <w:keepNext w:val="0"/>
              <w:keepLines w:val="0"/>
              <w:widowControl/>
              <w:numPr>
                <w:ilvl w:val="0"/>
                <w:numId w:val="32"/>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项目废气监测计划</w:t>
            </w:r>
          </w:p>
          <w:tbl>
            <w:tblPr>
              <w:tblStyle w:val="23"/>
              <w:tblW w:w="7617"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9"/>
              <w:gridCol w:w="1233"/>
              <w:gridCol w:w="2825"/>
              <w:gridCol w:w="1196"/>
              <w:gridCol w:w="1424"/>
            </w:tblGrid>
            <w:tr w14:paraId="68909B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616" w:type="pct"/>
                  <w:tcBorders>
                    <w:tl2br w:val="nil"/>
                    <w:tr2bl w:val="nil"/>
                  </w:tcBorders>
                  <w:vAlign w:val="center"/>
                </w:tcPr>
                <w:p w14:paraId="659BB242">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时段</w:t>
                  </w:r>
                </w:p>
              </w:tc>
              <w:tc>
                <w:tcPr>
                  <w:tcW w:w="809" w:type="pct"/>
                  <w:tcBorders>
                    <w:tl2br w:val="nil"/>
                    <w:tr2bl w:val="nil"/>
                  </w:tcBorders>
                  <w:vAlign w:val="center"/>
                </w:tcPr>
                <w:p w14:paraId="098EA877">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监测内容</w:t>
                  </w:r>
                </w:p>
              </w:tc>
              <w:tc>
                <w:tcPr>
                  <w:tcW w:w="1854" w:type="pct"/>
                  <w:tcBorders>
                    <w:tl2br w:val="nil"/>
                    <w:tr2bl w:val="nil"/>
                  </w:tcBorders>
                  <w:vAlign w:val="center"/>
                </w:tcPr>
                <w:p w14:paraId="23510197">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
                      <w:color w:val="auto"/>
                      <w:szCs w:val="21"/>
                      <w:highlight w:val="none"/>
                    </w:rPr>
                    <w:t>监测因子</w:t>
                  </w:r>
                </w:p>
              </w:tc>
              <w:tc>
                <w:tcPr>
                  <w:tcW w:w="785" w:type="pct"/>
                  <w:tcBorders>
                    <w:tl2br w:val="nil"/>
                    <w:tr2bl w:val="nil"/>
                  </w:tcBorders>
                  <w:vAlign w:val="center"/>
                </w:tcPr>
                <w:p w14:paraId="78FC5A9C">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934" w:type="pct"/>
                  <w:tcBorders>
                    <w:tl2br w:val="nil"/>
                    <w:tr2bl w:val="nil"/>
                  </w:tcBorders>
                  <w:vAlign w:val="center"/>
                </w:tcPr>
                <w:p w14:paraId="2A32BE3D">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监测频次</w:t>
                  </w:r>
                </w:p>
              </w:tc>
            </w:tr>
            <w:tr w14:paraId="1FB061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16" w:type="pct"/>
                  <w:tcBorders>
                    <w:tl2br w:val="nil"/>
                    <w:tr2bl w:val="nil"/>
                  </w:tcBorders>
                  <w:vAlign w:val="center"/>
                </w:tcPr>
                <w:p w14:paraId="00FE1540">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运营期</w:t>
                  </w:r>
                </w:p>
              </w:tc>
              <w:tc>
                <w:tcPr>
                  <w:tcW w:w="809" w:type="pct"/>
                  <w:tcBorders>
                    <w:tl2br w:val="nil"/>
                    <w:tr2bl w:val="nil"/>
                  </w:tcBorders>
                  <w:vAlign w:val="center"/>
                </w:tcPr>
                <w:p w14:paraId="55B25A2C">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1854" w:type="pct"/>
                  <w:tcBorders>
                    <w:tl2br w:val="nil"/>
                    <w:tr2bl w:val="nil"/>
                  </w:tcBorders>
                  <w:vAlign w:val="center"/>
                </w:tcPr>
                <w:p w14:paraId="12EABF43">
                  <w:pPr>
                    <w:numPr>
                      <w:ilvl w:val="0"/>
                      <w:numId w:val="0"/>
                    </w:numPr>
                    <w:adjustRightInd w:val="0"/>
                    <w:snapToGrid w:val="0"/>
                    <w:spacing w:line="240" w:lineRule="auto"/>
                    <w:ind w:left="0" w:leftChars="0" w:firstLine="0" w:firstLineChars="0"/>
                    <w:jc w:val="center"/>
                    <w:rPr>
                      <w:rFonts w:hint="default" w:ascii="Times New Roman" w:hAnsi="Times New Roman" w:eastAsia="宋体" w:cs="Times New Roman"/>
                      <w:bCs/>
                      <w:color w:val="auto"/>
                      <w:szCs w:val="21"/>
                      <w:highlight w:val="none"/>
                      <w:lang w:val="en-US" w:eastAsia="zh-CN"/>
                    </w:rPr>
                  </w:pPr>
                  <w:r>
                    <w:rPr>
                      <w:rFonts w:hint="eastAsia" w:cs="Times New Roman"/>
                      <w:color w:val="auto"/>
                      <w:kern w:val="0"/>
                      <w:sz w:val="21"/>
                      <w:szCs w:val="21"/>
                      <w:highlight w:val="none"/>
                      <w:vertAlign w:val="baseline"/>
                      <w:lang w:val="en-US" w:eastAsia="zh-CN"/>
                    </w:rPr>
                    <w:t>非甲烷总烃、甲醇、其他A类物质（乙酸）、其他C类物质（丙酮、正己烷）、</w:t>
                  </w:r>
                  <w:r>
                    <w:rPr>
                      <w:rFonts w:hint="eastAsia" w:cs="Times New Roman"/>
                      <w:b w:val="0"/>
                      <w:bCs w:val="0"/>
                      <w:color w:val="auto"/>
                      <w:kern w:val="0"/>
                      <w:sz w:val="21"/>
                      <w:szCs w:val="21"/>
                      <w:highlight w:val="none"/>
                      <w:vertAlign w:val="baseline"/>
                      <w:lang w:val="en-US" w:eastAsia="zh-CN"/>
                    </w:rPr>
                    <w:t>氯化氢、</w:t>
                  </w:r>
                  <w:r>
                    <w:rPr>
                      <w:rFonts w:hint="eastAsia" w:cs="Times New Roman"/>
                      <w:b w:val="0"/>
                      <w:bCs w:val="0"/>
                      <w:color w:val="auto"/>
                      <w:kern w:val="0"/>
                      <w:sz w:val="21"/>
                      <w:szCs w:val="21"/>
                      <w:highlight w:val="none"/>
                      <w:vertAlign w:val="baseline"/>
                      <w:lang w:val="en-US" w:eastAsia="zh-CN" w:bidi="ar-SA"/>
                    </w:rPr>
                    <w:t>氮氧化物、硫酸雾</w:t>
                  </w:r>
                  <w:r>
                    <w:rPr>
                      <w:rFonts w:hint="eastAsia" w:cs="Times New Roman"/>
                      <w:b w:val="0"/>
                      <w:bCs w:val="0"/>
                      <w:color w:val="auto"/>
                      <w:kern w:val="0"/>
                      <w:sz w:val="21"/>
                      <w:szCs w:val="21"/>
                      <w:highlight w:val="none"/>
                      <w:vertAlign w:val="baseline"/>
                      <w:lang w:val="en-US" w:eastAsia="zh-CN"/>
                    </w:rPr>
                    <w:t>、氨</w:t>
                  </w:r>
                </w:p>
              </w:tc>
              <w:tc>
                <w:tcPr>
                  <w:tcW w:w="785" w:type="pct"/>
                  <w:tcBorders>
                    <w:tl2br w:val="nil"/>
                    <w:tr2bl w:val="nil"/>
                  </w:tcBorders>
                  <w:vAlign w:val="center"/>
                </w:tcPr>
                <w:p w14:paraId="5F9551A5">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rPr>
                    <w:t>DA00</w:t>
                  </w:r>
                  <w:r>
                    <w:rPr>
                      <w:rFonts w:hint="default" w:ascii="Times New Roman" w:hAnsi="Times New Roman" w:eastAsia="宋体" w:cs="Times New Roman"/>
                      <w:bCs/>
                      <w:color w:val="auto"/>
                      <w:szCs w:val="21"/>
                      <w:highlight w:val="none"/>
                      <w:lang w:val="en-US" w:eastAsia="zh-CN"/>
                    </w:rPr>
                    <w:t>1</w:t>
                  </w:r>
                </w:p>
              </w:tc>
              <w:tc>
                <w:tcPr>
                  <w:tcW w:w="934" w:type="pct"/>
                  <w:tcBorders>
                    <w:tl2br w:val="nil"/>
                    <w:tr2bl w:val="nil"/>
                  </w:tcBorders>
                  <w:vAlign w:val="center"/>
                </w:tcPr>
                <w:p w14:paraId="2C17C10D">
                  <w:pPr>
                    <w:adjustRightInd w:val="0"/>
                    <w:snapToGrid w:val="0"/>
                    <w:jc w:val="both"/>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每年1次</w:t>
                  </w:r>
                </w:p>
              </w:tc>
            </w:tr>
          </w:tbl>
          <w:p w14:paraId="16AFBD65">
            <w:pPr>
              <w:adjustRightInd w:val="0"/>
              <w:snapToGrid w:val="0"/>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bCs/>
                <w:color w:val="auto"/>
                <w:spacing w:val="-10"/>
                <w:szCs w:val="21"/>
                <w:highlight w:val="none"/>
              </w:rPr>
              <w:t>（注：</w:t>
            </w:r>
            <w:r>
              <w:rPr>
                <w:rFonts w:hint="default" w:ascii="Times New Roman" w:hAnsi="Times New Roman" w:eastAsia="宋体" w:cs="Times New Roman"/>
                <w:bCs/>
                <w:color w:val="auto"/>
                <w:szCs w:val="21"/>
                <w:highlight w:val="none"/>
              </w:rPr>
              <w:t>废气监测计划参照《</w:t>
            </w:r>
            <w:r>
              <w:rPr>
                <w:rFonts w:hint="default" w:ascii="Times New Roman" w:hAnsi="Times New Roman" w:eastAsia="宋体" w:cs="Times New Roman"/>
                <w:bCs/>
                <w:color w:val="auto"/>
                <w:szCs w:val="21"/>
                <w:highlight w:val="none"/>
                <w:lang w:val="ru-RU"/>
              </w:rPr>
              <w:t>排污单位自行监测技术指南 总则</w:t>
            </w:r>
            <w:r>
              <w:rPr>
                <w:rFonts w:hint="default" w:ascii="Times New Roman" w:hAnsi="Times New Roman" w:eastAsia="宋体" w:cs="Times New Roman"/>
                <w:bCs/>
                <w:color w:val="auto"/>
                <w:szCs w:val="21"/>
                <w:highlight w:val="none"/>
              </w:rPr>
              <w:t>》（HJ819-2017）</w:t>
            </w:r>
            <w:r>
              <w:rPr>
                <w:rFonts w:hint="default" w:ascii="Times New Roman" w:hAnsi="Times New Roman" w:eastAsia="宋体" w:cs="Times New Roman"/>
                <w:bCs/>
                <w:color w:val="auto"/>
                <w:spacing w:val="-10"/>
                <w:szCs w:val="21"/>
                <w:highlight w:val="none"/>
              </w:rPr>
              <w:t>）</w:t>
            </w:r>
          </w:p>
          <w:p w14:paraId="5B20B509">
            <w:pPr>
              <w:adjustRightInd w:val="0"/>
              <w:snapToGrid w:val="0"/>
              <w:rPr>
                <w:rFonts w:hint="default" w:ascii="Times New Roman" w:hAnsi="Times New Roman" w:eastAsia="宋体" w:cs="Times New Roman"/>
                <w:bCs/>
                <w:color w:val="auto"/>
                <w:spacing w:val="-10"/>
                <w:szCs w:val="21"/>
                <w:highlight w:val="none"/>
              </w:rPr>
            </w:pPr>
          </w:p>
          <w:p w14:paraId="5F6A7D05">
            <w:pPr>
              <w:numPr>
                <w:ilvl w:val="0"/>
                <w:numId w:val="30"/>
              </w:numPr>
              <w:adjustRightInd w:val="0"/>
              <w:snapToGrid w:val="0"/>
              <w:spacing w:line="360" w:lineRule="auto"/>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废水</w:t>
            </w:r>
          </w:p>
          <w:p w14:paraId="2CD07F08">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（1）</w:t>
            </w:r>
            <w:r>
              <w:rPr>
                <w:rFonts w:hint="default" w:ascii="Times New Roman" w:hAnsi="Times New Roman" w:eastAsia="宋体" w:cs="Times New Roman"/>
                <w:b/>
                <w:bCs/>
                <w:color w:val="auto"/>
                <w:sz w:val="24"/>
                <w:highlight w:val="none"/>
                <w:lang w:val="en-US" w:eastAsia="zh-CN"/>
              </w:rPr>
              <w:t>废水源强核算</w:t>
            </w:r>
          </w:p>
          <w:p w14:paraId="23D8A12C">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项目排放的废水主要为生活污水</w:t>
            </w:r>
            <w:r>
              <w:rPr>
                <w:rFonts w:hint="default" w:ascii="Times New Roman" w:hAnsi="Times New Roman" w:eastAsia="宋体" w:cs="Times New Roman"/>
                <w:color w:val="auto"/>
                <w:sz w:val="24"/>
                <w:szCs w:val="32"/>
                <w:highlight w:val="none"/>
                <w:lang w:val="en-US" w:eastAsia="zh-CN"/>
              </w:rPr>
              <w:t>、</w:t>
            </w:r>
            <w:r>
              <w:rPr>
                <w:rFonts w:hint="eastAsia" w:ascii="Times New Roman" w:hAnsi="Times New Roman" w:eastAsia="宋体" w:cs="Times New Roman"/>
                <w:color w:val="auto"/>
                <w:sz w:val="24"/>
                <w:szCs w:val="32"/>
                <w:highlight w:val="none"/>
                <w:lang w:val="en-US" w:eastAsia="zh-CN"/>
              </w:rPr>
              <w:t>高压蒸汽灭菌废水、容器第三遍及以后</w:t>
            </w:r>
            <w:r>
              <w:rPr>
                <w:rFonts w:hint="default" w:ascii="Times New Roman" w:hAnsi="Times New Roman" w:eastAsia="宋体" w:cs="Times New Roman"/>
                <w:color w:val="auto"/>
                <w:sz w:val="24"/>
                <w:szCs w:val="32"/>
                <w:highlight w:val="none"/>
                <w:lang w:val="en-US" w:eastAsia="zh-CN"/>
              </w:rPr>
              <w:t>清洗废水</w:t>
            </w:r>
            <w:r>
              <w:rPr>
                <w:rFonts w:hint="eastAsia" w:cs="Times New Roman"/>
                <w:color w:val="auto"/>
                <w:sz w:val="24"/>
                <w:szCs w:val="32"/>
                <w:highlight w:val="none"/>
                <w:lang w:val="en-US" w:eastAsia="zh-CN"/>
              </w:rPr>
              <w:t>（</w:t>
            </w:r>
            <w:r>
              <w:rPr>
                <w:rFonts w:hint="eastAsia" w:cs="Times New Roman"/>
                <w:b w:val="0"/>
                <w:bCs w:val="0"/>
                <w:color w:val="auto"/>
                <w:sz w:val="24"/>
                <w:highlight w:val="none"/>
                <w:lang w:val="en-US" w:eastAsia="zh-CN"/>
              </w:rPr>
              <w:t>涉及铬酸钾的清洗废水全部作危险废物收集处置</w:t>
            </w:r>
            <w:r>
              <w:rPr>
                <w:rFonts w:hint="eastAsia" w:cs="Times New Roman"/>
                <w:color w:val="auto"/>
                <w:sz w:val="24"/>
                <w:szCs w:val="32"/>
                <w:highlight w:val="none"/>
                <w:lang w:val="en-US" w:eastAsia="zh-CN"/>
              </w:rPr>
              <w:t>）、地面清洗废水</w:t>
            </w:r>
            <w:r>
              <w:rPr>
                <w:rFonts w:hint="default" w:ascii="Times New Roman" w:hAnsi="Times New Roman" w:eastAsia="宋体" w:cs="Times New Roman"/>
                <w:color w:val="auto"/>
                <w:sz w:val="24"/>
                <w:szCs w:val="32"/>
                <w:highlight w:val="none"/>
                <w:lang w:val="en-US" w:eastAsia="zh-CN"/>
              </w:rPr>
              <w:t>，</w:t>
            </w:r>
            <w:r>
              <w:rPr>
                <w:rFonts w:hint="eastAsia" w:cs="Times New Roman"/>
                <w:color w:val="auto"/>
                <w:sz w:val="24"/>
                <w:szCs w:val="32"/>
                <w:highlight w:val="none"/>
                <w:lang w:val="en-US" w:eastAsia="zh-CN"/>
              </w:rPr>
              <w:t>以上</w:t>
            </w:r>
            <w:r>
              <w:rPr>
                <w:rFonts w:hint="eastAsia" w:cs="Times New Roman"/>
                <w:color w:val="auto"/>
                <w:sz w:val="24"/>
                <w:highlight w:val="none"/>
                <w:lang w:val="en-US" w:eastAsia="zh-CN"/>
              </w:rPr>
              <w:t>废水一起</w:t>
            </w:r>
            <w:r>
              <w:rPr>
                <w:rFonts w:hint="eastAsia" w:ascii="Times New Roman" w:hAnsi="Times New Roman" w:eastAsia="宋体" w:cs="Times New Roman"/>
                <w:color w:val="auto"/>
                <w:sz w:val="24"/>
                <w:szCs w:val="32"/>
                <w:highlight w:val="none"/>
                <w:lang w:val="en-US" w:eastAsia="zh-CN"/>
              </w:rPr>
              <w:t>进</w:t>
            </w:r>
            <w:r>
              <w:rPr>
                <w:rFonts w:hint="default" w:ascii="Times New Roman" w:hAnsi="Times New Roman" w:eastAsia="宋体" w:cs="Times New Roman"/>
                <w:color w:val="auto"/>
                <w:sz w:val="24"/>
                <w:szCs w:val="32"/>
                <w:highlight w:val="none"/>
              </w:rPr>
              <w:t>园区化粪池处理后排入市政管网</w:t>
            </w:r>
            <w:r>
              <w:rPr>
                <w:rFonts w:hint="eastAsia" w:cs="Times New Roman"/>
                <w:color w:val="auto"/>
                <w:sz w:val="24"/>
                <w:szCs w:val="32"/>
                <w:highlight w:val="none"/>
                <w:lang w:eastAsia="zh-CN"/>
              </w:rPr>
              <w:t>，</w:t>
            </w:r>
            <w:r>
              <w:rPr>
                <w:rFonts w:hint="eastAsia" w:cs="Times New Roman"/>
                <w:color w:val="auto"/>
                <w:sz w:val="24"/>
                <w:szCs w:val="32"/>
                <w:highlight w:val="none"/>
                <w:lang w:val="en-US" w:eastAsia="zh-CN"/>
              </w:rPr>
              <w:t>最终进</w:t>
            </w:r>
            <w:r>
              <w:rPr>
                <w:rFonts w:hint="eastAsia" w:cs="Times New Roman"/>
                <w:color w:val="auto"/>
                <w:sz w:val="24"/>
                <w:highlight w:val="none"/>
                <w:lang w:val="en-US" w:eastAsia="zh-CN"/>
              </w:rPr>
              <w:t>金桥基地第一污水处理厂</w:t>
            </w:r>
            <w:r>
              <w:rPr>
                <w:rFonts w:hint="default" w:ascii="Times New Roman" w:hAnsi="Times New Roman" w:eastAsia="宋体" w:cs="Times New Roman"/>
                <w:color w:val="auto"/>
                <w:sz w:val="24"/>
                <w:highlight w:val="none"/>
                <w:lang w:val="en-US" w:eastAsia="zh-CN"/>
              </w:rPr>
              <w:t>。</w:t>
            </w:r>
          </w:p>
          <w:p w14:paraId="17107B1B">
            <w:pPr>
              <w:numPr>
                <w:ilvl w:val="0"/>
                <w:numId w:val="0"/>
              </w:num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本项目生活污水排放量397.8</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、容器第三遍及以后</w:t>
            </w:r>
            <w:r>
              <w:rPr>
                <w:rFonts w:hint="default" w:cs="Times New Roman"/>
                <w:color w:val="auto"/>
                <w:sz w:val="24"/>
                <w:highlight w:val="none"/>
                <w:lang w:val="en-US" w:eastAsia="zh-CN"/>
              </w:rPr>
              <w:t>清洗废水</w:t>
            </w:r>
            <w:r>
              <w:rPr>
                <w:rFonts w:hint="eastAsia" w:cs="Times New Roman"/>
                <w:color w:val="auto"/>
                <w:sz w:val="24"/>
                <w:highlight w:val="none"/>
                <w:lang w:val="en-US" w:eastAsia="zh-CN"/>
              </w:rPr>
              <w:t>0.9</w:t>
            </w:r>
            <w:r>
              <w:rPr>
                <w:rFonts w:hint="default" w:ascii="Times New Roman" w:hAnsi="Times New Roman" w:eastAsia="宋体" w:cs="Times New Roman"/>
                <w:bCs/>
                <w:color w:val="auto"/>
                <w:sz w:val="24"/>
                <w:highlight w:val="none"/>
                <w:lang w:val="en-US" w:eastAsia="zh-CN"/>
              </w:rPr>
              <w:t>m</w:t>
            </w:r>
            <w:r>
              <w:rPr>
                <w:rFonts w:hint="default" w:ascii="Times New Roman" w:hAnsi="Times New Roman" w:eastAsia="宋体" w:cs="Times New Roman"/>
                <w:bCs/>
                <w:color w:val="auto"/>
                <w:sz w:val="24"/>
                <w:highlight w:val="none"/>
                <w:vertAlign w:val="superscript"/>
                <w:lang w:val="en-US" w:eastAsia="zh-CN"/>
              </w:rPr>
              <w:t>3</w:t>
            </w:r>
            <w:r>
              <w:rPr>
                <w:rFonts w:hint="default" w:ascii="Times New Roman" w:hAnsi="Times New Roman" w:eastAsia="宋体" w:cs="Times New Roman"/>
                <w:bCs/>
                <w:color w:val="auto"/>
                <w:sz w:val="24"/>
                <w:highlight w:val="none"/>
              </w:rPr>
              <w:t>/a</w:t>
            </w:r>
            <w:r>
              <w:rPr>
                <w:rFonts w:hint="eastAsia" w:cs="Times New Roman"/>
                <w:color w:val="auto"/>
                <w:sz w:val="24"/>
                <w:highlight w:val="none"/>
                <w:lang w:val="en-US" w:eastAsia="zh-CN"/>
              </w:rPr>
              <w:t>、高压蒸汽灭菌废水0.09</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cs="Times New Roman"/>
                <w:color w:val="auto"/>
                <w:sz w:val="24"/>
                <w:highlight w:val="none"/>
                <w:lang w:val="en-US" w:eastAsia="zh-CN"/>
              </w:rPr>
              <w:t>、地面清洗废水4.5</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r>
              <w:rPr>
                <w:rFonts w:hint="eastAsia" w:eastAsia="宋体" w:cs="Times New Roman"/>
                <w:color w:val="auto"/>
                <w:sz w:val="24"/>
                <w:highlight w:val="none"/>
                <w:lang w:val="en-US" w:eastAsia="zh-CN"/>
              </w:rPr>
              <w:t>，</w:t>
            </w:r>
            <w:r>
              <w:rPr>
                <w:rFonts w:hint="default" w:cs="Times New Roman"/>
                <w:color w:val="auto"/>
                <w:sz w:val="24"/>
                <w:highlight w:val="none"/>
                <w:lang w:val="en-US" w:eastAsia="zh-CN"/>
              </w:rPr>
              <w:t>废水排放总量为</w:t>
            </w:r>
            <w:r>
              <w:rPr>
                <w:rFonts w:hint="eastAsia" w:cs="Times New Roman"/>
                <w:color w:val="auto"/>
                <w:sz w:val="24"/>
                <w:highlight w:val="none"/>
                <w:lang w:val="en-US" w:eastAsia="zh-CN"/>
              </w:rPr>
              <w:t>403.29</w:t>
            </w:r>
            <w:r>
              <w:rPr>
                <w:rFonts w:hint="default" w:cs="Times New Roman"/>
                <w:color w:val="auto"/>
                <w:sz w:val="24"/>
                <w:highlight w:val="none"/>
                <w:lang w:val="en-US" w:eastAsia="zh-CN"/>
              </w:rPr>
              <w:t>m</w:t>
            </w:r>
            <w:r>
              <w:rPr>
                <w:rFonts w:hint="default" w:cs="Times New Roman"/>
                <w:color w:val="auto"/>
                <w:sz w:val="24"/>
                <w:highlight w:val="none"/>
                <w:vertAlign w:val="superscript"/>
                <w:lang w:val="en-US" w:eastAsia="zh-CN"/>
              </w:rPr>
              <w:t xml:space="preserve">3 </w:t>
            </w:r>
            <w:r>
              <w:rPr>
                <w:rFonts w:hint="default" w:cs="Times New Roman"/>
                <w:color w:val="auto"/>
                <w:sz w:val="24"/>
                <w:highlight w:val="none"/>
                <w:lang w:val="en-US" w:eastAsia="zh-CN"/>
              </w:rPr>
              <w:t>/a（</w:t>
            </w:r>
            <w:r>
              <w:rPr>
                <w:rFonts w:hint="eastAsia" w:cs="Times New Roman"/>
                <w:color w:val="auto"/>
                <w:sz w:val="24"/>
                <w:highlight w:val="none"/>
                <w:lang w:val="en-US" w:eastAsia="zh-CN"/>
              </w:rPr>
              <w:t>1.55</w:t>
            </w:r>
            <w:r>
              <w:rPr>
                <w:rFonts w:hint="default" w:cs="Times New Roman"/>
                <w:color w:val="auto"/>
                <w:sz w:val="24"/>
                <w:highlight w:val="none"/>
                <w:lang w:val="en-US" w:eastAsia="zh-CN"/>
              </w:rPr>
              <w:t>m</w:t>
            </w:r>
            <w:r>
              <w:rPr>
                <w:rFonts w:hint="default" w:cs="Times New Roman"/>
                <w:color w:val="auto"/>
                <w:sz w:val="24"/>
                <w:highlight w:val="none"/>
                <w:vertAlign w:val="superscript"/>
                <w:lang w:val="en-US" w:eastAsia="zh-CN"/>
              </w:rPr>
              <w:t>3</w:t>
            </w:r>
            <w:r>
              <w:rPr>
                <w:rFonts w:hint="default" w:cs="Times New Roman"/>
                <w:color w:val="auto"/>
                <w:sz w:val="24"/>
                <w:highlight w:val="none"/>
                <w:lang w:val="en-US" w:eastAsia="zh-CN"/>
              </w:rPr>
              <w:t>/d</w:t>
            </w:r>
            <w:r>
              <w:rPr>
                <w:rFonts w:hint="default" w:ascii="Times New Roman" w:hAnsi="Times New Roman" w:eastAsia="宋体" w:cs="Times New Roman"/>
                <w:color w:val="auto"/>
                <w:sz w:val="24"/>
                <w:highlight w:val="none"/>
                <w:lang w:val="en-US" w:eastAsia="zh-CN"/>
              </w:rPr>
              <w:t>）。</w:t>
            </w:r>
          </w:p>
          <w:p w14:paraId="7409A7DC">
            <w:pPr>
              <w:numPr>
                <w:ilvl w:val="0"/>
                <w:numId w:val="0"/>
              </w:numPr>
              <w:tabs>
                <w:tab w:val="left" w:pos="0"/>
              </w:tabs>
              <w:adjustRightInd w:val="0"/>
              <w:spacing w:line="360" w:lineRule="auto"/>
              <w:ind w:left="420" w:leftChars="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生活污水</w:t>
            </w:r>
            <w:r>
              <w:rPr>
                <w:rFonts w:hint="eastAsia" w:cs="Times New Roman"/>
                <w:color w:val="auto"/>
                <w:sz w:val="24"/>
                <w:highlight w:val="none"/>
                <w:lang w:eastAsia="zh-CN"/>
              </w:rPr>
              <w:t>、</w:t>
            </w:r>
            <w:r>
              <w:rPr>
                <w:rFonts w:hint="eastAsia" w:cs="Times New Roman"/>
                <w:color w:val="auto"/>
                <w:sz w:val="24"/>
                <w:highlight w:val="none"/>
                <w:lang w:val="en-US" w:eastAsia="zh-CN"/>
              </w:rPr>
              <w:t>地面清洗废水</w:t>
            </w:r>
          </w:p>
          <w:p w14:paraId="5EFD8EEE">
            <w:pPr>
              <w:adjustRightInd w:val="0"/>
              <w:spacing w:line="360" w:lineRule="auto"/>
              <w:ind w:firstLine="600" w:firstLineChars="25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本项目生活污水</w:t>
            </w:r>
            <w:r>
              <w:rPr>
                <w:rFonts w:hint="eastAsia" w:cs="Times New Roman"/>
                <w:color w:val="auto"/>
                <w:sz w:val="24"/>
                <w:highlight w:val="none"/>
                <w:lang w:eastAsia="zh-CN"/>
              </w:rPr>
              <w:t>、</w:t>
            </w:r>
            <w:r>
              <w:rPr>
                <w:rFonts w:hint="eastAsia" w:cs="Times New Roman"/>
                <w:color w:val="auto"/>
                <w:sz w:val="24"/>
                <w:highlight w:val="none"/>
                <w:lang w:val="en-US" w:eastAsia="zh-CN"/>
              </w:rPr>
              <w:t>地面清洗废水参考</w:t>
            </w:r>
            <w:r>
              <w:rPr>
                <w:rFonts w:hint="default" w:ascii="Times New Roman" w:hAnsi="Times New Roman" w:eastAsia="宋体" w:cs="Times New Roman"/>
                <w:color w:val="auto"/>
                <w:sz w:val="24"/>
                <w:highlight w:val="none"/>
                <w:lang w:val="en-US" w:eastAsia="zh-CN"/>
              </w:rPr>
              <w:t>《水工业工程设计手册-建筑和小区给排水》中</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12.2.2污水水量和水质</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，本项目生活污水</w:t>
            </w:r>
            <w:r>
              <w:rPr>
                <w:rFonts w:hint="eastAsia" w:cs="Times New Roman"/>
                <w:color w:val="auto"/>
                <w:sz w:val="24"/>
                <w:highlight w:val="none"/>
                <w:lang w:eastAsia="zh-CN"/>
              </w:rPr>
              <w:t>、</w:t>
            </w:r>
            <w:r>
              <w:rPr>
                <w:rFonts w:hint="eastAsia" w:cs="Times New Roman"/>
                <w:color w:val="auto"/>
                <w:sz w:val="24"/>
                <w:highlight w:val="none"/>
                <w:lang w:val="en-US" w:eastAsia="zh-CN"/>
              </w:rPr>
              <w:t>地面清洗废水</w:t>
            </w:r>
            <w:r>
              <w:rPr>
                <w:rFonts w:hint="default" w:ascii="Times New Roman" w:hAnsi="Times New Roman" w:eastAsia="宋体" w:cs="Times New Roman"/>
                <w:color w:val="auto"/>
                <w:sz w:val="24"/>
                <w:highlight w:val="none"/>
                <w:lang w:val="en-US" w:eastAsia="zh-CN"/>
              </w:rPr>
              <w:t>排放量为</w:t>
            </w:r>
            <w:r>
              <w:rPr>
                <w:rFonts w:hint="eastAsia" w:cs="Times New Roman"/>
                <w:color w:val="auto"/>
                <w:sz w:val="24"/>
                <w:highlight w:val="none"/>
                <w:lang w:val="en-US" w:eastAsia="zh-CN"/>
              </w:rPr>
              <w:t>402.3</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/a，水质及排放量参数详见下表。</w:t>
            </w:r>
          </w:p>
          <w:p w14:paraId="6B94BC88">
            <w:pPr>
              <w:keepNext w:val="0"/>
              <w:keepLines w:val="0"/>
              <w:widowControl/>
              <w:numPr>
                <w:ilvl w:val="0"/>
                <w:numId w:val="32"/>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生活污水</w:t>
            </w: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地面清洗废水</w:t>
            </w:r>
            <w:r>
              <w:rPr>
                <w:rFonts w:hint="default" w:ascii="Times New Roman" w:hAnsi="Times New Roman" w:eastAsia="宋体" w:cs="Times New Roman"/>
                <w:b/>
                <w:bCs/>
                <w:color w:val="auto"/>
                <w:sz w:val="24"/>
                <w:highlight w:val="none"/>
              </w:rPr>
              <w:t>水质</w:t>
            </w:r>
            <w:r>
              <w:rPr>
                <w:rFonts w:hint="default" w:ascii="Times New Roman" w:hAnsi="Times New Roman" w:eastAsia="宋体" w:cs="Times New Roman"/>
                <w:b/>
                <w:bCs/>
                <w:color w:val="auto"/>
                <w:sz w:val="24"/>
                <w:highlight w:val="none"/>
                <w:lang w:val="en-US" w:eastAsia="zh-CN"/>
              </w:rPr>
              <w:t>及排放量</w:t>
            </w:r>
          </w:p>
          <w:tbl>
            <w:tblPr>
              <w:tblStyle w:val="23"/>
              <w:tblW w:w="7456"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50"/>
              <w:gridCol w:w="2113"/>
              <w:gridCol w:w="916"/>
              <w:gridCol w:w="869"/>
              <w:gridCol w:w="869"/>
              <w:gridCol w:w="869"/>
              <w:gridCol w:w="870"/>
            </w:tblGrid>
            <w:tr w14:paraId="2D7DEF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3" w:hRule="atLeast"/>
                <w:jc w:val="center"/>
              </w:trPr>
              <w:tc>
                <w:tcPr>
                  <w:tcW w:w="637" w:type="pct"/>
                  <w:tcBorders>
                    <w:tl2br w:val="nil"/>
                    <w:tr2bl w:val="nil"/>
                  </w:tcBorders>
                  <w:vAlign w:val="center"/>
                </w:tcPr>
                <w:p w14:paraId="74D584CE">
                  <w:pPr>
                    <w:adjustRightInd w:val="0"/>
                    <w:snapToGrid w:val="0"/>
                    <w:jc w:val="center"/>
                    <w:rPr>
                      <w:rFonts w:hint="default" w:ascii="Times New Roman" w:hAnsi="Times New Roman" w:eastAsia="宋体" w:cs="Times New Roman"/>
                      <w:b/>
                      <w:color w:val="auto"/>
                      <w:szCs w:val="21"/>
                      <w:highlight w:val="none"/>
                      <w:lang w:val="en-US" w:eastAsia="zh-CN"/>
                    </w:rPr>
                  </w:pPr>
                  <w:r>
                    <w:rPr>
                      <w:rFonts w:hint="eastAsia" w:cs="Times New Roman"/>
                      <w:b/>
                      <w:color w:val="auto"/>
                      <w:szCs w:val="21"/>
                      <w:highlight w:val="none"/>
                      <w:lang w:val="en-US" w:eastAsia="zh-CN"/>
                    </w:rPr>
                    <w:t>水量</w:t>
                  </w:r>
                </w:p>
              </w:tc>
              <w:tc>
                <w:tcPr>
                  <w:tcW w:w="1416" w:type="pct"/>
                  <w:tcBorders>
                    <w:tl2br w:val="nil"/>
                    <w:tr2bl w:val="nil"/>
                  </w:tcBorders>
                  <w:vAlign w:val="center"/>
                </w:tcPr>
                <w:p w14:paraId="373160A7">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614" w:type="pct"/>
                  <w:tcBorders>
                    <w:tl2br w:val="nil"/>
                    <w:tr2bl w:val="nil"/>
                  </w:tcBorders>
                  <w:vAlign w:val="center"/>
                </w:tcPr>
                <w:p w14:paraId="06BD8466">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COD</w:t>
                  </w:r>
                  <w:r>
                    <w:rPr>
                      <w:rFonts w:hint="default" w:ascii="Times New Roman" w:hAnsi="Times New Roman" w:eastAsia="宋体" w:cs="Times New Roman"/>
                      <w:b/>
                      <w:color w:val="auto"/>
                      <w:szCs w:val="21"/>
                      <w:highlight w:val="none"/>
                      <w:vertAlign w:val="subscript"/>
                    </w:rPr>
                    <w:t>Cr</w:t>
                  </w:r>
                </w:p>
              </w:tc>
              <w:tc>
                <w:tcPr>
                  <w:tcW w:w="582" w:type="pct"/>
                  <w:tcBorders>
                    <w:tl2br w:val="nil"/>
                    <w:tr2bl w:val="nil"/>
                  </w:tcBorders>
                  <w:vAlign w:val="center"/>
                </w:tcPr>
                <w:p w14:paraId="4DD071A4">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BOD</w:t>
                  </w:r>
                  <w:r>
                    <w:rPr>
                      <w:rFonts w:hint="default" w:ascii="Times New Roman" w:hAnsi="Times New Roman" w:eastAsia="宋体" w:cs="Times New Roman"/>
                      <w:b/>
                      <w:color w:val="auto"/>
                      <w:szCs w:val="21"/>
                      <w:highlight w:val="none"/>
                      <w:vertAlign w:val="subscript"/>
                    </w:rPr>
                    <w:t>5</w:t>
                  </w:r>
                </w:p>
              </w:tc>
              <w:tc>
                <w:tcPr>
                  <w:tcW w:w="582" w:type="pct"/>
                  <w:tcBorders>
                    <w:tl2br w:val="nil"/>
                    <w:tr2bl w:val="nil"/>
                  </w:tcBorders>
                  <w:vAlign w:val="center"/>
                </w:tcPr>
                <w:p w14:paraId="2053B992">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SS</w:t>
                  </w:r>
                </w:p>
              </w:tc>
              <w:tc>
                <w:tcPr>
                  <w:tcW w:w="582" w:type="pct"/>
                  <w:tcBorders>
                    <w:tl2br w:val="nil"/>
                    <w:tr2bl w:val="nil"/>
                  </w:tcBorders>
                  <w:vAlign w:val="center"/>
                </w:tcPr>
                <w:p w14:paraId="1FB181D6">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氨氮</w:t>
                  </w:r>
                </w:p>
              </w:tc>
              <w:tc>
                <w:tcPr>
                  <w:tcW w:w="583" w:type="pct"/>
                  <w:tcBorders>
                    <w:tl2br w:val="nil"/>
                    <w:tr2bl w:val="nil"/>
                  </w:tcBorders>
                  <w:vAlign w:val="center"/>
                </w:tcPr>
                <w:p w14:paraId="418201D8">
                  <w:pPr>
                    <w:adjustRightInd w:val="0"/>
                    <w:snapToGrid w:val="0"/>
                    <w:jc w:val="center"/>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pH</w:t>
                  </w:r>
                </w:p>
              </w:tc>
            </w:tr>
            <w:tr w14:paraId="769A17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6" w:hRule="atLeast"/>
                <w:jc w:val="center"/>
              </w:trPr>
              <w:tc>
                <w:tcPr>
                  <w:tcW w:w="637" w:type="pct"/>
                  <w:vMerge w:val="restart"/>
                  <w:tcBorders>
                    <w:tl2br w:val="nil"/>
                    <w:tr2bl w:val="nil"/>
                  </w:tcBorders>
                  <w:vAlign w:val="center"/>
                </w:tcPr>
                <w:p w14:paraId="38CA44CE">
                  <w:pPr>
                    <w:keepNext w:val="0"/>
                    <w:keepLines w:val="0"/>
                    <w:widowControl/>
                    <w:suppressLineNumbers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402.3</w:t>
                  </w:r>
                </w:p>
                <w:p w14:paraId="63B2584B">
                  <w:pPr>
                    <w:keepNext w:val="0"/>
                    <w:keepLines w:val="0"/>
                    <w:widowControl/>
                    <w:suppressLineNumbers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p>
              </w:tc>
              <w:tc>
                <w:tcPr>
                  <w:tcW w:w="1416" w:type="pct"/>
                  <w:tcBorders>
                    <w:tl2br w:val="nil"/>
                    <w:tr2bl w:val="nil"/>
                  </w:tcBorders>
                  <w:vAlign w:val="center"/>
                </w:tcPr>
                <w:p w14:paraId="36C6F21C">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浓度范围</w:t>
                  </w:r>
                  <w:r>
                    <w:rPr>
                      <w:rFonts w:hint="default" w:ascii="Times New Roman" w:hAnsi="Times New Roman" w:eastAsia="宋体" w:cs="Times New Roman"/>
                      <w:color w:val="auto"/>
                      <w:szCs w:val="21"/>
                      <w:highlight w:val="none"/>
                    </w:rPr>
                    <w:t>（mg/L）</w:t>
                  </w:r>
                </w:p>
              </w:tc>
              <w:tc>
                <w:tcPr>
                  <w:tcW w:w="614" w:type="pct"/>
                  <w:tcBorders>
                    <w:tl2br w:val="nil"/>
                    <w:tr2bl w:val="nil"/>
                  </w:tcBorders>
                  <w:vAlign w:val="center"/>
                </w:tcPr>
                <w:p w14:paraId="3826C9FE">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350~450</w:t>
                  </w:r>
                </w:p>
              </w:tc>
              <w:tc>
                <w:tcPr>
                  <w:tcW w:w="582" w:type="pct"/>
                  <w:tcBorders>
                    <w:tl2br w:val="nil"/>
                    <w:tr2bl w:val="nil"/>
                  </w:tcBorders>
                  <w:vAlign w:val="center"/>
                </w:tcPr>
                <w:p w14:paraId="53E6805F">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180~250</w:t>
                  </w:r>
                </w:p>
              </w:tc>
              <w:tc>
                <w:tcPr>
                  <w:tcW w:w="582" w:type="pct"/>
                  <w:tcBorders>
                    <w:tl2br w:val="nil"/>
                    <w:tr2bl w:val="nil"/>
                  </w:tcBorders>
                  <w:vAlign w:val="center"/>
                </w:tcPr>
                <w:p w14:paraId="435E7548">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200~300</w:t>
                  </w:r>
                </w:p>
              </w:tc>
              <w:tc>
                <w:tcPr>
                  <w:tcW w:w="582" w:type="pct"/>
                  <w:tcBorders>
                    <w:tl2br w:val="nil"/>
                    <w:tr2bl w:val="nil"/>
                  </w:tcBorders>
                  <w:vAlign w:val="center"/>
                </w:tcPr>
                <w:p w14:paraId="73E98A05">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35~40</w:t>
                  </w:r>
                </w:p>
              </w:tc>
              <w:tc>
                <w:tcPr>
                  <w:tcW w:w="583" w:type="pct"/>
                  <w:tcBorders>
                    <w:tl2br w:val="nil"/>
                    <w:tr2bl w:val="nil"/>
                  </w:tcBorders>
                  <w:vAlign w:val="center"/>
                </w:tcPr>
                <w:p w14:paraId="4FAB941D">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6.5~7.5</w:t>
                  </w:r>
                </w:p>
                <w:p w14:paraId="70627D2C">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(无量纲)</w:t>
                  </w:r>
                </w:p>
              </w:tc>
            </w:tr>
            <w:tr w14:paraId="486244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6" w:hRule="atLeast"/>
                <w:jc w:val="center"/>
              </w:trPr>
              <w:tc>
                <w:tcPr>
                  <w:tcW w:w="637" w:type="pct"/>
                  <w:vMerge w:val="continue"/>
                  <w:tcBorders>
                    <w:tl2br w:val="nil"/>
                    <w:tr2bl w:val="nil"/>
                  </w:tcBorders>
                  <w:vAlign w:val="center"/>
                </w:tcPr>
                <w:p w14:paraId="50ED02C4">
                  <w:pPr>
                    <w:adjustRightInd w:val="0"/>
                    <w:snapToGrid w:val="0"/>
                    <w:jc w:val="center"/>
                    <w:rPr>
                      <w:rFonts w:hint="default" w:ascii="Times New Roman" w:hAnsi="Times New Roman" w:eastAsia="宋体" w:cs="Times New Roman"/>
                      <w:color w:val="auto"/>
                      <w:szCs w:val="21"/>
                      <w:highlight w:val="none"/>
                    </w:rPr>
                  </w:pPr>
                </w:p>
              </w:tc>
              <w:tc>
                <w:tcPr>
                  <w:tcW w:w="1416" w:type="pct"/>
                  <w:tcBorders>
                    <w:tl2br w:val="nil"/>
                    <w:tr2bl w:val="nil"/>
                  </w:tcBorders>
                  <w:vAlign w:val="center"/>
                </w:tcPr>
                <w:p w14:paraId="72EB3487">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本项目取值</w:t>
                  </w:r>
                  <w:r>
                    <w:rPr>
                      <w:rFonts w:hint="default" w:ascii="Times New Roman" w:hAnsi="Times New Roman" w:eastAsia="宋体" w:cs="Times New Roman"/>
                      <w:color w:val="auto"/>
                      <w:szCs w:val="21"/>
                      <w:highlight w:val="none"/>
                    </w:rPr>
                    <w:t>（mg/L）</w:t>
                  </w:r>
                </w:p>
              </w:tc>
              <w:tc>
                <w:tcPr>
                  <w:tcW w:w="614" w:type="pct"/>
                  <w:tcBorders>
                    <w:tl2br w:val="nil"/>
                    <w:tr2bl w:val="nil"/>
                  </w:tcBorders>
                  <w:vAlign w:val="center"/>
                </w:tcPr>
                <w:p w14:paraId="20F4F307">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450</w:t>
                  </w:r>
                </w:p>
              </w:tc>
              <w:tc>
                <w:tcPr>
                  <w:tcW w:w="582" w:type="pct"/>
                  <w:tcBorders>
                    <w:tl2br w:val="nil"/>
                    <w:tr2bl w:val="nil"/>
                  </w:tcBorders>
                  <w:vAlign w:val="center"/>
                </w:tcPr>
                <w:p w14:paraId="60881415">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250</w:t>
                  </w:r>
                </w:p>
              </w:tc>
              <w:tc>
                <w:tcPr>
                  <w:tcW w:w="582" w:type="pct"/>
                  <w:tcBorders>
                    <w:tl2br w:val="nil"/>
                    <w:tr2bl w:val="nil"/>
                  </w:tcBorders>
                  <w:vAlign w:val="center"/>
                </w:tcPr>
                <w:p w14:paraId="28ADA4A5">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300</w:t>
                  </w:r>
                </w:p>
              </w:tc>
              <w:tc>
                <w:tcPr>
                  <w:tcW w:w="582" w:type="pct"/>
                  <w:tcBorders>
                    <w:tl2br w:val="nil"/>
                    <w:tr2bl w:val="nil"/>
                  </w:tcBorders>
                  <w:vAlign w:val="center"/>
                </w:tcPr>
                <w:p w14:paraId="38F0C952">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w:t>
                  </w:r>
                </w:p>
              </w:tc>
              <w:tc>
                <w:tcPr>
                  <w:tcW w:w="583" w:type="pct"/>
                  <w:tcBorders>
                    <w:tl2br w:val="nil"/>
                    <w:tr2bl w:val="nil"/>
                  </w:tcBorders>
                  <w:vAlign w:val="center"/>
                </w:tcPr>
                <w:p w14:paraId="1546AC3C">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6.5~7.5</w:t>
                  </w:r>
                </w:p>
                <w:p w14:paraId="6490128C">
                  <w:pPr>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(无量纲)</w:t>
                  </w:r>
                </w:p>
              </w:tc>
            </w:tr>
            <w:tr w14:paraId="59698ED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1" w:hRule="atLeast"/>
                <w:jc w:val="center"/>
              </w:trPr>
              <w:tc>
                <w:tcPr>
                  <w:tcW w:w="637" w:type="pct"/>
                  <w:vMerge w:val="continue"/>
                  <w:tcBorders>
                    <w:tl2br w:val="nil"/>
                    <w:tr2bl w:val="nil"/>
                  </w:tcBorders>
                  <w:vAlign w:val="center"/>
                </w:tcPr>
                <w:p w14:paraId="3AC5694A">
                  <w:pPr>
                    <w:keepNext w:val="0"/>
                    <w:keepLines w:val="0"/>
                    <w:widowControl/>
                    <w:suppressLineNumbers w:val="0"/>
                    <w:ind w:firstLine="420" w:firstLineChars="200"/>
                    <w:jc w:val="center"/>
                    <w:rPr>
                      <w:rFonts w:hint="default" w:ascii="Times New Roman" w:hAnsi="Times New Roman" w:eastAsia="宋体" w:cs="Times New Roman"/>
                      <w:color w:val="auto"/>
                      <w:szCs w:val="21"/>
                      <w:highlight w:val="none"/>
                      <w:lang w:val="en-US" w:eastAsia="zh-CN"/>
                    </w:rPr>
                  </w:pPr>
                </w:p>
              </w:tc>
              <w:tc>
                <w:tcPr>
                  <w:tcW w:w="1416" w:type="pct"/>
                  <w:tcBorders>
                    <w:tl2br w:val="nil"/>
                    <w:tr2bl w:val="nil"/>
                  </w:tcBorders>
                  <w:vAlign w:val="center"/>
                </w:tcPr>
                <w:p w14:paraId="0C00AA88">
                  <w:pPr>
                    <w:keepNext w:val="0"/>
                    <w:keepLines w:val="0"/>
                    <w:widowControl/>
                    <w:suppressLineNumbers w:val="0"/>
                    <w:ind w:firstLine="420" w:firstLineChars="20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排放量（</w:t>
                  </w:r>
                  <w:r>
                    <w:rPr>
                      <w:rFonts w:hint="default" w:ascii="Times New Roman" w:hAnsi="Times New Roman" w:eastAsia="宋体" w:cs="Times New Roman"/>
                      <w:color w:val="auto"/>
                      <w:kern w:val="0"/>
                      <w:sz w:val="21"/>
                      <w:szCs w:val="21"/>
                      <w:lang w:val="en-US" w:eastAsia="zh-CN" w:bidi="ar"/>
                    </w:rPr>
                    <w:t>t/a</w:t>
                  </w:r>
                  <w:r>
                    <w:rPr>
                      <w:rFonts w:hint="default" w:ascii="Times New Roman" w:hAnsi="Times New Roman" w:eastAsia="宋体" w:cs="Times New Roman"/>
                      <w:color w:val="auto"/>
                      <w:szCs w:val="21"/>
                      <w:highlight w:val="none"/>
                      <w:lang w:val="en-US" w:eastAsia="zh-CN"/>
                    </w:rPr>
                    <w:t>）</w:t>
                  </w:r>
                </w:p>
              </w:tc>
              <w:tc>
                <w:tcPr>
                  <w:tcW w:w="614" w:type="pct"/>
                  <w:tcBorders>
                    <w:tl2br w:val="nil"/>
                    <w:tr2bl w:val="nil"/>
                  </w:tcBorders>
                  <w:vAlign w:val="center"/>
                </w:tcPr>
                <w:p w14:paraId="1991A26F">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1810</w:t>
                  </w:r>
                </w:p>
              </w:tc>
              <w:tc>
                <w:tcPr>
                  <w:tcW w:w="582" w:type="pct"/>
                  <w:tcBorders>
                    <w:tl2br w:val="nil"/>
                    <w:tr2bl w:val="nil"/>
                  </w:tcBorders>
                  <w:vAlign w:val="center"/>
                </w:tcPr>
                <w:p w14:paraId="4E95C042">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1006</w:t>
                  </w:r>
                </w:p>
              </w:tc>
              <w:tc>
                <w:tcPr>
                  <w:tcW w:w="582" w:type="pct"/>
                  <w:tcBorders>
                    <w:tl2br w:val="nil"/>
                    <w:tr2bl w:val="nil"/>
                  </w:tcBorders>
                  <w:vAlign w:val="center"/>
                </w:tcPr>
                <w:p w14:paraId="507C1038">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1207</w:t>
                  </w:r>
                </w:p>
              </w:tc>
              <w:tc>
                <w:tcPr>
                  <w:tcW w:w="582" w:type="pct"/>
                  <w:tcBorders>
                    <w:tl2br w:val="nil"/>
                    <w:tr2bl w:val="nil"/>
                  </w:tcBorders>
                  <w:vAlign w:val="center"/>
                </w:tcPr>
                <w:p w14:paraId="6CCC5270">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161</w:t>
                  </w:r>
                </w:p>
              </w:tc>
              <w:tc>
                <w:tcPr>
                  <w:tcW w:w="583" w:type="pct"/>
                  <w:tcBorders>
                    <w:tl2br w:val="nil"/>
                    <w:tr2bl w:val="nil"/>
                  </w:tcBorders>
                  <w:vAlign w:val="center"/>
                </w:tcPr>
                <w:p w14:paraId="59187A3F">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bl>
          <w:p w14:paraId="5B24C892">
            <w:pPr>
              <w:numPr>
                <w:ilvl w:val="0"/>
                <w:numId w:val="0"/>
              </w:numPr>
              <w:tabs>
                <w:tab w:val="left" w:pos="0"/>
              </w:tabs>
              <w:spacing w:line="360" w:lineRule="auto"/>
              <w:ind w:left="420" w:leftChars="0"/>
              <w:rPr>
                <w:rFonts w:hint="default" w:ascii="Times New Roman" w:hAnsi="Times New Roman" w:eastAsia="宋体" w:cs="Times New Roman"/>
                <w:bCs/>
                <w:color w:val="auto"/>
                <w:sz w:val="24"/>
                <w:highlight w:val="none"/>
                <w:lang w:val="en-US" w:eastAsia="zh-CN"/>
              </w:rPr>
            </w:pPr>
            <w:r>
              <w:rPr>
                <w:rFonts w:hint="eastAsia" w:cs="Times New Roman"/>
                <w:color w:val="auto"/>
                <w:sz w:val="24"/>
                <w:highlight w:val="none"/>
                <w:lang w:val="en-US" w:eastAsia="zh-CN"/>
              </w:rPr>
              <w:t>2）</w:t>
            </w:r>
            <w:r>
              <w:rPr>
                <w:rFonts w:hint="eastAsia" w:cs="Times New Roman"/>
                <w:bCs/>
                <w:color w:val="auto"/>
                <w:sz w:val="24"/>
                <w:highlight w:val="none"/>
                <w:lang w:val="en-US" w:eastAsia="zh-CN"/>
              </w:rPr>
              <w:t>容器</w:t>
            </w:r>
            <w:r>
              <w:rPr>
                <w:rFonts w:hint="default" w:ascii="Times New Roman" w:hAnsi="Times New Roman" w:eastAsia="宋体" w:cs="Times New Roman"/>
                <w:bCs/>
                <w:color w:val="auto"/>
                <w:sz w:val="24"/>
                <w:highlight w:val="none"/>
                <w:lang w:val="en-US" w:eastAsia="zh-CN"/>
              </w:rPr>
              <w:t>第三次</w:t>
            </w:r>
            <w:r>
              <w:rPr>
                <w:rFonts w:hint="eastAsia" w:cs="Times New Roman"/>
                <w:bCs/>
                <w:color w:val="auto"/>
                <w:sz w:val="24"/>
                <w:highlight w:val="none"/>
                <w:lang w:val="en-US" w:eastAsia="zh-CN"/>
              </w:rPr>
              <w:t>及以后</w:t>
            </w:r>
            <w:r>
              <w:rPr>
                <w:rFonts w:hint="default" w:ascii="Times New Roman" w:hAnsi="Times New Roman" w:eastAsia="宋体" w:cs="Times New Roman"/>
                <w:bCs/>
                <w:color w:val="auto"/>
                <w:sz w:val="24"/>
                <w:highlight w:val="none"/>
                <w:lang w:val="en-US" w:eastAsia="zh-CN"/>
              </w:rPr>
              <w:t>清洗废水</w:t>
            </w:r>
            <w:r>
              <w:rPr>
                <w:rFonts w:hint="eastAsia" w:cs="Times New Roman"/>
                <w:color w:val="auto"/>
                <w:sz w:val="24"/>
                <w:highlight w:val="none"/>
                <w:lang w:eastAsia="zh-CN"/>
              </w:rPr>
              <w:t>、</w:t>
            </w:r>
            <w:r>
              <w:rPr>
                <w:rFonts w:hint="eastAsia" w:cs="Times New Roman"/>
                <w:color w:val="auto"/>
                <w:sz w:val="24"/>
                <w:highlight w:val="none"/>
                <w:lang w:val="en-US" w:eastAsia="zh-CN"/>
              </w:rPr>
              <w:t>高压蒸汽灭菌废水</w:t>
            </w:r>
          </w:p>
          <w:p w14:paraId="099CF035">
            <w:pPr>
              <w:numPr>
                <w:ilvl w:val="0"/>
                <w:numId w:val="0"/>
              </w:numPr>
              <w:tabs>
                <w:tab w:val="left" w:pos="0"/>
              </w:tabs>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ascii="Times New Roman" w:hAnsi="Times New Roman" w:cs="Times New Roman"/>
                <w:bCs/>
                <w:color w:val="auto"/>
                <w:sz w:val="24"/>
                <w:highlight w:val="none"/>
                <w:lang w:val="en-US" w:eastAsia="zh-CN"/>
              </w:rPr>
              <w:t>本项目</w:t>
            </w:r>
            <w:r>
              <w:rPr>
                <w:rFonts w:hint="eastAsia" w:cs="Times New Roman"/>
                <w:bCs/>
                <w:color w:val="auto"/>
                <w:sz w:val="24"/>
                <w:highlight w:val="none"/>
                <w:lang w:val="en-US" w:eastAsia="zh-CN"/>
              </w:rPr>
              <w:t>容器</w:t>
            </w:r>
            <w:r>
              <w:rPr>
                <w:rFonts w:hint="default" w:ascii="Times New Roman" w:hAnsi="Times New Roman" w:eastAsia="宋体" w:cs="Times New Roman"/>
                <w:bCs/>
                <w:color w:val="auto"/>
                <w:sz w:val="24"/>
                <w:highlight w:val="none"/>
                <w:lang w:val="en-US" w:eastAsia="zh-CN"/>
              </w:rPr>
              <w:t>第三次</w:t>
            </w:r>
            <w:r>
              <w:rPr>
                <w:rFonts w:hint="eastAsia" w:cs="Times New Roman"/>
                <w:bCs/>
                <w:color w:val="auto"/>
                <w:sz w:val="24"/>
                <w:highlight w:val="none"/>
                <w:lang w:val="en-US" w:eastAsia="zh-CN"/>
              </w:rPr>
              <w:t>及以后清洗废水</w:t>
            </w:r>
            <w:r>
              <w:rPr>
                <w:rFonts w:hint="eastAsia" w:cs="Times New Roman"/>
                <w:color w:val="auto"/>
                <w:sz w:val="24"/>
                <w:highlight w:val="none"/>
                <w:lang w:eastAsia="zh-CN"/>
              </w:rPr>
              <w:t>、</w:t>
            </w:r>
            <w:r>
              <w:rPr>
                <w:rFonts w:hint="eastAsia" w:cs="Times New Roman"/>
                <w:color w:val="auto"/>
                <w:sz w:val="24"/>
                <w:highlight w:val="none"/>
                <w:lang w:val="en-US" w:eastAsia="zh-CN"/>
              </w:rPr>
              <w:t>高压蒸汽灭菌废水</w:t>
            </w:r>
            <w:r>
              <w:rPr>
                <w:rFonts w:hint="eastAsia" w:ascii="Times New Roman" w:hAnsi="Times New Roman" w:cs="Times New Roman"/>
                <w:bCs/>
                <w:color w:val="auto"/>
                <w:sz w:val="24"/>
                <w:highlight w:val="none"/>
                <w:lang w:val="en-US" w:eastAsia="zh-CN"/>
              </w:rPr>
              <w:t>参照《科研单位实验室废水处理工程设计与分析》（给水排水2012年第1期第38卷）中的参数，其中BOD按照B/C比为0.3取值，则清洗废水水质为COD</w:t>
            </w:r>
            <w:r>
              <w:rPr>
                <w:rFonts w:hint="eastAsia" w:ascii="Times New Roman" w:hAnsi="Times New Roman" w:cs="Times New Roman"/>
                <w:bCs/>
                <w:color w:val="auto"/>
                <w:sz w:val="24"/>
                <w:highlight w:val="none"/>
                <w:vertAlign w:val="subscript"/>
                <w:lang w:val="en-US" w:eastAsia="zh-CN"/>
              </w:rPr>
              <w:t>Cr</w:t>
            </w:r>
            <w:r>
              <w:rPr>
                <w:rFonts w:hint="eastAsia" w:ascii="Times New Roman" w:hAnsi="Times New Roman" w:cs="Times New Roman"/>
                <w:bCs/>
                <w:color w:val="auto"/>
                <w:sz w:val="24"/>
                <w:highlight w:val="none"/>
                <w:lang w:val="en-US" w:eastAsia="zh-CN"/>
              </w:rPr>
              <w:t>200mg/L、BOD</w:t>
            </w:r>
            <w:r>
              <w:rPr>
                <w:rFonts w:hint="eastAsia" w:ascii="Times New Roman" w:hAnsi="Times New Roman" w:cs="Times New Roman"/>
                <w:bCs/>
                <w:color w:val="auto"/>
                <w:sz w:val="24"/>
                <w:highlight w:val="none"/>
                <w:vertAlign w:val="subscript"/>
                <w:lang w:val="en-US" w:eastAsia="zh-CN"/>
              </w:rPr>
              <w:t>5</w:t>
            </w:r>
            <w:r>
              <w:rPr>
                <w:rFonts w:hint="eastAsia" w:ascii="Times New Roman" w:hAnsi="Times New Roman" w:cs="Times New Roman"/>
                <w:bCs/>
                <w:color w:val="auto"/>
                <w:sz w:val="24"/>
                <w:highlight w:val="none"/>
                <w:lang w:val="en-US" w:eastAsia="zh-CN"/>
              </w:rPr>
              <w:t>60mg/L、SS100mg/L、氨氮25mg/L。</w:t>
            </w:r>
            <w:r>
              <w:rPr>
                <w:rFonts w:hint="default" w:ascii="Times New Roman" w:hAnsi="Times New Roman" w:eastAsia="宋体" w:cs="Times New Roman"/>
                <w:bCs/>
                <w:color w:val="auto"/>
                <w:sz w:val="24"/>
                <w:highlight w:val="none"/>
                <w:lang w:val="en-US" w:eastAsia="zh-CN"/>
              </w:rPr>
              <w:t>废水</w:t>
            </w:r>
            <w:r>
              <w:rPr>
                <w:rFonts w:hint="default" w:ascii="Times New Roman" w:hAnsi="Times New Roman" w:eastAsia="宋体" w:cs="Times New Roman"/>
                <w:color w:val="auto"/>
                <w:sz w:val="24"/>
                <w:highlight w:val="none"/>
                <w:lang w:val="en-US" w:eastAsia="zh-CN"/>
              </w:rPr>
              <w:t>水质及排放量参数详见下表</w:t>
            </w:r>
            <w:r>
              <w:rPr>
                <w:rFonts w:hint="default" w:ascii="Times New Roman" w:hAnsi="Times New Roman" w:eastAsia="宋体" w:cs="Times New Roman"/>
                <w:bCs/>
                <w:color w:val="auto"/>
                <w:sz w:val="24"/>
                <w:highlight w:val="none"/>
                <w:lang w:val="en-US" w:eastAsia="zh-CN"/>
              </w:rPr>
              <w:t>。</w:t>
            </w:r>
          </w:p>
          <w:p w14:paraId="21CADBB4">
            <w:pPr>
              <w:keepNext w:val="0"/>
              <w:keepLines w:val="0"/>
              <w:widowControl/>
              <w:numPr>
                <w:ilvl w:val="0"/>
                <w:numId w:val="32"/>
              </w:numPr>
              <w:suppressLineNumbers w:val="0"/>
              <w:ind w:left="425" w:leftChars="0" w:hanging="425" w:firstLineChars="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实验室废水产生情况一览表</w:t>
            </w:r>
          </w:p>
          <w:tbl>
            <w:tblPr>
              <w:tblStyle w:val="23"/>
              <w:tblW w:w="500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89"/>
              <w:gridCol w:w="2568"/>
              <w:gridCol w:w="960"/>
              <w:gridCol w:w="1080"/>
              <w:gridCol w:w="936"/>
              <w:gridCol w:w="1146"/>
            </w:tblGrid>
            <w:tr w14:paraId="3F8C95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586" w:type="pct"/>
                  <w:tcBorders>
                    <w:tl2br w:val="nil"/>
                    <w:tr2bl w:val="nil"/>
                  </w:tcBorders>
                  <w:shd w:val="clear" w:color="auto" w:fill="auto"/>
                  <w:vAlign w:val="center"/>
                </w:tcPr>
                <w:p w14:paraId="09E3B27D">
                  <w:pPr>
                    <w:adjustRightInd w:val="0"/>
                    <w:snapToGrid w:val="0"/>
                    <w:jc w:val="center"/>
                    <w:rPr>
                      <w:rFonts w:hint="default" w:ascii="Times New Roman" w:hAnsi="Times New Roman" w:eastAsia="宋体" w:cs="Times New Roman"/>
                      <w:b/>
                      <w:color w:val="auto"/>
                      <w:kern w:val="2"/>
                      <w:sz w:val="21"/>
                      <w:szCs w:val="21"/>
                      <w:highlight w:val="none"/>
                      <w:lang w:val="en-US" w:eastAsia="zh-CN" w:bidi="ar-SA"/>
                    </w:rPr>
                  </w:pPr>
                  <w:r>
                    <w:rPr>
                      <w:rFonts w:hint="eastAsia" w:cs="Times New Roman"/>
                      <w:b/>
                      <w:color w:val="auto"/>
                      <w:szCs w:val="21"/>
                      <w:highlight w:val="none"/>
                      <w:lang w:val="en-US" w:eastAsia="zh-CN"/>
                    </w:rPr>
                    <w:t>水量</w:t>
                  </w:r>
                </w:p>
              </w:tc>
              <w:tc>
                <w:tcPr>
                  <w:tcW w:w="1694" w:type="pct"/>
                  <w:tcBorders>
                    <w:tl2br w:val="nil"/>
                    <w:tr2bl w:val="nil"/>
                  </w:tcBorders>
                  <w:vAlign w:val="center"/>
                </w:tcPr>
                <w:p w14:paraId="26CFD7DE">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项目</w:t>
                  </w:r>
                </w:p>
              </w:tc>
              <w:tc>
                <w:tcPr>
                  <w:tcW w:w="633" w:type="pct"/>
                  <w:tcBorders>
                    <w:tl2br w:val="nil"/>
                    <w:tr2bl w:val="nil"/>
                  </w:tcBorders>
                  <w:vAlign w:val="center"/>
                </w:tcPr>
                <w:p w14:paraId="727804F6">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COD</w:t>
                  </w:r>
                  <w:r>
                    <w:rPr>
                      <w:rFonts w:hint="default" w:ascii="Times New Roman" w:hAnsi="Times New Roman" w:eastAsia="宋体" w:cs="Times New Roman"/>
                      <w:b/>
                      <w:color w:val="auto"/>
                      <w:szCs w:val="21"/>
                      <w:highlight w:val="none"/>
                      <w:vertAlign w:val="subscript"/>
                    </w:rPr>
                    <w:t>Cr</w:t>
                  </w:r>
                </w:p>
              </w:tc>
              <w:tc>
                <w:tcPr>
                  <w:tcW w:w="712" w:type="pct"/>
                  <w:tcBorders>
                    <w:tl2br w:val="nil"/>
                    <w:tr2bl w:val="nil"/>
                  </w:tcBorders>
                  <w:vAlign w:val="center"/>
                </w:tcPr>
                <w:p w14:paraId="4ACCBB92">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BOD</w:t>
                  </w:r>
                  <w:r>
                    <w:rPr>
                      <w:rFonts w:hint="default" w:ascii="Times New Roman" w:hAnsi="Times New Roman" w:eastAsia="宋体" w:cs="Times New Roman"/>
                      <w:b/>
                      <w:color w:val="auto"/>
                      <w:szCs w:val="21"/>
                      <w:highlight w:val="none"/>
                      <w:vertAlign w:val="subscript"/>
                    </w:rPr>
                    <w:t>5</w:t>
                  </w:r>
                </w:p>
              </w:tc>
              <w:tc>
                <w:tcPr>
                  <w:tcW w:w="617" w:type="pct"/>
                  <w:tcBorders>
                    <w:tl2br w:val="nil"/>
                    <w:tr2bl w:val="nil"/>
                  </w:tcBorders>
                  <w:vAlign w:val="center"/>
                </w:tcPr>
                <w:p w14:paraId="3F35D530">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SS</w:t>
                  </w:r>
                </w:p>
              </w:tc>
              <w:tc>
                <w:tcPr>
                  <w:tcW w:w="756" w:type="pct"/>
                  <w:tcBorders>
                    <w:tl2br w:val="nil"/>
                    <w:tr2bl w:val="nil"/>
                  </w:tcBorders>
                  <w:vAlign w:val="center"/>
                </w:tcPr>
                <w:p w14:paraId="69537E4B">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氨氮</w:t>
                  </w:r>
                </w:p>
              </w:tc>
            </w:tr>
            <w:tr w14:paraId="726985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7" w:hRule="atLeast"/>
                <w:jc w:val="center"/>
              </w:trPr>
              <w:tc>
                <w:tcPr>
                  <w:tcW w:w="586" w:type="pct"/>
                  <w:vMerge w:val="restart"/>
                  <w:tcBorders>
                    <w:tl2br w:val="nil"/>
                    <w:tr2bl w:val="nil"/>
                  </w:tcBorders>
                  <w:shd w:val="clear" w:color="auto" w:fill="auto"/>
                  <w:vAlign w:val="center"/>
                </w:tcPr>
                <w:p w14:paraId="3F463A23">
                  <w:pPr>
                    <w:keepNext w:val="0"/>
                    <w:keepLines w:val="0"/>
                    <w:widowControl/>
                    <w:suppressLineNumbers w:val="0"/>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0.99</w:t>
                  </w:r>
                </w:p>
                <w:p w14:paraId="40C067E1">
                  <w:pPr>
                    <w:keepNext w:val="0"/>
                    <w:keepLines w:val="0"/>
                    <w:widowControl/>
                    <w:suppressLineNumbers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/a</w:t>
                  </w:r>
                </w:p>
              </w:tc>
              <w:tc>
                <w:tcPr>
                  <w:tcW w:w="1694" w:type="pct"/>
                  <w:tcBorders>
                    <w:tl2br w:val="nil"/>
                    <w:tr2bl w:val="nil"/>
                  </w:tcBorders>
                  <w:vAlign w:val="center"/>
                </w:tcPr>
                <w:p w14:paraId="0F26B5A5">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清洗废水</w:t>
                  </w:r>
                  <w:r>
                    <w:rPr>
                      <w:rFonts w:hint="eastAsia" w:cs="Times New Roman"/>
                      <w:color w:val="auto"/>
                      <w:szCs w:val="21"/>
                      <w:highlight w:val="none"/>
                      <w:lang w:val="en-US" w:eastAsia="zh-CN"/>
                    </w:rPr>
                    <w:t>产生浓度</w:t>
                  </w:r>
                  <w:r>
                    <w:rPr>
                      <w:rFonts w:hint="default" w:ascii="Times New Roman" w:hAnsi="Times New Roman" w:eastAsia="宋体" w:cs="Times New Roman"/>
                      <w:color w:val="auto"/>
                      <w:szCs w:val="21"/>
                      <w:highlight w:val="none"/>
                    </w:rPr>
                    <w:t>（mg/L）</w:t>
                  </w:r>
                </w:p>
              </w:tc>
              <w:tc>
                <w:tcPr>
                  <w:tcW w:w="633" w:type="pct"/>
                  <w:tcBorders>
                    <w:tl2br w:val="nil"/>
                    <w:tr2bl w:val="nil"/>
                  </w:tcBorders>
                  <w:vAlign w:val="center"/>
                </w:tcPr>
                <w:p w14:paraId="5EEE11F4">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200</w:t>
                  </w:r>
                </w:p>
              </w:tc>
              <w:tc>
                <w:tcPr>
                  <w:tcW w:w="712" w:type="pct"/>
                  <w:tcBorders>
                    <w:tl2br w:val="nil"/>
                    <w:tr2bl w:val="nil"/>
                  </w:tcBorders>
                  <w:vAlign w:val="center"/>
                </w:tcPr>
                <w:p w14:paraId="7359B495">
                  <w:pPr>
                    <w:adjustRightInd w:val="0"/>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6</w:t>
                  </w:r>
                  <w:r>
                    <w:rPr>
                      <w:rFonts w:hint="default" w:ascii="Times New Roman" w:hAnsi="Times New Roman" w:eastAsia="宋体" w:cs="Times New Roman"/>
                      <w:color w:val="auto"/>
                      <w:szCs w:val="21"/>
                      <w:highlight w:val="none"/>
                    </w:rPr>
                    <w:t>0</w:t>
                  </w:r>
                </w:p>
              </w:tc>
              <w:tc>
                <w:tcPr>
                  <w:tcW w:w="617" w:type="pct"/>
                  <w:tcBorders>
                    <w:tl2br w:val="nil"/>
                    <w:tr2bl w:val="nil"/>
                  </w:tcBorders>
                  <w:vAlign w:val="center"/>
                </w:tcPr>
                <w:p w14:paraId="5060CE29">
                  <w:pPr>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10</w:t>
                  </w:r>
                  <w:r>
                    <w:rPr>
                      <w:rFonts w:hint="default" w:ascii="Times New Roman" w:hAnsi="Times New Roman" w:eastAsia="宋体" w:cs="Times New Roman"/>
                      <w:color w:val="auto"/>
                      <w:szCs w:val="21"/>
                      <w:highlight w:val="none"/>
                    </w:rPr>
                    <w:t>0</w:t>
                  </w:r>
                </w:p>
              </w:tc>
              <w:tc>
                <w:tcPr>
                  <w:tcW w:w="756" w:type="pct"/>
                  <w:tcBorders>
                    <w:tl2br w:val="nil"/>
                    <w:tr2bl w:val="nil"/>
                  </w:tcBorders>
                  <w:vAlign w:val="center"/>
                </w:tcPr>
                <w:p w14:paraId="65697C29">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w:t>
                  </w:r>
                </w:p>
              </w:tc>
            </w:tr>
            <w:tr w14:paraId="6F2150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7" w:hRule="atLeast"/>
                <w:jc w:val="center"/>
              </w:trPr>
              <w:tc>
                <w:tcPr>
                  <w:tcW w:w="586" w:type="pct"/>
                  <w:vMerge w:val="continue"/>
                  <w:tcBorders>
                    <w:tl2br w:val="nil"/>
                    <w:tr2bl w:val="nil"/>
                  </w:tcBorders>
                  <w:vAlign w:val="center"/>
                </w:tcPr>
                <w:p w14:paraId="3B7E115C">
                  <w:pPr>
                    <w:keepNext w:val="0"/>
                    <w:keepLines w:val="0"/>
                    <w:widowControl/>
                    <w:suppressLineNumbers w:val="0"/>
                    <w:ind w:firstLine="420" w:firstLineChars="200"/>
                    <w:jc w:val="left"/>
                    <w:rPr>
                      <w:rFonts w:hint="default" w:ascii="Times New Roman" w:hAnsi="Times New Roman" w:eastAsia="宋体" w:cs="Times New Roman"/>
                      <w:color w:val="auto"/>
                      <w:szCs w:val="21"/>
                      <w:highlight w:val="none"/>
                      <w:lang w:val="en-US" w:eastAsia="zh-CN"/>
                    </w:rPr>
                  </w:pPr>
                </w:p>
              </w:tc>
              <w:tc>
                <w:tcPr>
                  <w:tcW w:w="1694" w:type="pct"/>
                  <w:tcBorders>
                    <w:tl2br w:val="nil"/>
                    <w:tr2bl w:val="nil"/>
                  </w:tcBorders>
                  <w:vAlign w:val="center"/>
                </w:tcPr>
                <w:p w14:paraId="2FE6651A">
                  <w:pPr>
                    <w:keepNext w:val="0"/>
                    <w:keepLines w:val="0"/>
                    <w:widowControl/>
                    <w:suppressLineNumbers w:val="0"/>
                    <w:ind w:firstLine="420" w:firstLineChars="20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排放量（</w:t>
                  </w:r>
                  <w:r>
                    <w:rPr>
                      <w:rFonts w:hint="default" w:ascii="Times New Roman" w:hAnsi="Times New Roman" w:eastAsia="宋体" w:cs="Times New Roman"/>
                      <w:color w:val="auto"/>
                      <w:kern w:val="0"/>
                      <w:sz w:val="21"/>
                      <w:szCs w:val="21"/>
                      <w:lang w:val="en-US" w:eastAsia="zh-CN" w:bidi="ar"/>
                    </w:rPr>
                    <w:t>t/a</w:t>
                  </w:r>
                  <w:r>
                    <w:rPr>
                      <w:rFonts w:hint="default" w:ascii="Times New Roman" w:hAnsi="Times New Roman" w:eastAsia="宋体" w:cs="Times New Roman"/>
                      <w:color w:val="auto"/>
                      <w:szCs w:val="21"/>
                      <w:highlight w:val="none"/>
                      <w:lang w:val="en-US" w:eastAsia="zh-CN"/>
                    </w:rPr>
                    <w:t>）</w:t>
                  </w:r>
                </w:p>
              </w:tc>
              <w:tc>
                <w:tcPr>
                  <w:tcW w:w="633" w:type="pct"/>
                  <w:tcBorders>
                    <w:tl2br w:val="nil"/>
                    <w:tr2bl w:val="nil"/>
                  </w:tcBorders>
                  <w:vAlign w:val="center"/>
                </w:tcPr>
                <w:p w14:paraId="3D926EC5">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2</w:t>
                  </w:r>
                </w:p>
              </w:tc>
              <w:tc>
                <w:tcPr>
                  <w:tcW w:w="712" w:type="pct"/>
                  <w:tcBorders>
                    <w:tl2br w:val="nil"/>
                    <w:tr2bl w:val="nil"/>
                  </w:tcBorders>
                  <w:vAlign w:val="center"/>
                </w:tcPr>
                <w:p w14:paraId="02ACB996">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06</w:t>
                  </w:r>
                </w:p>
              </w:tc>
              <w:tc>
                <w:tcPr>
                  <w:tcW w:w="617" w:type="pct"/>
                  <w:tcBorders>
                    <w:tl2br w:val="nil"/>
                    <w:tr2bl w:val="nil"/>
                  </w:tcBorders>
                  <w:vAlign w:val="center"/>
                </w:tcPr>
                <w:p w14:paraId="7FB951F9">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01</w:t>
                  </w:r>
                </w:p>
              </w:tc>
              <w:tc>
                <w:tcPr>
                  <w:tcW w:w="756" w:type="pct"/>
                  <w:tcBorders>
                    <w:tl2br w:val="nil"/>
                    <w:tr2bl w:val="nil"/>
                  </w:tcBorders>
                  <w:vAlign w:val="center"/>
                </w:tcPr>
                <w:p w14:paraId="581AD5D2">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0.0000</w:t>
                  </w:r>
                  <w:r>
                    <w:rPr>
                      <w:rFonts w:hint="eastAsia" w:cs="Times New Roman"/>
                      <w:color w:val="auto"/>
                      <w:szCs w:val="21"/>
                      <w:highlight w:val="none"/>
                      <w:lang w:val="en-US" w:eastAsia="zh-CN"/>
                    </w:rPr>
                    <w:t>2</w:t>
                  </w:r>
                </w:p>
              </w:tc>
            </w:tr>
          </w:tbl>
          <w:p w14:paraId="296CA377">
            <w:pPr>
              <w:numPr>
                <w:ilvl w:val="0"/>
                <w:numId w:val="0"/>
              </w:numPr>
              <w:tabs>
                <w:tab w:val="left" w:pos="0"/>
              </w:tabs>
              <w:spacing w:line="360" w:lineRule="auto"/>
              <w:ind w:left="420" w:leftChars="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综合污水</w:t>
            </w:r>
          </w:p>
          <w:p w14:paraId="4C032BF1">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eastAsia" w:cs="Times New Roman"/>
                <w:bCs/>
                <w:color w:val="auto"/>
                <w:sz w:val="24"/>
                <w:highlight w:val="none"/>
                <w:lang w:val="en-US" w:eastAsia="zh-CN"/>
              </w:rPr>
              <w:t>以上废水一起进园区化粪池，</w:t>
            </w:r>
            <w:r>
              <w:rPr>
                <w:rFonts w:hint="default" w:ascii="Times New Roman" w:hAnsi="Times New Roman" w:eastAsia="宋体" w:cs="Times New Roman"/>
                <w:bCs/>
                <w:color w:val="auto"/>
                <w:sz w:val="24"/>
                <w:highlight w:val="none"/>
                <w:lang w:val="en-US" w:eastAsia="zh-CN"/>
              </w:rPr>
              <w:t>根据《化粪池原理及水污染物去除率》中数据，化粪池对各个污染物COD</w:t>
            </w:r>
            <w:r>
              <w:rPr>
                <w:rFonts w:hint="default" w:ascii="Times New Roman" w:hAnsi="Times New Roman" w:eastAsia="宋体" w:cs="Times New Roman"/>
                <w:b/>
                <w:bCs/>
                <w:color w:val="auto"/>
                <w:kern w:val="0"/>
                <w:sz w:val="21"/>
                <w:szCs w:val="21"/>
                <w:highlight w:val="none"/>
                <w:vertAlign w:val="subscript"/>
              </w:rPr>
              <w:t>Cr</w:t>
            </w:r>
            <w:r>
              <w:rPr>
                <w:rFonts w:hint="default" w:ascii="Times New Roman" w:hAnsi="Times New Roman" w:eastAsia="宋体" w:cs="Times New Roman"/>
                <w:bCs/>
                <w:color w:val="auto"/>
                <w:sz w:val="24"/>
                <w:highlight w:val="none"/>
                <w:lang w:val="en-US" w:eastAsia="zh-CN"/>
              </w:rPr>
              <w:t>、BOD</w:t>
            </w:r>
            <w:r>
              <w:rPr>
                <w:rFonts w:hint="default" w:ascii="Times New Roman" w:hAnsi="Times New Roman" w:eastAsia="宋体" w:cs="Times New Roman"/>
                <w:bCs/>
                <w:color w:val="auto"/>
                <w:sz w:val="24"/>
                <w:highlight w:val="none"/>
                <w:vertAlign w:val="subscript"/>
                <w:lang w:val="en-US" w:eastAsia="zh-CN"/>
              </w:rPr>
              <w:t>5</w:t>
            </w:r>
            <w:r>
              <w:rPr>
                <w:rFonts w:hint="default" w:ascii="Times New Roman" w:hAnsi="Times New Roman" w:eastAsia="宋体" w:cs="Times New Roman"/>
                <w:bCs/>
                <w:color w:val="auto"/>
                <w:sz w:val="24"/>
                <w:highlight w:val="none"/>
                <w:lang w:val="en-US" w:eastAsia="zh-CN"/>
              </w:rPr>
              <w:t>、SS、氨氮的去除率分别为15%、9%、30%、3%。本项目废水中各污染物产生量计算结果汇总见下表。</w:t>
            </w:r>
          </w:p>
          <w:p w14:paraId="5AF5287B">
            <w:pPr>
              <w:keepNext w:val="0"/>
              <w:keepLines w:val="0"/>
              <w:widowControl/>
              <w:numPr>
                <w:ilvl w:val="0"/>
                <w:numId w:val="32"/>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项目综合污水水污染物产生及排放情况一览表</w:t>
            </w:r>
          </w:p>
          <w:tbl>
            <w:tblPr>
              <w:tblStyle w:val="24"/>
              <w:tblW w:w="49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10"/>
              <w:gridCol w:w="1697"/>
              <w:gridCol w:w="882"/>
              <w:gridCol w:w="882"/>
              <w:gridCol w:w="882"/>
              <w:gridCol w:w="882"/>
              <w:gridCol w:w="882"/>
            </w:tblGrid>
            <w:tr w14:paraId="1726AB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63" w:type="dxa"/>
                  <w:tcBorders>
                    <w:tl2br w:val="nil"/>
                    <w:tr2bl w:val="nil"/>
                  </w:tcBorders>
                  <w:vAlign w:val="center"/>
                </w:tcPr>
                <w:p w14:paraId="36CC8413">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项目</w:t>
                  </w:r>
                </w:p>
              </w:tc>
              <w:tc>
                <w:tcPr>
                  <w:tcW w:w="1506" w:type="dxa"/>
                  <w:tcBorders>
                    <w:tl2br w:val="nil"/>
                    <w:tr2bl w:val="nil"/>
                  </w:tcBorders>
                  <w:vAlign w:val="center"/>
                </w:tcPr>
                <w:p w14:paraId="759EC053">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污染物种类</w:t>
                  </w:r>
                </w:p>
              </w:tc>
              <w:tc>
                <w:tcPr>
                  <w:tcW w:w="782" w:type="dxa"/>
                  <w:tcBorders>
                    <w:tl2br w:val="nil"/>
                    <w:tr2bl w:val="nil"/>
                  </w:tcBorders>
                  <w:vAlign w:val="center"/>
                </w:tcPr>
                <w:p w14:paraId="6CE3B160">
                  <w:pPr>
                    <w:widowControl/>
                    <w:adjustRightInd w:val="0"/>
                    <w:snapToGrid w:val="0"/>
                    <w:jc w:val="center"/>
                    <w:rPr>
                      <w:rFonts w:hint="default" w:ascii="Times New Roman" w:hAnsi="Times New Roman" w:eastAsia="宋体" w:cs="Times New Roman"/>
                      <w:b/>
                      <w:bCs/>
                      <w:color w:val="auto"/>
                      <w:kern w:val="0"/>
                      <w:sz w:val="21"/>
                      <w:szCs w:val="21"/>
                      <w:highlight w:val="none"/>
                      <w:vertAlign w:val="subscript"/>
                    </w:rPr>
                  </w:pPr>
                  <w:r>
                    <w:rPr>
                      <w:rFonts w:hint="default" w:ascii="Times New Roman" w:hAnsi="Times New Roman" w:eastAsia="宋体" w:cs="Times New Roman"/>
                      <w:b/>
                      <w:bCs/>
                      <w:color w:val="auto"/>
                      <w:kern w:val="0"/>
                      <w:sz w:val="21"/>
                      <w:szCs w:val="21"/>
                      <w:highlight w:val="none"/>
                    </w:rPr>
                    <w:t>COD</w:t>
                  </w:r>
                  <w:r>
                    <w:rPr>
                      <w:rFonts w:hint="default" w:ascii="Times New Roman" w:hAnsi="Times New Roman" w:eastAsia="宋体" w:cs="Times New Roman"/>
                      <w:b/>
                      <w:bCs/>
                      <w:color w:val="auto"/>
                      <w:kern w:val="0"/>
                      <w:sz w:val="21"/>
                      <w:szCs w:val="21"/>
                      <w:highlight w:val="none"/>
                      <w:vertAlign w:val="subscript"/>
                    </w:rPr>
                    <w:t>Cr</w:t>
                  </w:r>
                </w:p>
              </w:tc>
              <w:tc>
                <w:tcPr>
                  <w:tcW w:w="782" w:type="dxa"/>
                  <w:tcBorders>
                    <w:tl2br w:val="nil"/>
                    <w:tr2bl w:val="nil"/>
                  </w:tcBorders>
                  <w:vAlign w:val="center"/>
                </w:tcPr>
                <w:p w14:paraId="79BB8B9C">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BOD</w:t>
                  </w:r>
                  <w:r>
                    <w:rPr>
                      <w:rFonts w:hint="default" w:ascii="Times New Roman" w:hAnsi="Times New Roman" w:eastAsia="宋体" w:cs="Times New Roman"/>
                      <w:b/>
                      <w:bCs/>
                      <w:color w:val="auto"/>
                      <w:kern w:val="0"/>
                      <w:sz w:val="21"/>
                      <w:szCs w:val="21"/>
                      <w:highlight w:val="none"/>
                      <w:vertAlign w:val="subscript"/>
                    </w:rPr>
                    <w:t>5</w:t>
                  </w:r>
                </w:p>
              </w:tc>
              <w:tc>
                <w:tcPr>
                  <w:tcW w:w="782" w:type="dxa"/>
                  <w:tcBorders>
                    <w:tl2br w:val="nil"/>
                    <w:tr2bl w:val="nil"/>
                  </w:tcBorders>
                  <w:vAlign w:val="center"/>
                </w:tcPr>
                <w:p w14:paraId="173B7FD5">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SS</w:t>
                  </w:r>
                </w:p>
              </w:tc>
              <w:tc>
                <w:tcPr>
                  <w:tcW w:w="782" w:type="dxa"/>
                  <w:tcBorders>
                    <w:tl2br w:val="nil"/>
                    <w:tr2bl w:val="nil"/>
                  </w:tcBorders>
                  <w:vAlign w:val="center"/>
                </w:tcPr>
                <w:p w14:paraId="1C61D3D2">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氨氮</w:t>
                  </w:r>
                </w:p>
              </w:tc>
              <w:tc>
                <w:tcPr>
                  <w:tcW w:w="782" w:type="dxa"/>
                  <w:tcBorders>
                    <w:tl2br w:val="nil"/>
                    <w:tr2bl w:val="nil"/>
                  </w:tcBorders>
                  <w:vAlign w:val="center"/>
                </w:tcPr>
                <w:p w14:paraId="56B18884">
                  <w:pPr>
                    <w:widowControl/>
                    <w:adjustRightInd w:val="0"/>
                    <w:snapToGrid w:val="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pH</w:t>
                  </w:r>
                </w:p>
                <w:p w14:paraId="2D9D44DE">
                  <w:pPr>
                    <w:widowControl/>
                    <w:adjustRightInd w:val="0"/>
                    <w:snapToGrid w:val="0"/>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无量纲</w:t>
                  </w:r>
                </w:p>
              </w:tc>
            </w:tr>
            <w:tr w14:paraId="20537A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restart"/>
                  <w:tcBorders>
                    <w:tl2br w:val="nil"/>
                    <w:tr2bl w:val="nil"/>
                  </w:tcBorders>
                  <w:shd w:val="clear" w:color="auto" w:fill="auto"/>
                  <w:vAlign w:val="center"/>
                </w:tcPr>
                <w:p w14:paraId="37A5B612">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生活污水</w:t>
                  </w:r>
                  <w:r>
                    <w:rPr>
                      <w:rFonts w:hint="eastAsia" w:cs="Times New Roman"/>
                      <w:b w:val="0"/>
                      <w:bCs w:val="0"/>
                      <w:color w:val="auto"/>
                      <w:kern w:val="0"/>
                      <w:sz w:val="21"/>
                      <w:szCs w:val="21"/>
                      <w:highlight w:val="none"/>
                      <w:lang w:eastAsia="zh-CN"/>
                    </w:rPr>
                    <w:t>、</w:t>
                  </w:r>
                  <w:r>
                    <w:rPr>
                      <w:rFonts w:hint="eastAsia" w:cs="Times New Roman"/>
                      <w:b w:val="0"/>
                      <w:bCs w:val="0"/>
                      <w:color w:val="auto"/>
                      <w:kern w:val="0"/>
                      <w:sz w:val="21"/>
                      <w:szCs w:val="21"/>
                      <w:highlight w:val="none"/>
                      <w:lang w:val="en-US" w:eastAsia="zh-CN"/>
                    </w:rPr>
                    <w:t>地面清洗废水</w:t>
                  </w:r>
                  <w:r>
                    <w:rPr>
                      <w:rFonts w:hint="eastAsia" w:cs="Times New Roman"/>
                      <w:color w:val="auto"/>
                      <w:sz w:val="21"/>
                      <w:szCs w:val="21"/>
                      <w:highlight w:val="none"/>
                      <w:lang w:val="en-US" w:eastAsia="zh-CN"/>
                    </w:rPr>
                    <w:t>402.3</w:t>
                  </w:r>
                  <w:r>
                    <w:rPr>
                      <w:rFonts w:hint="default" w:ascii="Times New Roman" w:hAnsi="Times New Roman" w:eastAsia="宋体" w:cs="Times New Roman"/>
                      <w:b w:val="0"/>
                      <w:bCs w:val="0"/>
                      <w:color w:val="auto"/>
                      <w:sz w:val="21"/>
                      <w:szCs w:val="21"/>
                      <w:highlight w:val="none"/>
                      <w:lang w:val="en-US" w:eastAsia="zh-CN"/>
                    </w:rPr>
                    <w:t>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/a</w:t>
                  </w:r>
                </w:p>
              </w:tc>
              <w:tc>
                <w:tcPr>
                  <w:tcW w:w="1506" w:type="dxa"/>
                  <w:tcBorders>
                    <w:tl2br w:val="nil"/>
                    <w:tr2bl w:val="nil"/>
                  </w:tcBorders>
                  <w:shd w:val="clear" w:color="auto" w:fill="auto"/>
                  <w:vAlign w:val="center"/>
                </w:tcPr>
                <w:p w14:paraId="2B2FF959">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shd w:val="clear" w:color="auto" w:fill="auto"/>
                  <w:vAlign w:val="center"/>
                </w:tcPr>
                <w:p w14:paraId="0FFC98B7">
                  <w:pPr>
                    <w:widowControl/>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450</w:t>
                  </w:r>
                </w:p>
              </w:tc>
              <w:tc>
                <w:tcPr>
                  <w:tcW w:w="782" w:type="dxa"/>
                  <w:tcBorders>
                    <w:tl2br w:val="nil"/>
                    <w:tr2bl w:val="nil"/>
                  </w:tcBorders>
                  <w:shd w:val="clear" w:color="auto" w:fill="auto"/>
                  <w:vAlign w:val="center"/>
                </w:tcPr>
                <w:p w14:paraId="18053AA9">
                  <w:pPr>
                    <w:widowControl/>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250</w:t>
                  </w:r>
                </w:p>
              </w:tc>
              <w:tc>
                <w:tcPr>
                  <w:tcW w:w="782" w:type="dxa"/>
                  <w:tcBorders>
                    <w:tl2br w:val="nil"/>
                    <w:tr2bl w:val="nil"/>
                  </w:tcBorders>
                  <w:shd w:val="clear" w:color="auto" w:fill="auto"/>
                  <w:vAlign w:val="center"/>
                </w:tcPr>
                <w:p w14:paraId="6A688071">
                  <w:pPr>
                    <w:widowControl/>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300</w:t>
                  </w:r>
                </w:p>
              </w:tc>
              <w:tc>
                <w:tcPr>
                  <w:tcW w:w="782" w:type="dxa"/>
                  <w:tcBorders>
                    <w:tl2br w:val="nil"/>
                    <w:tr2bl w:val="nil"/>
                  </w:tcBorders>
                  <w:shd w:val="clear" w:color="auto" w:fill="auto"/>
                  <w:vAlign w:val="center"/>
                </w:tcPr>
                <w:p w14:paraId="51DD45C5">
                  <w:pPr>
                    <w:widowControl/>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40</w:t>
                  </w:r>
                </w:p>
              </w:tc>
              <w:tc>
                <w:tcPr>
                  <w:tcW w:w="782" w:type="dxa"/>
                  <w:tcBorders>
                    <w:tl2br w:val="nil"/>
                    <w:tr2bl w:val="nil"/>
                  </w:tcBorders>
                  <w:shd w:val="clear" w:color="auto" w:fill="auto"/>
                  <w:vAlign w:val="center"/>
                </w:tcPr>
                <w:p w14:paraId="152E048C">
                  <w:pPr>
                    <w:widowControl/>
                    <w:jc w:val="center"/>
                    <w:textAlignment w:val="center"/>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kern w:val="0"/>
                      <w:sz w:val="21"/>
                      <w:szCs w:val="21"/>
                      <w:highlight w:val="none"/>
                      <w:lang w:bidi="ar"/>
                    </w:rPr>
                    <w:t>6.5~7.5</w:t>
                  </w:r>
                </w:p>
              </w:tc>
            </w:tr>
            <w:tr w14:paraId="0E0C9F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03980E56">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shd w:val="clear" w:color="auto" w:fill="auto"/>
                  <w:vAlign w:val="center"/>
                </w:tcPr>
                <w:p w14:paraId="19B1CC8B">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产生量（t/a）</w:t>
                  </w:r>
                </w:p>
              </w:tc>
              <w:tc>
                <w:tcPr>
                  <w:tcW w:w="782" w:type="dxa"/>
                  <w:tcBorders>
                    <w:tl2br w:val="nil"/>
                    <w:tr2bl w:val="nil"/>
                  </w:tcBorders>
                  <w:shd w:val="clear" w:color="auto" w:fill="auto"/>
                  <w:vAlign w:val="center"/>
                </w:tcPr>
                <w:p w14:paraId="6AB580E3">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1810</w:t>
                  </w:r>
                </w:p>
              </w:tc>
              <w:tc>
                <w:tcPr>
                  <w:tcW w:w="782" w:type="dxa"/>
                  <w:tcBorders>
                    <w:tl2br w:val="nil"/>
                    <w:tr2bl w:val="nil"/>
                  </w:tcBorders>
                  <w:shd w:val="clear" w:color="auto" w:fill="auto"/>
                  <w:vAlign w:val="center"/>
                </w:tcPr>
                <w:p w14:paraId="6EBBDFB4">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1006</w:t>
                  </w:r>
                </w:p>
              </w:tc>
              <w:tc>
                <w:tcPr>
                  <w:tcW w:w="782" w:type="dxa"/>
                  <w:tcBorders>
                    <w:tl2br w:val="nil"/>
                    <w:tr2bl w:val="nil"/>
                  </w:tcBorders>
                  <w:shd w:val="clear" w:color="auto" w:fill="auto"/>
                  <w:vAlign w:val="center"/>
                </w:tcPr>
                <w:p w14:paraId="0BAF4EDA">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w:t>
                  </w:r>
                  <w:r>
                    <w:rPr>
                      <w:rFonts w:hint="eastAsia" w:cs="Times New Roman"/>
                      <w:color w:val="auto"/>
                      <w:szCs w:val="21"/>
                      <w:highlight w:val="none"/>
                      <w:lang w:val="en-US" w:eastAsia="zh-CN"/>
                    </w:rPr>
                    <w:t>1207</w:t>
                  </w:r>
                </w:p>
              </w:tc>
              <w:tc>
                <w:tcPr>
                  <w:tcW w:w="782" w:type="dxa"/>
                  <w:tcBorders>
                    <w:tl2br w:val="nil"/>
                    <w:tr2bl w:val="nil"/>
                  </w:tcBorders>
                  <w:shd w:val="clear" w:color="auto" w:fill="auto"/>
                  <w:vAlign w:val="center"/>
                </w:tcPr>
                <w:p w14:paraId="4ACD6A41">
                  <w:pPr>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Cs w:val="21"/>
                      <w:highlight w:val="none"/>
                      <w:lang w:val="en-US" w:eastAsia="zh-CN"/>
                    </w:rPr>
                    <w:t>0.0</w:t>
                  </w:r>
                  <w:r>
                    <w:rPr>
                      <w:rFonts w:hint="eastAsia" w:cs="Times New Roman"/>
                      <w:color w:val="auto"/>
                      <w:szCs w:val="21"/>
                      <w:highlight w:val="none"/>
                      <w:lang w:val="en-US" w:eastAsia="zh-CN"/>
                    </w:rPr>
                    <w:t>161</w:t>
                  </w:r>
                </w:p>
              </w:tc>
              <w:tc>
                <w:tcPr>
                  <w:tcW w:w="782" w:type="dxa"/>
                  <w:tcBorders>
                    <w:tl2br w:val="nil"/>
                    <w:tr2bl w:val="nil"/>
                  </w:tcBorders>
                  <w:shd w:val="clear" w:color="auto" w:fill="auto"/>
                  <w:vAlign w:val="center"/>
                </w:tcPr>
                <w:p w14:paraId="2CBFE2F2">
                  <w:pPr>
                    <w:widowControl/>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lang w:bidi="ar"/>
                    </w:rPr>
                    <w:t>/</w:t>
                  </w:r>
                </w:p>
              </w:tc>
            </w:tr>
            <w:tr w14:paraId="7C958C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restart"/>
                  <w:tcBorders>
                    <w:tl2br w:val="nil"/>
                    <w:tr2bl w:val="nil"/>
                  </w:tcBorders>
                  <w:vAlign w:val="center"/>
                </w:tcPr>
                <w:p w14:paraId="11BAD7C4">
                  <w:pPr>
                    <w:widowControl/>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第三遍</w:t>
                  </w:r>
                  <w:r>
                    <w:rPr>
                      <w:rFonts w:hint="eastAsia" w:ascii="Times New Roman" w:hAnsi="Times New Roman" w:eastAsia="宋体" w:cs="Times New Roman"/>
                      <w:b w:val="0"/>
                      <w:bCs w:val="0"/>
                      <w:color w:val="auto"/>
                      <w:kern w:val="0"/>
                      <w:sz w:val="21"/>
                      <w:szCs w:val="21"/>
                      <w:highlight w:val="none"/>
                      <w:lang w:val="en-US" w:eastAsia="zh-CN"/>
                    </w:rPr>
                    <w:t>及以后</w:t>
                  </w:r>
                  <w:r>
                    <w:rPr>
                      <w:rFonts w:hint="default" w:ascii="Times New Roman" w:hAnsi="Times New Roman" w:eastAsia="宋体" w:cs="Times New Roman"/>
                      <w:b w:val="0"/>
                      <w:bCs w:val="0"/>
                      <w:color w:val="auto"/>
                      <w:kern w:val="0"/>
                      <w:sz w:val="21"/>
                      <w:szCs w:val="21"/>
                      <w:highlight w:val="none"/>
                      <w:lang w:val="en-US" w:eastAsia="zh-CN"/>
                    </w:rPr>
                    <w:t>清洗废水</w:t>
                  </w:r>
                  <w:r>
                    <w:rPr>
                      <w:rFonts w:hint="eastAsia" w:ascii="Times New Roman" w:hAnsi="Times New Roman" w:eastAsia="宋体" w:cs="Times New Roman"/>
                      <w:b w:val="0"/>
                      <w:bCs w:val="0"/>
                      <w:color w:val="auto"/>
                      <w:kern w:val="0"/>
                      <w:sz w:val="21"/>
                      <w:szCs w:val="21"/>
                      <w:highlight w:val="none"/>
                      <w:lang w:val="en-US" w:eastAsia="zh-CN"/>
                    </w:rPr>
                    <w:t>、高压蒸汽灭菌废水</w:t>
                  </w:r>
                </w:p>
                <w:p w14:paraId="799B8DBF">
                  <w:pPr>
                    <w:widowControl/>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rPr>
                  </w:pPr>
                  <w:r>
                    <w:rPr>
                      <w:rFonts w:hint="eastAsia" w:ascii="Times New Roman" w:hAnsi="Times New Roman" w:eastAsia="宋体" w:cs="Times New Roman"/>
                      <w:b w:val="0"/>
                      <w:bCs w:val="0"/>
                      <w:color w:val="auto"/>
                      <w:kern w:val="0"/>
                      <w:sz w:val="21"/>
                      <w:szCs w:val="21"/>
                      <w:highlight w:val="none"/>
                      <w:lang w:val="en-US" w:eastAsia="zh-CN"/>
                    </w:rPr>
                    <w:t>0.99</w:t>
                  </w:r>
                  <w:r>
                    <w:rPr>
                      <w:rFonts w:hint="default" w:ascii="Times New Roman" w:hAnsi="Times New Roman" w:eastAsia="宋体" w:cs="Times New Roman"/>
                      <w:b w:val="0"/>
                      <w:bCs w:val="0"/>
                      <w:color w:val="auto"/>
                      <w:kern w:val="0"/>
                      <w:sz w:val="21"/>
                      <w:szCs w:val="21"/>
                      <w:highlight w:val="none"/>
                      <w:lang w:val="en-US" w:eastAsia="zh-CN"/>
                    </w:rPr>
                    <w:t>m</w:t>
                  </w:r>
                  <w:r>
                    <w:rPr>
                      <w:rFonts w:hint="default" w:ascii="Times New Roman" w:hAnsi="Times New Roman" w:eastAsia="宋体" w:cs="Times New Roman"/>
                      <w:b w:val="0"/>
                      <w:bCs w:val="0"/>
                      <w:color w:val="auto"/>
                      <w:kern w:val="0"/>
                      <w:sz w:val="21"/>
                      <w:szCs w:val="21"/>
                      <w:highlight w:val="none"/>
                      <w:vertAlign w:val="superscript"/>
                      <w:lang w:val="en-US" w:eastAsia="zh-CN"/>
                    </w:rPr>
                    <w:t>3</w:t>
                  </w:r>
                  <w:r>
                    <w:rPr>
                      <w:rFonts w:hint="default" w:ascii="Times New Roman" w:hAnsi="Times New Roman" w:eastAsia="宋体" w:cs="Times New Roman"/>
                      <w:b w:val="0"/>
                      <w:bCs w:val="0"/>
                      <w:color w:val="auto"/>
                      <w:kern w:val="0"/>
                      <w:sz w:val="21"/>
                      <w:szCs w:val="21"/>
                      <w:highlight w:val="none"/>
                      <w:lang w:val="en-US" w:eastAsia="zh-CN"/>
                    </w:rPr>
                    <w:t>/a</w:t>
                  </w:r>
                </w:p>
              </w:tc>
              <w:tc>
                <w:tcPr>
                  <w:tcW w:w="1506" w:type="dxa"/>
                  <w:tcBorders>
                    <w:tl2br w:val="nil"/>
                    <w:tr2bl w:val="nil"/>
                  </w:tcBorders>
                  <w:shd w:val="clear" w:color="auto" w:fill="auto"/>
                  <w:vAlign w:val="center"/>
                </w:tcPr>
                <w:p w14:paraId="614157A6">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产生浓度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shd w:val="clear" w:color="auto" w:fill="auto"/>
                  <w:vAlign w:val="center"/>
                </w:tcPr>
                <w:p w14:paraId="1B738A13">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200</w:t>
                  </w:r>
                </w:p>
              </w:tc>
              <w:tc>
                <w:tcPr>
                  <w:tcW w:w="782" w:type="dxa"/>
                  <w:tcBorders>
                    <w:tl2br w:val="nil"/>
                    <w:tr2bl w:val="nil"/>
                  </w:tcBorders>
                  <w:shd w:val="clear" w:color="auto" w:fill="auto"/>
                  <w:vAlign w:val="center"/>
                </w:tcPr>
                <w:p w14:paraId="4832C3B8">
                  <w:pPr>
                    <w:adjustRightInd w:val="0"/>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szCs w:val="21"/>
                      <w:highlight w:val="none"/>
                      <w:lang w:val="en-US" w:eastAsia="zh-CN"/>
                    </w:rPr>
                    <w:t>6</w:t>
                  </w:r>
                  <w:r>
                    <w:rPr>
                      <w:rFonts w:hint="default" w:ascii="Times New Roman" w:hAnsi="Times New Roman" w:eastAsia="宋体" w:cs="Times New Roman"/>
                      <w:color w:val="auto"/>
                      <w:szCs w:val="21"/>
                      <w:highlight w:val="none"/>
                    </w:rPr>
                    <w:t>0</w:t>
                  </w:r>
                </w:p>
              </w:tc>
              <w:tc>
                <w:tcPr>
                  <w:tcW w:w="782" w:type="dxa"/>
                  <w:tcBorders>
                    <w:tl2br w:val="nil"/>
                    <w:tr2bl w:val="nil"/>
                  </w:tcBorders>
                  <w:shd w:val="clear" w:color="auto" w:fill="auto"/>
                  <w:vAlign w:val="center"/>
                </w:tcPr>
                <w:p w14:paraId="3BB9652B">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cs="Times New Roman"/>
                      <w:color w:val="auto"/>
                      <w:szCs w:val="21"/>
                      <w:highlight w:val="none"/>
                      <w:lang w:val="en-US" w:eastAsia="zh-CN"/>
                    </w:rPr>
                    <w:t>10</w:t>
                  </w:r>
                  <w:r>
                    <w:rPr>
                      <w:rFonts w:hint="default" w:ascii="Times New Roman" w:hAnsi="Times New Roman" w:eastAsia="宋体" w:cs="Times New Roman"/>
                      <w:color w:val="auto"/>
                      <w:szCs w:val="21"/>
                      <w:highlight w:val="none"/>
                    </w:rPr>
                    <w:t>0</w:t>
                  </w:r>
                </w:p>
              </w:tc>
              <w:tc>
                <w:tcPr>
                  <w:tcW w:w="782" w:type="dxa"/>
                  <w:tcBorders>
                    <w:tl2br w:val="nil"/>
                    <w:tr2bl w:val="nil"/>
                  </w:tcBorders>
                  <w:shd w:val="clear" w:color="auto" w:fill="auto"/>
                  <w:vAlign w:val="center"/>
                </w:tcPr>
                <w:p w14:paraId="1A9ADA55">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25</w:t>
                  </w:r>
                </w:p>
              </w:tc>
              <w:tc>
                <w:tcPr>
                  <w:tcW w:w="782" w:type="dxa"/>
                  <w:tcBorders>
                    <w:tl2br w:val="nil"/>
                    <w:tr2bl w:val="nil"/>
                  </w:tcBorders>
                  <w:shd w:val="clear" w:color="auto" w:fill="auto"/>
                  <w:vAlign w:val="center"/>
                </w:tcPr>
                <w:p w14:paraId="7D1D0BDE">
                  <w:pPr>
                    <w:snapToGrid w:val="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w:t>
                  </w:r>
                </w:p>
              </w:tc>
            </w:tr>
            <w:tr w14:paraId="240EF9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6C4A62D1">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shd w:val="clear" w:color="auto" w:fill="auto"/>
                  <w:vAlign w:val="center"/>
                </w:tcPr>
                <w:p w14:paraId="69FDB5FC">
                  <w:pPr>
                    <w:adjustRightInd w:val="0"/>
                    <w:snapToGrid w:val="0"/>
                    <w:jc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b w:val="0"/>
                      <w:bCs w:val="0"/>
                      <w:color w:val="auto"/>
                      <w:kern w:val="0"/>
                      <w:sz w:val="21"/>
                      <w:szCs w:val="21"/>
                      <w:highlight w:val="none"/>
                    </w:rPr>
                    <w:t>产生量（t/a）</w:t>
                  </w:r>
                </w:p>
              </w:tc>
              <w:tc>
                <w:tcPr>
                  <w:tcW w:w="782" w:type="dxa"/>
                  <w:tcBorders>
                    <w:tl2br w:val="nil"/>
                    <w:tr2bl w:val="nil"/>
                  </w:tcBorders>
                  <w:shd w:val="clear" w:color="auto" w:fill="auto"/>
                  <w:vAlign w:val="center"/>
                </w:tcPr>
                <w:p w14:paraId="64BDF9AB">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2</w:t>
                  </w:r>
                </w:p>
              </w:tc>
              <w:tc>
                <w:tcPr>
                  <w:tcW w:w="782" w:type="dxa"/>
                  <w:tcBorders>
                    <w:tl2br w:val="nil"/>
                    <w:tr2bl w:val="nil"/>
                  </w:tcBorders>
                  <w:shd w:val="clear" w:color="auto" w:fill="auto"/>
                  <w:vAlign w:val="center"/>
                </w:tcPr>
                <w:p w14:paraId="4EC2FE3C">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0.000</w:t>
                  </w:r>
                  <w:r>
                    <w:rPr>
                      <w:rFonts w:hint="eastAsia" w:cs="Times New Roman"/>
                      <w:color w:val="auto"/>
                      <w:szCs w:val="21"/>
                      <w:highlight w:val="none"/>
                      <w:lang w:val="en-US" w:eastAsia="zh-CN"/>
                    </w:rPr>
                    <w:t>06</w:t>
                  </w:r>
                </w:p>
              </w:tc>
              <w:tc>
                <w:tcPr>
                  <w:tcW w:w="782" w:type="dxa"/>
                  <w:tcBorders>
                    <w:tl2br w:val="nil"/>
                    <w:tr2bl w:val="nil"/>
                  </w:tcBorders>
                  <w:shd w:val="clear" w:color="auto" w:fill="auto"/>
                  <w:vAlign w:val="center"/>
                </w:tcPr>
                <w:p w14:paraId="59D15C5B">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0.00</w:t>
                  </w:r>
                  <w:r>
                    <w:rPr>
                      <w:rFonts w:hint="eastAsia" w:cs="Times New Roman"/>
                      <w:color w:val="auto"/>
                      <w:szCs w:val="21"/>
                      <w:highlight w:val="none"/>
                      <w:lang w:val="en-US" w:eastAsia="zh-CN"/>
                    </w:rPr>
                    <w:t>01</w:t>
                  </w:r>
                </w:p>
              </w:tc>
              <w:tc>
                <w:tcPr>
                  <w:tcW w:w="782" w:type="dxa"/>
                  <w:tcBorders>
                    <w:tl2br w:val="nil"/>
                    <w:tr2bl w:val="nil"/>
                  </w:tcBorders>
                  <w:shd w:val="clear" w:color="auto" w:fill="auto"/>
                  <w:vAlign w:val="center"/>
                </w:tcPr>
                <w:p w14:paraId="447EB506">
                  <w:pPr>
                    <w:snapToGrid w:val="0"/>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lang w:val="en-US" w:eastAsia="zh-CN"/>
                    </w:rPr>
                    <w:t>0.0000</w:t>
                  </w:r>
                  <w:r>
                    <w:rPr>
                      <w:rFonts w:hint="eastAsia" w:cs="Times New Roman"/>
                      <w:color w:val="auto"/>
                      <w:szCs w:val="21"/>
                      <w:highlight w:val="none"/>
                      <w:lang w:val="en-US" w:eastAsia="zh-CN"/>
                    </w:rPr>
                    <w:t>2</w:t>
                  </w:r>
                </w:p>
              </w:tc>
              <w:tc>
                <w:tcPr>
                  <w:tcW w:w="782" w:type="dxa"/>
                  <w:tcBorders>
                    <w:tl2br w:val="nil"/>
                    <w:tr2bl w:val="nil"/>
                  </w:tcBorders>
                  <w:shd w:val="clear" w:color="auto" w:fill="auto"/>
                  <w:vAlign w:val="center"/>
                </w:tcPr>
                <w:p w14:paraId="130EB23E">
                  <w:pPr>
                    <w:snapToGrid w:val="0"/>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color w:val="auto"/>
                      <w:kern w:val="0"/>
                      <w:sz w:val="21"/>
                      <w:szCs w:val="21"/>
                      <w:highlight w:val="none"/>
                      <w:lang w:val="en-US" w:eastAsia="zh-CN"/>
                    </w:rPr>
                    <w:t>/</w:t>
                  </w:r>
                </w:p>
              </w:tc>
            </w:tr>
            <w:tr w14:paraId="5DED20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1163" w:type="dxa"/>
                  <w:vMerge w:val="restart"/>
                  <w:tcBorders>
                    <w:tl2br w:val="nil"/>
                    <w:tr2bl w:val="nil"/>
                  </w:tcBorders>
                  <w:vAlign w:val="center"/>
                </w:tcPr>
                <w:p w14:paraId="4A865B42">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综合废水</w:t>
                  </w:r>
                </w:p>
                <w:p w14:paraId="6A8A8753">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eastAsia" w:cs="Times New Roman"/>
                      <w:b w:val="0"/>
                      <w:bCs w:val="0"/>
                      <w:color w:val="auto"/>
                      <w:sz w:val="21"/>
                      <w:szCs w:val="21"/>
                      <w:highlight w:val="none"/>
                      <w:lang w:val="en-US" w:eastAsia="zh-CN"/>
                    </w:rPr>
                    <w:t>403.29</w:t>
                  </w:r>
                  <w:r>
                    <w:rPr>
                      <w:rFonts w:hint="default" w:cs="Times New Roman"/>
                      <w:b w:val="0"/>
                      <w:bCs w:val="0"/>
                      <w:color w:val="auto"/>
                      <w:sz w:val="21"/>
                      <w:szCs w:val="21"/>
                      <w:highlight w:val="none"/>
                      <w:lang w:val="en-US" w:eastAsia="zh-CN"/>
                    </w:rPr>
                    <w:t>m</w:t>
                  </w:r>
                  <w:r>
                    <w:rPr>
                      <w:rFonts w:hint="default" w:cs="Times New Roman"/>
                      <w:b w:val="0"/>
                      <w:bCs w:val="0"/>
                      <w:color w:val="auto"/>
                      <w:sz w:val="21"/>
                      <w:szCs w:val="21"/>
                      <w:highlight w:val="none"/>
                      <w:vertAlign w:val="superscript"/>
                      <w:lang w:val="en-US" w:eastAsia="zh-CN"/>
                    </w:rPr>
                    <w:t>3</w:t>
                  </w:r>
                  <w:r>
                    <w:rPr>
                      <w:rFonts w:hint="default" w:cs="Times New Roman"/>
                      <w:b w:val="0"/>
                      <w:bCs w:val="0"/>
                      <w:color w:val="auto"/>
                      <w:sz w:val="21"/>
                      <w:szCs w:val="21"/>
                      <w:highlight w:val="none"/>
                      <w:lang w:val="en-US" w:eastAsia="zh-CN"/>
                    </w:rPr>
                    <w:t>/a</w:t>
                  </w:r>
                </w:p>
              </w:tc>
              <w:tc>
                <w:tcPr>
                  <w:tcW w:w="1506" w:type="dxa"/>
                  <w:tcBorders>
                    <w:tl2br w:val="nil"/>
                    <w:tr2bl w:val="nil"/>
                  </w:tcBorders>
                  <w:vAlign w:val="center"/>
                </w:tcPr>
                <w:p w14:paraId="49FC714E">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综合废水产生浓度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vAlign w:val="center"/>
                </w:tcPr>
                <w:p w14:paraId="5D81D667">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449.</w:t>
                  </w:r>
                  <w:r>
                    <w:rPr>
                      <w:rFonts w:hint="eastAsia" w:cs="Times New Roman"/>
                      <w:i w:val="0"/>
                      <w:iCs w:val="0"/>
                      <w:color w:val="000000"/>
                      <w:kern w:val="0"/>
                      <w:sz w:val="21"/>
                      <w:szCs w:val="21"/>
                      <w:u w:val="none"/>
                      <w:lang w:val="en-US" w:eastAsia="zh-CN" w:bidi="ar"/>
                    </w:rPr>
                    <w:t>3</w:t>
                  </w:r>
                </w:p>
              </w:tc>
              <w:tc>
                <w:tcPr>
                  <w:tcW w:w="782" w:type="dxa"/>
                  <w:tcBorders>
                    <w:tl2br w:val="nil"/>
                    <w:tr2bl w:val="nil"/>
                  </w:tcBorders>
                  <w:vAlign w:val="center"/>
                </w:tcPr>
                <w:p w14:paraId="705A59BA">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249.</w:t>
                  </w:r>
                  <w:r>
                    <w:rPr>
                      <w:rFonts w:hint="eastAsia" w:cs="Times New Roman"/>
                      <w:i w:val="0"/>
                      <w:iCs w:val="0"/>
                      <w:color w:val="000000"/>
                      <w:kern w:val="0"/>
                      <w:sz w:val="21"/>
                      <w:szCs w:val="21"/>
                      <w:u w:val="none"/>
                      <w:lang w:val="en-US" w:eastAsia="zh-CN" w:bidi="ar"/>
                    </w:rPr>
                    <w:t>7</w:t>
                  </w:r>
                </w:p>
              </w:tc>
              <w:tc>
                <w:tcPr>
                  <w:tcW w:w="782" w:type="dxa"/>
                  <w:tcBorders>
                    <w:tl2br w:val="nil"/>
                    <w:tr2bl w:val="nil"/>
                  </w:tcBorders>
                  <w:vAlign w:val="center"/>
                </w:tcPr>
                <w:p w14:paraId="642BB99A">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299.</w:t>
                  </w:r>
                  <w:r>
                    <w:rPr>
                      <w:rFonts w:hint="eastAsia" w:cs="Times New Roman"/>
                      <w:i w:val="0"/>
                      <w:iCs w:val="0"/>
                      <w:color w:val="000000"/>
                      <w:kern w:val="0"/>
                      <w:sz w:val="21"/>
                      <w:szCs w:val="21"/>
                      <w:u w:val="none"/>
                      <w:lang w:val="en-US" w:eastAsia="zh-CN" w:bidi="ar"/>
                    </w:rPr>
                    <w:t>5</w:t>
                  </w:r>
                </w:p>
              </w:tc>
              <w:tc>
                <w:tcPr>
                  <w:tcW w:w="782" w:type="dxa"/>
                  <w:tcBorders>
                    <w:tl2br w:val="nil"/>
                    <w:tr2bl w:val="nil"/>
                  </w:tcBorders>
                  <w:vAlign w:val="center"/>
                </w:tcPr>
                <w:p w14:paraId="0A14269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eastAsia" w:cs="Times New Roman"/>
                      <w:i w:val="0"/>
                      <w:iCs w:val="0"/>
                      <w:color w:val="000000"/>
                      <w:kern w:val="0"/>
                      <w:sz w:val="21"/>
                      <w:szCs w:val="21"/>
                      <w:u w:val="none"/>
                      <w:lang w:val="en-US" w:eastAsia="zh-CN" w:bidi="ar"/>
                    </w:rPr>
                    <w:t>39.9</w:t>
                  </w:r>
                </w:p>
              </w:tc>
              <w:tc>
                <w:tcPr>
                  <w:tcW w:w="782" w:type="dxa"/>
                  <w:tcBorders>
                    <w:tl2br w:val="nil"/>
                    <w:tr2bl w:val="nil"/>
                  </w:tcBorders>
                  <w:vAlign w:val="center"/>
                </w:tcPr>
                <w:p w14:paraId="15FFCC6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6.5~9</w:t>
                  </w:r>
                </w:p>
              </w:tc>
            </w:tr>
            <w:tr w14:paraId="4281DC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24621849">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vAlign w:val="center"/>
                </w:tcPr>
                <w:p w14:paraId="17210788">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污染物产生量（t/a）</w:t>
                  </w:r>
                </w:p>
              </w:tc>
              <w:tc>
                <w:tcPr>
                  <w:tcW w:w="782" w:type="dxa"/>
                  <w:tcBorders>
                    <w:tl2br w:val="nil"/>
                    <w:tr2bl w:val="nil"/>
                  </w:tcBorders>
                  <w:vAlign w:val="center"/>
                </w:tcPr>
                <w:p w14:paraId="545FFDE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0.1812</w:t>
                  </w:r>
                </w:p>
              </w:tc>
              <w:tc>
                <w:tcPr>
                  <w:tcW w:w="782" w:type="dxa"/>
                  <w:tcBorders>
                    <w:tl2br w:val="nil"/>
                    <w:tr2bl w:val="nil"/>
                  </w:tcBorders>
                  <w:vAlign w:val="center"/>
                </w:tcPr>
                <w:p w14:paraId="75928DD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0.100</w:t>
                  </w:r>
                  <w:r>
                    <w:rPr>
                      <w:rFonts w:hint="eastAsia" w:cs="Times New Roman"/>
                      <w:i w:val="0"/>
                      <w:iCs w:val="0"/>
                      <w:color w:val="000000"/>
                      <w:kern w:val="0"/>
                      <w:sz w:val="21"/>
                      <w:szCs w:val="21"/>
                      <w:u w:val="none"/>
                      <w:lang w:val="en-US" w:eastAsia="zh-CN" w:bidi="ar"/>
                    </w:rPr>
                    <w:t>7</w:t>
                  </w:r>
                </w:p>
              </w:tc>
              <w:tc>
                <w:tcPr>
                  <w:tcW w:w="782" w:type="dxa"/>
                  <w:tcBorders>
                    <w:tl2br w:val="nil"/>
                    <w:tr2bl w:val="nil"/>
                  </w:tcBorders>
                  <w:vAlign w:val="center"/>
                </w:tcPr>
                <w:p w14:paraId="458A4262">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0.120</w:t>
                  </w:r>
                  <w:r>
                    <w:rPr>
                      <w:rFonts w:hint="eastAsia" w:cs="Times New Roman"/>
                      <w:i w:val="0"/>
                      <w:iCs w:val="0"/>
                      <w:color w:val="000000"/>
                      <w:kern w:val="0"/>
                      <w:sz w:val="21"/>
                      <w:szCs w:val="21"/>
                      <w:u w:val="none"/>
                      <w:lang w:val="en-US" w:eastAsia="zh-CN" w:bidi="ar"/>
                    </w:rPr>
                    <w:t>8</w:t>
                  </w:r>
                </w:p>
              </w:tc>
              <w:tc>
                <w:tcPr>
                  <w:tcW w:w="782" w:type="dxa"/>
                  <w:tcBorders>
                    <w:tl2br w:val="nil"/>
                    <w:tr2bl w:val="nil"/>
                  </w:tcBorders>
                  <w:vAlign w:val="center"/>
                </w:tcPr>
                <w:p w14:paraId="057DD93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0.0161</w:t>
                  </w:r>
                </w:p>
              </w:tc>
              <w:tc>
                <w:tcPr>
                  <w:tcW w:w="782" w:type="dxa"/>
                  <w:tcBorders>
                    <w:tl2br w:val="nil"/>
                    <w:tr2bl w:val="nil"/>
                  </w:tcBorders>
                  <w:vAlign w:val="center"/>
                </w:tcPr>
                <w:p w14:paraId="208A977B">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w:t>
                  </w:r>
                </w:p>
              </w:tc>
            </w:tr>
            <w:tr w14:paraId="194002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3438718F">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vAlign w:val="center"/>
                </w:tcPr>
                <w:p w14:paraId="61E530F2">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化粪池去除效率</w:t>
                  </w:r>
                </w:p>
              </w:tc>
              <w:tc>
                <w:tcPr>
                  <w:tcW w:w="782" w:type="dxa"/>
                  <w:tcBorders>
                    <w:tl2br w:val="nil"/>
                    <w:tr2bl w:val="nil"/>
                  </w:tcBorders>
                  <w:vAlign w:val="center"/>
                </w:tcPr>
                <w:p w14:paraId="5F76A6D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782" w:type="dxa"/>
                  <w:tcBorders>
                    <w:tl2br w:val="nil"/>
                    <w:tr2bl w:val="nil"/>
                  </w:tcBorders>
                  <w:vAlign w:val="center"/>
                </w:tcPr>
                <w:p w14:paraId="0411DB3B">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782" w:type="dxa"/>
                  <w:tcBorders>
                    <w:tl2br w:val="nil"/>
                    <w:tr2bl w:val="nil"/>
                  </w:tcBorders>
                  <w:vAlign w:val="center"/>
                </w:tcPr>
                <w:p w14:paraId="63F5C39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782" w:type="dxa"/>
                  <w:tcBorders>
                    <w:tl2br w:val="nil"/>
                    <w:tr2bl w:val="nil"/>
                  </w:tcBorders>
                  <w:vAlign w:val="center"/>
                </w:tcPr>
                <w:p w14:paraId="03F103D2">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782" w:type="dxa"/>
                  <w:tcBorders>
                    <w:tl2br w:val="nil"/>
                    <w:tr2bl w:val="nil"/>
                  </w:tcBorders>
                  <w:vAlign w:val="center"/>
                </w:tcPr>
                <w:p w14:paraId="2E0467BA">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14:paraId="0E0EBC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1163" w:type="dxa"/>
                  <w:vMerge w:val="continue"/>
                  <w:tcBorders>
                    <w:tl2br w:val="nil"/>
                    <w:tr2bl w:val="nil"/>
                  </w:tcBorders>
                  <w:vAlign w:val="center"/>
                </w:tcPr>
                <w:p w14:paraId="025615B2">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vAlign w:val="center"/>
                </w:tcPr>
                <w:p w14:paraId="0EFD76CC">
                  <w:pPr>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综合废水排放浓度</w:t>
                  </w:r>
                  <w:r>
                    <w:rPr>
                      <w:rFonts w:hint="default" w:ascii="Times New Roman" w:hAnsi="Times New Roman" w:eastAsia="宋体" w:cs="Times New Roman"/>
                      <w:b w:val="0"/>
                      <w:bCs w:val="0"/>
                      <w:color w:val="auto"/>
                      <w:sz w:val="21"/>
                      <w:szCs w:val="21"/>
                      <w:highlight w:val="none"/>
                    </w:rPr>
                    <w:t>（mg/L）</w:t>
                  </w:r>
                </w:p>
              </w:tc>
              <w:tc>
                <w:tcPr>
                  <w:tcW w:w="782" w:type="dxa"/>
                  <w:tcBorders>
                    <w:tl2br w:val="nil"/>
                    <w:tr2bl w:val="nil"/>
                  </w:tcBorders>
                  <w:vAlign w:val="center"/>
                </w:tcPr>
                <w:p w14:paraId="02CAFBE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1.9</w:t>
                  </w:r>
                </w:p>
              </w:tc>
              <w:tc>
                <w:tcPr>
                  <w:tcW w:w="782" w:type="dxa"/>
                  <w:tcBorders>
                    <w:tl2br w:val="nil"/>
                    <w:tr2bl w:val="nil"/>
                  </w:tcBorders>
                  <w:vAlign w:val="center"/>
                </w:tcPr>
                <w:p w14:paraId="63B022B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227.</w:t>
                  </w:r>
                  <w:r>
                    <w:rPr>
                      <w:rFonts w:hint="eastAsia" w:cs="Times New Roman"/>
                      <w:i w:val="0"/>
                      <w:iCs w:val="0"/>
                      <w:color w:val="000000"/>
                      <w:kern w:val="0"/>
                      <w:sz w:val="21"/>
                      <w:szCs w:val="21"/>
                      <w:u w:val="none"/>
                      <w:lang w:val="en-US" w:eastAsia="zh-CN" w:bidi="ar"/>
                    </w:rPr>
                    <w:t>1</w:t>
                  </w:r>
                </w:p>
              </w:tc>
              <w:tc>
                <w:tcPr>
                  <w:tcW w:w="782" w:type="dxa"/>
                  <w:tcBorders>
                    <w:tl2br w:val="nil"/>
                    <w:tr2bl w:val="nil"/>
                  </w:tcBorders>
                  <w:vAlign w:val="center"/>
                </w:tcPr>
                <w:p w14:paraId="061BDE5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209.8</w:t>
                  </w:r>
                </w:p>
              </w:tc>
              <w:tc>
                <w:tcPr>
                  <w:tcW w:w="782" w:type="dxa"/>
                  <w:tcBorders>
                    <w:tl2br w:val="nil"/>
                    <w:tr2bl w:val="nil"/>
                  </w:tcBorders>
                  <w:vAlign w:val="center"/>
                </w:tcPr>
                <w:p w14:paraId="7E47BB5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38.</w:t>
                  </w:r>
                  <w:r>
                    <w:rPr>
                      <w:rFonts w:hint="eastAsia" w:cs="Times New Roman"/>
                      <w:i w:val="0"/>
                      <w:iCs w:val="0"/>
                      <w:color w:val="000000"/>
                      <w:kern w:val="0"/>
                      <w:sz w:val="21"/>
                      <w:szCs w:val="21"/>
                      <w:u w:val="none"/>
                      <w:lang w:val="en-US" w:eastAsia="zh-CN" w:bidi="ar"/>
                    </w:rPr>
                    <w:t>7</w:t>
                  </w:r>
                </w:p>
              </w:tc>
              <w:tc>
                <w:tcPr>
                  <w:tcW w:w="782" w:type="dxa"/>
                  <w:tcBorders>
                    <w:tl2br w:val="nil"/>
                    <w:tr2bl w:val="nil"/>
                  </w:tcBorders>
                  <w:vAlign w:val="center"/>
                </w:tcPr>
                <w:p w14:paraId="6896CC55">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6.5~9</w:t>
                  </w:r>
                </w:p>
              </w:tc>
            </w:tr>
            <w:tr w14:paraId="5EC994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1" w:hRule="atLeast"/>
                <w:jc w:val="center"/>
              </w:trPr>
              <w:tc>
                <w:tcPr>
                  <w:tcW w:w="1163" w:type="dxa"/>
                  <w:vMerge w:val="continue"/>
                  <w:tcBorders>
                    <w:tl2br w:val="nil"/>
                    <w:tr2bl w:val="nil"/>
                  </w:tcBorders>
                  <w:vAlign w:val="center"/>
                </w:tcPr>
                <w:p w14:paraId="39689C90">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p>
              </w:tc>
              <w:tc>
                <w:tcPr>
                  <w:tcW w:w="1506" w:type="dxa"/>
                  <w:tcBorders>
                    <w:tl2br w:val="nil"/>
                    <w:tr2bl w:val="nil"/>
                  </w:tcBorders>
                  <w:vAlign w:val="center"/>
                </w:tcPr>
                <w:p w14:paraId="55E2028E">
                  <w:pPr>
                    <w:widowControl/>
                    <w:adjustRightInd w:val="0"/>
                    <w:snapToGrid w:val="0"/>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b w:val="0"/>
                      <w:bCs w:val="0"/>
                      <w:color w:val="auto"/>
                      <w:kern w:val="0"/>
                      <w:sz w:val="21"/>
                      <w:szCs w:val="21"/>
                      <w:highlight w:val="none"/>
                    </w:rPr>
                    <w:t>污染物排放量（t/a）</w:t>
                  </w:r>
                </w:p>
              </w:tc>
              <w:tc>
                <w:tcPr>
                  <w:tcW w:w="782" w:type="dxa"/>
                  <w:tcBorders>
                    <w:tl2br w:val="nil"/>
                    <w:tr2bl w:val="nil"/>
                  </w:tcBorders>
                  <w:vAlign w:val="center"/>
                </w:tcPr>
                <w:p w14:paraId="516EE14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0.1540</w:t>
                  </w:r>
                </w:p>
              </w:tc>
              <w:tc>
                <w:tcPr>
                  <w:tcW w:w="782" w:type="dxa"/>
                  <w:tcBorders>
                    <w:tl2br w:val="nil"/>
                    <w:tr2bl w:val="nil"/>
                  </w:tcBorders>
                  <w:vAlign w:val="center"/>
                </w:tcPr>
                <w:p w14:paraId="4E505CEF">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0.091</w:t>
                  </w:r>
                  <w:r>
                    <w:rPr>
                      <w:rFonts w:hint="eastAsia" w:cs="Times New Roman"/>
                      <w:i w:val="0"/>
                      <w:iCs w:val="0"/>
                      <w:color w:val="000000"/>
                      <w:kern w:val="0"/>
                      <w:sz w:val="21"/>
                      <w:szCs w:val="21"/>
                      <w:u w:val="none"/>
                      <w:lang w:val="en-US" w:eastAsia="zh-CN" w:bidi="ar"/>
                    </w:rPr>
                    <w:t>6</w:t>
                  </w:r>
                </w:p>
              </w:tc>
              <w:tc>
                <w:tcPr>
                  <w:tcW w:w="782" w:type="dxa"/>
                  <w:tcBorders>
                    <w:tl2br w:val="nil"/>
                    <w:tr2bl w:val="nil"/>
                  </w:tcBorders>
                  <w:vAlign w:val="center"/>
                </w:tcPr>
                <w:p w14:paraId="63C53A2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0.0846</w:t>
                  </w:r>
                </w:p>
              </w:tc>
              <w:tc>
                <w:tcPr>
                  <w:tcW w:w="782" w:type="dxa"/>
                  <w:tcBorders>
                    <w:tl2br w:val="nil"/>
                    <w:tr2bl w:val="nil"/>
                  </w:tcBorders>
                  <w:vAlign w:val="center"/>
                </w:tcPr>
                <w:p w14:paraId="370E9339">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0.0156</w:t>
                  </w:r>
                </w:p>
              </w:tc>
              <w:tc>
                <w:tcPr>
                  <w:tcW w:w="782" w:type="dxa"/>
                  <w:tcBorders>
                    <w:tl2br w:val="nil"/>
                    <w:tr2bl w:val="nil"/>
                  </w:tcBorders>
                  <w:vAlign w:val="center"/>
                </w:tcPr>
                <w:p w14:paraId="0487B6C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w:t>
                  </w:r>
                </w:p>
              </w:tc>
            </w:tr>
          </w:tbl>
          <w:p w14:paraId="3A681799">
            <w:pPr>
              <w:numPr>
                <w:ilvl w:val="0"/>
                <w:numId w:val="0"/>
              </w:numPr>
              <w:adjustRightInd w:val="0"/>
              <w:spacing w:line="360" w:lineRule="auto"/>
              <w:ind w:leftChars="200"/>
              <w:rPr>
                <w:rFonts w:hint="default" w:ascii="Times New Roman" w:hAnsi="Times New Roman" w:eastAsia="宋体" w:cs="Times New Roman"/>
                <w:b/>
                <w:bCs/>
                <w:color w:val="auto"/>
                <w:sz w:val="24"/>
                <w:highlight w:val="none"/>
                <w:lang w:eastAsia="zh-CN"/>
              </w:rPr>
            </w:pPr>
            <w:r>
              <w:rPr>
                <w:rFonts w:hint="eastAsia" w:cs="Times New Roman"/>
                <w:b/>
                <w:bCs/>
                <w:color w:val="auto"/>
                <w:sz w:val="24"/>
                <w:highlight w:val="none"/>
                <w:lang w:eastAsia="zh-CN"/>
              </w:rPr>
              <w:t>（</w:t>
            </w:r>
            <w:r>
              <w:rPr>
                <w:rFonts w:hint="eastAsia" w:cs="Times New Roman"/>
                <w:b/>
                <w:bCs/>
                <w:color w:val="auto"/>
                <w:sz w:val="24"/>
                <w:highlight w:val="none"/>
                <w:lang w:val="en-US" w:eastAsia="zh-CN"/>
              </w:rPr>
              <w:t>2</w:t>
            </w:r>
            <w:r>
              <w:rPr>
                <w:rFonts w:hint="eastAsia" w:cs="Times New Roman"/>
                <w:b/>
                <w:bCs/>
                <w:color w:val="auto"/>
                <w:sz w:val="24"/>
                <w:highlight w:val="none"/>
                <w:lang w:eastAsia="zh-CN"/>
              </w:rPr>
              <w:t>）</w:t>
            </w:r>
            <w:r>
              <w:rPr>
                <w:rFonts w:hint="default" w:ascii="Times New Roman" w:hAnsi="Times New Roman" w:eastAsia="宋体" w:cs="Times New Roman"/>
                <w:b/>
                <w:bCs/>
                <w:color w:val="auto"/>
                <w:sz w:val="24"/>
                <w:highlight w:val="none"/>
                <w:lang w:eastAsia="zh-CN"/>
              </w:rPr>
              <w:t>废水排放口基本情况</w:t>
            </w:r>
          </w:p>
          <w:p w14:paraId="793D169C">
            <w:pPr>
              <w:numPr>
                <w:ilvl w:val="0"/>
                <w:numId w:val="0"/>
              </w:numPr>
              <w:adjustRightInd w:val="0"/>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cs="Times New Roman"/>
                <w:b w:val="0"/>
                <w:bCs w:val="0"/>
                <w:color w:val="auto"/>
                <w:sz w:val="24"/>
                <w:highlight w:val="none"/>
                <w:lang w:val="en-US" w:eastAsia="zh-CN"/>
              </w:rPr>
              <w:t>本项目容器第三遍及以后清洗废水、生活污水、高压蒸汽灭菌废水、地面清洗废水一起进园区化粪池处理，最后经市政管网进金桥基地第一污水处理厂</w:t>
            </w:r>
            <w:r>
              <w:rPr>
                <w:rFonts w:hint="eastAsia" w:ascii="Times New Roman" w:hAnsi="Times New Roman" w:eastAsia="宋体" w:cs="Times New Roman"/>
                <w:color w:val="auto"/>
                <w:sz w:val="24"/>
                <w:highlight w:val="none"/>
                <w:lang w:val="en-US" w:eastAsia="zh-CN"/>
              </w:rPr>
              <w:t>。本项目废水排放口情况见下表。</w:t>
            </w:r>
          </w:p>
          <w:p w14:paraId="5D5DB57B">
            <w:pPr>
              <w:keepNext w:val="0"/>
              <w:keepLines w:val="0"/>
              <w:widowControl/>
              <w:numPr>
                <w:ilvl w:val="0"/>
                <w:numId w:val="32"/>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废水排放口基本情况</w:t>
            </w:r>
          </w:p>
          <w:tbl>
            <w:tblPr>
              <w:tblStyle w:val="23"/>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67"/>
              <w:gridCol w:w="898"/>
              <w:gridCol w:w="1722"/>
              <w:gridCol w:w="1117"/>
              <w:gridCol w:w="2164"/>
            </w:tblGrid>
            <w:tr w14:paraId="7491C3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100" w:type="pct"/>
                  <w:tcBorders>
                    <w:tl2br w:val="nil"/>
                    <w:tr2bl w:val="nil"/>
                  </w:tcBorders>
                  <w:vAlign w:val="center"/>
                </w:tcPr>
                <w:p w14:paraId="4D0F3A22">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排放口名称</w:t>
                  </w:r>
                </w:p>
              </w:tc>
              <w:tc>
                <w:tcPr>
                  <w:tcW w:w="593" w:type="pct"/>
                  <w:tcBorders>
                    <w:tl2br w:val="nil"/>
                    <w:tr2bl w:val="nil"/>
                  </w:tcBorders>
                  <w:vAlign w:val="center"/>
                </w:tcPr>
                <w:p w14:paraId="33FFB7B9">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编号</w:t>
                  </w:r>
                </w:p>
              </w:tc>
              <w:tc>
                <w:tcPr>
                  <w:tcW w:w="1137" w:type="pct"/>
                  <w:tcBorders>
                    <w:tl2br w:val="nil"/>
                    <w:tr2bl w:val="nil"/>
                  </w:tcBorders>
                  <w:vAlign w:val="center"/>
                </w:tcPr>
                <w:p w14:paraId="235CEEE9">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地理坐标</w:t>
                  </w:r>
                </w:p>
              </w:tc>
              <w:tc>
                <w:tcPr>
                  <w:tcW w:w="738" w:type="pct"/>
                  <w:tcBorders>
                    <w:tl2br w:val="nil"/>
                    <w:tr2bl w:val="nil"/>
                  </w:tcBorders>
                  <w:vAlign w:val="center"/>
                </w:tcPr>
                <w:p w14:paraId="71C3B35C">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类型</w:t>
                  </w:r>
                </w:p>
              </w:tc>
              <w:tc>
                <w:tcPr>
                  <w:tcW w:w="1429" w:type="pct"/>
                  <w:tcBorders>
                    <w:tl2br w:val="nil"/>
                    <w:tr2bl w:val="nil"/>
                  </w:tcBorders>
                  <w:vAlign w:val="center"/>
                </w:tcPr>
                <w:p w14:paraId="274AD0A3">
                  <w:pP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排放标准</w:t>
                  </w:r>
                </w:p>
              </w:tc>
            </w:tr>
            <w:tr w14:paraId="31342D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0" w:type="pct"/>
                  <w:tcBorders>
                    <w:tl2br w:val="nil"/>
                    <w:tr2bl w:val="nil"/>
                  </w:tcBorders>
                  <w:vAlign w:val="center"/>
                </w:tcPr>
                <w:p w14:paraId="240C7758">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废水总排口（园区化粪池公用排口）</w:t>
                  </w:r>
                </w:p>
              </w:tc>
              <w:tc>
                <w:tcPr>
                  <w:tcW w:w="593" w:type="pct"/>
                  <w:tcBorders>
                    <w:tl2br w:val="nil"/>
                    <w:tr2bl w:val="nil"/>
                  </w:tcBorders>
                  <w:vAlign w:val="center"/>
                </w:tcPr>
                <w:p w14:paraId="5D770F07">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DW001</w:t>
                  </w:r>
                </w:p>
              </w:tc>
              <w:tc>
                <w:tcPr>
                  <w:tcW w:w="1137" w:type="pct"/>
                  <w:tcBorders>
                    <w:tl2br w:val="nil"/>
                    <w:tr2bl w:val="nil"/>
                  </w:tcBorders>
                  <w:vAlign w:val="center"/>
                </w:tcPr>
                <w:p w14:paraId="22AEF937">
                  <w:pPr>
                    <w:numPr>
                      <w:ilvl w:val="0"/>
                      <w:numId w:val="0"/>
                    </w:numPr>
                    <w:adjustRightInd w:val="0"/>
                    <w:snapToGrid w:val="0"/>
                    <w:spacing w:line="360" w:lineRule="auto"/>
                    <w:jc w:val="center"/>
                    <w:rPr>
                      <w:rFonts w:hint="default" w:cs="Times New Roman"/>
                      <w:b w:val="0"/>
                      <w:bCs w:val="0"/>
                      <w:color w:val="auto"/>
                      <w:kern w:val="0"/>
                      <w:sz w:val="21"/>
                      <w:szCs w:val="21"/>
                      <w:highlight w:val="none"/>
                      <w:vertAlign w:val="baseline"/>
                      <w:lang w:val="en-US" w:eastAsia="zh-CN"/>
                    </w:rPr>
                  </w:pPr>
                  <w:r>
                    <w:rPr>
                      <w:rFonts w:hint="eastAsia" w:cs="Times New Roman"/>
                      <w:b w:val="0"/>
                      <w:bCs w:val="0"/>
                      <w:color w:val="auto"/>
                      <w:kern w:val="0"/>
                      <w:sz w:val="21"/>
                      <w:szCs w:val="21"/>
                      <w:highlight w:val="none"/>
                      <w:vertAlign w:val="baseline"/>
                      <w:lang w:val="en-US" w:eastAsia="zh-CN"/>
                    </w:rPr>
                    <w:t>东经：116.554075</w:t>
                  </w:r>
                  <w:r>
                    <w:rPr>
                      <w:rFonts w:hint="eastAsia" w:ascii="Times New Roman" w:hAnsi="Times New Roman" w:eastAsia="宋体" w:cs="Times New Roman"/>
                      <w:color w:val="auto"/>
                      <w:sz w:val="24"/>
                      <w:highlight w:val="none"/>
                      <w:vertAlign w:val="superscript"/>
                      <w:lang w:val="en-US" w:eastAsia="zh-CN"/>
                    </w:rPr>
                    <w:t>。</w:t>
                  </w:r>
                </w:p>
                <w:p w14:paraId="0C7A02A3">
                  <w:pPr>
                    <w:jc w:val="center"/>
                    <w:rPr>
                      <w:rFonts w:hint="default" w:ascii="Times New Roman" w:hAnsi="Times New Roman" w:eastAsia="宋体" w:cs="Times New Roman"/>
                      <w:color w:val="auto"/>
                      <w:szCs w:val="21"/>
                      <w:highlight w:val="none"/>
                      <w:lang w:val="en-US"/>
                    </w:rPr>
                  </w:pPr>
                  <w:r>
                    <w:rPr>
                      <w:rFonts w:hint="eastAsia" w:cs="Times New Roman"/>
                      <w:b w:val="0"/>
                      <w:bCs w:val="0"/>
                      <w:color w:val="auto"/>
                      <w:kern w:val="0"/>
                      <w:sz w:val="21"/>
                      <w:szCs w:val="21"/>
                      <w:highlight w:val="none"/>
                      <w:vertAlign w:val="baseline"/>
                      <w:lang w:val="en-US" w:eastAsia="zh-CN"/>
                    </w:rPr>
                    <w:t>北纬：39.743387</w:t>
                  </w:r>
                  <w:r>
                    <w:rPr>
                      <w:rFonts w:hint="eastAsia" w:ascii="Times New Roman" w:hAnsi="Times New Roman" w:eastAsia="宋体" w:cs="Times New Roman"/>
                      <w:color w:val="auto"/>
                      <w:sz w:val="24"/>
                      <w:highlight w:val="none"/>
                      <w:vertAlign w:val="superscript"/>
                      <w:lang w:val="en-US" w:eastAsia="zh-CN"/>
                    </w:rPr>
                    <w:t>。</w:t>
                  </w:r>
                </w:p>
              </w:tc>
              <w:tc>
                <w:tcPr>
                  <w:tcW w:w="738" w:type="pct"/>
                  <w:tcBorders>
                    <w:tl2br w:val="nil"/>
                    <w:tr2bl w:val="nil"/>
                  </w:tcBorders>
                  <w:vAlign w:val="center"/>
                </w:tcPr>
                <w:p w14:paraId="281E7A9E">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一般排放口</w:t>
                  </w:r>
                </w:p>
              </w:tc>
              <w:tc>
                <w:tcPr>
                  <w:tcW w:w="1429" w:type="pct"/>
                  <w:tcBorders>
                    <w:tl2br w:val="nil"/>
                    <w:tr2bl w:val="nil"/>
                  </w:tcBorders>
                  <w:vAlign w:val="center"/>
                </w:tcPr>
                <w:p w14:paraId="4FBFE42E">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北京市《水污染物综合排放标准》（DB11/307-2013）</w:t>
                  </w:r>
                </w:p>
              </w:tc>
            </w:tr>
          </w:tbl>
          <w:p w14:paraId="3C83E75D">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lang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eastAsia="zh-CN"/>
              </w:rPr>
              <w:t>）达标及影响分析</w:t>
            </w:r>
          </w:p>
          <w:p w14:paraId="642D679D">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lang w:val="zh-CN" w:eastAsia="zh-CN"/>
              </w:rPr>
            </w:pPr>
            <w:r>
              <w:rPr>
                <w:rFonts w:hint="default" w:ascii="Times New Roman" w:hAnsi="Times New Roman" w:eastAsia="宋体" w:cs="Times New Roman"/>
                <w:color w:val="auto"/>
                <w:sz w:val="24"/>
                <w:highlight w:val="none"/>
                <w:lang w:val="zh-CN"/>
              </w:rPr>
              <w:t>本项目废水达标排放分析</w:t>
            </w:r>
            <w:r>
              <w:rPr>
                <w:rFonts w:hint="default" w:ascii="Times New Roman" w:hAnsi="Times New Roman" w:eastAsia="宋体" w:cs="Times New Roman"/>
                <w:color w:val="auto"/>
                <w:sz w:val="24"/>
                <w:highlight w:val="none"/>
                <w:lang w:val="zh-CN" w:eastAsia="zh-CN"/>
              </w:rPr>
              <w:t>见下表。</w:t>
            </w:r>
          </w:p>
          <w:p w14:paraId="10729187">
            <w:pPr>
              <w:keepNext w:val="0"/>
              <w:keepLines w:val="0"/>
              <w:widowControl/>
              <w:numPr>
                <w:ilvl w:val="0"/>
                <w:numId w:val="32"/>
              </w:numPr>
              <w:suppressLineNumbers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项目废水排放及达标情况一览表</w:t>
            </w:r>
          </w:p>
          <w:tbl>
            <w:tblPr>
              <w:tblStyle w:val="23"/>
              <w:tblW w:w="49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73"/>
              <w:gridCol w:w="1108"/>
              <w:gridCol w:w="1109"/>
              <w:gridCol w:w="1109"/>
              <w:gridCol w:w="1109"/>
              <w:gridCol w:w="1109"/>
            </w:tblGrid>
            <w:tr w14:paraId="74A2DD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3" w:type="pct"/>
                  <w:tcBorders>
                    <w:tl2br w:val="nil"/>
                    <w:tr2bl w:val="nil"/>
                  </w:tcBorders>
                  <w:vAlign w:val="center"/>
                </w:tcPr>
                <w:p w14:paraId="53846CE5">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747" w:type="pct"/>
                  <w:tcBorders>
                    <w:tl2br w:val="nil"/>
                    <w:tr2bl w:val="nil"/>
                  </w:tcBorders>
                  <w:vAlign w:val="center"/>
                </w:tcPr>
                <w:p w14:paraId="2FFFB428">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COD</w:t>
                  </w:r>
                  <w:r>
                    <w:rPr>
                      <w:rFonts w:hint="default" w:ascii="Times New Roman" w:hAnsi="Times New Roman" w:eastAsia="宋体" w:cs="Times New Roman"/>
                      <w:b/>
                      <w:bCs/>
                      <w:color w:val="auto"/>
                      <w:szCs w:val="21"/>
                      <w:highlight w:val="none"/>
                      <w:vertAlign w:val="subscript"/>
                    </w:rPr>
                    <w:t>Cr</w:t>
                  </w:r>
                </w:p>
              </w:tc>
              <w:tc>
                <w:tcPr>
                  <w:tcW w:w="747" w:type="pct"/>
                  <w:tcBorders>
                    <w:tl2br w:val="nil"/>
                    <w:tr2bl w:val="nil"/>
                  </w:tcBorders>
                  <w:vAlign w:val="center"/>
                </w:tcPr>
                <w:p w14:paraId="729BCD80">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28"/>
                      <w:szCs w:val="21"/>
                      <w:highlight w:val="none"/>
                    </w:rPr>
                    <w:t>BOD</w:t>
                  </w:r>
                  <w:r>
                    <w:rPr>
                      <w:rFonts w:hint="default" w:ascii="Times New Roman" w:hAnsi="Times New Roman" w:eastAsia="宋体" w:cs="Times New Roman"/>
                      <w:b/>
                      <w:bCs/>
                      <w:color w:val="auto"/>
                      <w:kern w:val="28"/>
                      <w:szCs w:val="21"/>
                      <w:highlight w:val="none"/>
                      <w:vertAlign w:val="subscript"/>
                    </w:rPr>
                    <w:t>5</w:t>
                  </w:r>
                </w:p>
              </w:tc>
              <w:tc>
                <w:tcPr>
                  <w:tcW w:w="747" w:type="pct"/>
                  <w:tcBorders>
                    <w:tl2br w:val="nil"/>
                    <w:tr2bl w:val="nil"/>
                  </w:tcBorders>
                  <w:vAlign w:val="center"/>
                </w:tcPr>
                <w:p w14:paraId="183D1A25">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SS</w:t>
                  </w:r>
                </w:p>
              </w:tc>
              <w:tc>
                <w:tcPr>
                  <w:tcW w:w="747" w:type="pct"/>
                  <w:tcBorders>
                    <w:tl2br w:val="nil"/>
                    <w:tr2bl w:val="nil"/>
                  </w:tcBorders>
                  <w:vAlign w:val="center"/>
                </w:tcPr>
                <w:p w14:paraId="05A4C24A">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NH</w:t>
                  </w:r>
                  <w:r>
                    <w:rPr>
                      <w:rFonts w:hint="default" w:ascii="Times New Roman" w:hAnsi="Times New Roman" w:eastAsia="宋体" w:cs="Times New Roman"/>
                      <w:b/>
                      <w:bCs/>
                      <w:color w:val="auto"/>
                      <w:szCs w:val="21"/>
                      <w:highlight w:val="none"/>
                      <w:vertAlign w:val="subscript"/>
                    </w:rPr>
                    <w:t>3</w:t>
                  </w:r>
                  <w:r>
                    <w:rPr>
                      <w:rFonts w:hint="default" w:ascii="Times New Roman" w:hAnsi="Times New Roman" w:eastAsia="宋体" w:cs="Times New Roman"/>
                      <w:b/>
                      <w:bCs/>
                      <w:color w:val="auto"/>
                      <w:szCs w:val="21"/>
                      <w:highlight w:val="none"/>
                    </w:rPr>
                    <w:t>-N</w:t>
                  </w:r>
                </w:p>
              </w:tc>
              <w:tc>
                <w:tcPr>
                  <w:tcW w:w="747" w:type="pct"/>
                  <w:tcBorders>
                    <w:tl2br w:val="nil"/>
                    <w:tr2bl w:val="nil"/>
                  </w:tcBorders>
                  <w:vAlign w:val="center"/>
                </w:tcPr>
                <w:p w14:paraId="61CF38F5">
                  <w:pPr>
                    <w:adjustRightIn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pH</w:t>
                  </w:r>
                </w:p>
              </w:tc>
            </w:tr>
            <w:tr w14:paraId="32C17E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3" w:type="pct"/>
                  <w:tcBorders>
                    <w:tl2br w:val="nil"/>
                    <w:tr2bl w:val="nil"/>
                  </w:tcBorders>
                  <w:vAlign w:val="center"/>
                </w:tcPr>
                <w:p w14:paraId="07FAC881">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排放浓度（mg/L）</w:t>
                  </w:r>
                </w:p>
              </w:tc>
              <w:tc>
                <w:tcPr>
                  <w:tcW w:w="747" w:type="pct"/>
                  <w:tcBorders>
                    <w:tl2br w:val="nil"/>
                    <w:tr2bl w:val="nil"/>
                  </w:tcBorders>
                  <w:shd w:val="clear" w:color="auto" w:fill="auto"/>
                  <w:vAlign w:val="center"/>
                </w:tcPr>
                <w:p w14:paraId="6CCB76DF">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382.0</w:t>
                  </w:r>
                </w:p>
              </w:tc>
              <w:tc>
                <w:tcPr>
                  <w:tcW w:w="747" w:type="pct"/>
                  <w:tcBorders>
                    <w:tl2br w:val="nil"/>
                    <w:tr2bl w:val="nil"/>
                  </w:tcBorders>
                  <w:shd w:val="clear" w:color="auto" w:fill="auto"/>
                  <w:vAlign w:val="center"/>
                </w:tcPr>
                <w:p w14:paraId="1DA1943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227.4</w:t>
                  </w:r>
                </w:p>
              </w:tc>
              <w:tc>
                <w:tcPr>
                  <w:tcW w:w="747" w:type="pct"/>
                  <w:tcBorders>
                    <w:tl2br w:val="nil"/>
                    <w:tr2bl w:val="nil"/>
                  </w:tcBorders>
                  <w:shd w:val="clear" w:color="auto" w:fill="auto"/>
                  <w:vAlign w:val="center"/>
                </w:tcPr>
                <w:p w14:paraId="7EAD55E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209.8</w:t>
                  </w:r>
                </w:p>
              </w:tc>
              <w:tc>
                <w:tcPr>
                  <w:tcW w:w="747" w:type="pct"/>
                  <w:tcBorders>
                    <w:tl2br w:val="nil"/>
                    <w:tr2bl w:val="nil"/>
                  </w:tcBorders>
                  <w:shd w:val="clear" w:color="auto" w:fill="auto"/>
                  <w:vAlign w:val="center"/>
                </w:tcPr>
                <w:p w14:paraId="15846E7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38.8</w:t>
                  </w:r>
                </w:p>
              </w:tc>
              <w:tc>
                <w:tcPr>
                  <w:tcW w:w="747" w:type="pct"/>
                  <w:tcBorders>
                    <w:tl2br w:val="nil"/>
                    <w:tr2bl w:val="nil"/>
                  </w:tcBorders>
                  <w:shd w:val="clear" w:color="auto" w:fill="auto"/>
                  <w:vAlign w:val="center"/>
                </w:tcPr>
                <w:p w14:paraId="3C7D1B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6.5~9</w:t>
                  </w:r>
                </w:p>
                <w:p w14:paraId="666F83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color w:val="auto"/>
                      <w:szCs w:val="21"/>
                      <w:highlight w:val="none"/>
                      <w:lang w:val="en-US" w:eastAsia="zh-CN"/>
                    </w:rPr>
                    <w:t>(无量纲)</w:t>
                  </w:r>
                </w:p>
              </w:tc>
            </w:tr>
            <w:tr w14:paraId="4D962D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1" w:hRule="atLeast"/>
                <w:jc w:val="center"/>
              </w:trPr>
              <w:tc>
                <w:tcPr>
                  <w:tcW w:w="1263" w:type="pct"/>
                  <w:tcBorders>
                    <w:tl2br w:val="nil"/>
                    <w:tr2bl w:val="nil"/>
                  </w:tcBorders>
                  <w:vAlign w:val="center"/>
                </w:tcPr>
                <w:p w14:paraId="3A636A4C">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标准值（mg/L）</w:t>
                  </w:r>
                </w:p>
              </w:tc>
              <w:tc>
                <w:tcPr>
                  <w:tcW w:w="747" w:type="pct"/>
                  <w:tcBorders>
                    <w:tl2br w:val="nil"/>
                    <w:tr2bl w:val="nil"/>
                  </w:tcBorders>
                  <w:vAlign w:val="center"/>
                </w:tcPr>
                <w:p w14:paraId="464EAE71">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500</w:t>
                  </w:r>
                </w:p>
              </w:tc>
              <w:tc>
                <w:tcPr>
                  <w:tcW w:w="747" w:type="pct"/>
                  <w:tcBorders>
                    <w:tl2br w:val="nil"/>
                    <w:tr2bl w:val="nil"/>
                  </w:tcBorders>
                  <w:vAlign w:val="center"/>
                </w:tcPr>
                <w:p w14:paraId="68CE5451">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300</w:t>
                  </w:r>
                </w:p>
              </w:tc>
              <w:tc>
                <w:tcPr>
                  <w:tcW w:w="747" w:type="pct"/>
                  <w:tcBorders>
                    <w:tl2br w:val="nil"/>
                    <w:tr2bl w:val="nil"/>
                  </w:tcBorders>
                  <w:vAlign w:val="center"/>
                </w:tcPr>
                <w:p w14:paraId="04375807">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400</w:t>
                  </w:r>
                </w:p>
              </w:tc>
              <w:tc>
                <w:tcPr>
                  <w:tcW w:w="747" w:type="pct"/>
                  <w:tcBorders>
                    <w:tl2br w:val="nil"/>
                    <w:tr2bl w:val="nil"/>
                  </w:tcBorders>
                  <w:vAlign w:val="center"/>
                </w:tcPr>
                <w:p w14:paraId="74B86864">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45</w:t>
                  </w:r>
                </w:p>
              </w:tc>
              <w:tc>
                <w:tcPr>
                  <w:tcW w:w="747" w:type="pct"/>
                  <w:tcBorders>
                    <w:tl2br w:val="nil"/>
                    <w:tr2bl w:val="nil"/>
                  </w:tcBorders>
                  <w:vAlign w:val="center"/>
                </w:tcPr>
                <w:p w14:paraId="06F1D2C1">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6.5～9</w:t>
                  </w:r>
                </w:p>
                <w:p w14:paraId="52C8A258">
                  <w:pPr>
                    <w:adjustRightIn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(无量纲)</w:t>
                  </w:r>
                </w:p>
              </w:tc>
            </w:tr>
            <w:tr w14:paraId="3F6883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63" w:type="pct"/>
                  <w:tcBorders>
                    <w:tl2br w:val="nil"/>
                    <w:tr2bl w:val="nil"/>
                  </w:tcBorders>
                  <w:vAlign w:val="center"/>
                </w:tcPr>
                <w:p w14:paraId="0B34F8D9">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达标分析</w:t>
                  </w:r>
                </w:p>
              </w:tc>
              <w:tc>
                <w:tcPr>
                  <w:tcW w:w="747" w:type="pct"/>
                  <w:tcBorders>
                    <w:tl2br w:val="nil"/>
                    <w:tr2bl w:val="nil"/>
                  </w:tcBorders>
                  <w:vAlign w:val="center"/>
                </w:tcPr>
                <w:p w14:paraId="1097DB79">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747" w:type="pct"/>
                  <w:tcBorders>
                    <w:tl2br w:val="nil"/>
                    <w:tr2bl w:val="nil"/>
                  </w:tcBorders>
                  <w:vAlign w:val="center"/>
                </w:tcPr>
                <w:p w14:paraId="28CF2151">
                  <w:pPr>
                    <w:adjustRightInd w:val="0"/>
                    <w:spacing w:line="24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747" w:type="pct"/>
                  <w:tcBorders>
                    <w:tl2br w:val="nil"/>
                    <w:tr2bl w:val="nil"/>
                  </w:tcBorders>
                  <w:vAlign w:val="center"/>
                </w:tcPr>
                <w:p w14:paraId="5EBD90CB">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747" w:type="pct"/>
                  <w:tcBorders>
                    <w:tl2br w:val="nil"/>
                    <w:tr2bl w:val="nil"/>
                  </w:tcBorders>
                  <w:vAlign w:val="center"/>
                </w:tcPr>
                <w:p w14:paraId="67A636BD">
                  <w:pPr>
                    <w:adjustRightIn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c>
                <w:tcPr>
                  <w:tcW w:w="747" w:type="pct"/>
                  <w:tcBorders>
                    <w:tl2br w:val="nil"/>
                    <w:tr2bl w:val="nil"/>
                  </w:tcBorders>
                  <w:vAlign w:val="center"/>
                </w:tcPr>
                <w:p w14:paraId="66544157">
                  <w:pPr>
                    <w:adjustRightInd w:val="0"/>
                    <w:spacing w:line="24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达标</w:t>
                  </w:r>
                </w:p>
              </w:tc>
            </w:tr>
          </w:tbl>
          <w:p w14:paraId="40075587">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综上，本项目废水满足北京市《</w:t>
            </w:r>
            <w:r>
              <w:rPr>
                <w:rFonts w:hint="default" w:ascii="Times New Roman" w:hAnsi="Times New Roman" w:eastAsia="宋体" w:cs="Times New Roman"/>
                <w:color w:val="auto"/>
                <w:sz w:val="24"/>
                <w:highlight w:val="none"/>
                <w:lang w:val="zh-CN"/>
              </w:rPr>
              <w:t>水污染物综合排放标准》（DB11/307-</w:t>
            </w:r>
            <w:r>
              <w:rPr>
                <w:rFonts w:hint="default" w:ascii="Times New Roman" w:hAnsi="Times New Roman" w:eastAsia="宋体" w:cs="Times New Roman"/>
                <w:color w:val="auto"/>
                <w:sz w:val="24"/>
                <w:highlight w:val="none"/>
              </w:rPr>
              <w:t>2013</w:t>
            </w:r>
            <w:r>
              <w:rPr>
                <w:rFonts w:hint="default" w:ascii="Times New Roman" w:hAnsi="Times New Roman" w:eastAsia="宋体" w:cs="Times New Roman"/>
                <w:color w:val="auto"/>
                <w:sz w:val="24"/>
                <w:highlight w:val="none"/>
                <w:lang w:val="zh-CN"/>
              </w:rPr>
              <w:t>）中</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lang w:val="zh-CN"/>
              </w:rPr>
              <w:t>表</w:t>
            </w:r>
            <w:r>
              <w:rPr>
                <w:rFonts w:hint="default" w:ascii="Times New Roman" w:hAnsi="Times New Roman" w:eastAsia="宋体" w:cs="Times New Roman"/>
                <w:color w:val="auto"/>
                <w:sz w:val="24"/>
                <w:highlight w:val="none"/>
              </w:rPr>
              <w:t>3</w:t>
            </w:r>
            <w:r>
              <w:rPr>
                <w:rFonts w:hint="default" w:ascii="Times New Roman" w:hAnsi="Times New Roman" w:eastAsia="宋体" w:cs="Times New Roman"/>
                <w:color w:val="auto"/>
                <w:sz w:val="24"/>
                <w:highlight w:val="none"/>
                <w:lang w:val="zh-CN"/>
              </w:rPr>
              <w:t>排入公共污水处理系统的水污染物排放限值</w:t>
            </w:r>
            <w:r>
              <w:rPr>
                <w:rFonts w:hint="eastAsia" w:cs="Times New Roman"/>
                <w:color w:val="auto"/>
                <w:sz w:val="24"/>
                <w:highlight w:val="none"/>
                <w:lang w:val="zh-CN"/>
              </w:rPr>
              <w:t>”</w:t>
            </w:r>
            <w:r>
              <w:rPr>
                <w:rFonts w:hint="default" w:ascii="Times New Roman" w:hAnsi="Times New Roman" w:eastAsia="宋体" w:cs="Times New Roman"/>
                <w:color w:val="auto"/>
                <w:sz w:val="24"/>
                <w:highlight w:val="none"/>
              </w:rPr>
              <w:t>的标准要求。</w:t>
            </w:r>
          </w:p>
          <w:p w14:paraId="11E346DC">
            <w:pPr>
              <w:numPr>
                <w:ilvl w:val="255"/>
                <w:numId w:val="0"/>
              </w:numPr>
              <w:adjustRightInd w:val="0"/>
              <w:spacing w:line="360" w:lineRule="auto"/>
              <w:ind w:left="420" w:leftChars="200"/>
              <w:rPr>
                <w:rFonts w:hint="default"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w:t>
            </w:r>
            <w:r>
              <w:rPr>
                <w:rFonts w:hint="eastAsia" w:ascii="Times New Roman" w:hAnsi="Times New Roman" w:eastAsia="宋体" w:cs="Times New Roman"/>
                <w:b/>
                <w:bCs/>
                <w:color w:val="auto"/>
                <w:sz w:val="24"/>
                <w:highlight w:val="none"/>
                <w:lang w:val="en-US" w:eastAsia="zh-CN"/>
              </w:rPr>
              <w:t>4</w:t>
            </w:r>
            <w:r>
              <w:rPr>
                <w:rFonts w:hint="eastAsia"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eastAsia="zh-CN"/>
              </w:rPr>
              <w:t>污水处理厂可行性分析</w:t>
            </w:r>
          </w:p>
          <w:p w14:paraId="49DDCA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本项目位于金桥基地第一污水处理厂的纳水范围内。</w:t>
            </w:r>
            <w:r>
              <w:rPr>
                <w:rFonts w:hint="eastAsia" w:cs="Times New Roman"/>
                <w:color w:val="auto"/>
                <w:sz w:val="24"/>
                <w:highlight w:val="none"/>
                <w:lang w:val="en-US" w:eastAsia="zh-CN"/>
              </w:rPr>
              <w:t>金桥基地第一污水处理厂</w:t>
            </w:r>
            <w:r>
              <w:rPr>
                <w:rFonts w:hint="eastAsia" w:ascii="Times New Roman" w:hAnsi="Times New Roman" w:eastAsia="宋体" w:cs="Times New Roman"/>
                <w:color w:val="auto"/>
                <w:sz w:val="24"/>
                <w:highlight w:val="none"/>
                <w:lang w:val="en-US" w:eastAsia="zh-CN"/>
              </w:rPr>
              <w:t>总处理规模1</w:t>
            </w:r>
            <w:r>
              <w:rPr>
                <w:rFonts w:hint="eastAsia" w:cs="Times New Roman"/>
                <w:color w:val="auto"/>
                <w:sz w:val="24"/>
                <w:highlight w:val="none"/>
                <w:lang w:val="en-US" w:eastAsia="zh-CN"/>
              </w:rPr>
              <w:t>0</w:t>
            </w:r>
            <w:r>
              <w:rPr>
                <w:rFonts w:hint="eastAsia" w:ascii="Times New Roman" w:hAnsi="Times New Roman" w:eastAsia="宋体" w:cs="Times New Roman"/>
                <w:color w:val="auto"/>
                <w:sz w:val="24"/>
                <w:highlight w:val="none"/>
                <w:lang w:val="en-US" w:eastAsia="zh-CN"/>
              </w:rPr>
              <w:t>万m³/d，该污水处理厂一期、二期采用SBR工艺，设计处理规模5万m³/d，三期、四期采用MBR生物处理工艺，设计处理规模为5万m³/d，目前</w:t>
            </w:r>
            <w:r>
              <w:rPr>
                <w:rFonts w:hint="eastAsia" w:cs="Times New Roman"/>
                <w:color w:val="auto"/>
                <w:sz w:val="24"/>
                <w:highlight w:val="none"/>
                <w:lang w:val="en-US" w:eastAsia="zh-CN"/>
              </w:rPr>
              <w:t>金桥基地第一污水处理厂</w:t>
            </w:r>
            <w:r>
              <w:rPr>
                <w:rFonts w:hint="eastAsia" w:ascii="Times New Roman" w:hAnsi="Times New Roman" w:eastAsia="宋体" w:cs="Times New Roman"/>
                <w:color w:val="auto"/>
                <w:sz w:val="24"/>
                <w:highlight w:val="none"/>
                <w:lang w:val="en-US" w:eastAsia="zh-CN"/>
              </w:rPr>
              <w:t>现状实际处理规模约5.4万m³/d，剩余处理规模4.6万m³/d。本项目运营期间废水排放量为1.</w:t>
            </w:r>
            <w:r>
              <w:rPr>
                <w:rFonts w:hint="eastAsia" w:cs="Times New Roman"/>
                <w:color w:val="auto"/>
                <w:sz w:val="24"/>
                <w:highlight w:val="none"/>
                <w:lang w:val="en-US" w:eastAsia="zh-CN"/>
              </w:rPr>
              <w:t>55</w:t>
            </w:r>
            <w:r>
              <w:rPr>
                <w:rFonts w:hint="eastAsia" w:ascii="Times New Roman" w:hAnsi="Times New Roman" w:eastAsia="宋体" w:cs="Times New Roman"/>
                <w:color w:val="auto"/>
                <w:sz w:val="24"/>
                <w:highlight w:val="none"/>
                <w:lang w:val="en-US" w:eastAsia="zh-CN"/>
              </w:rPr>
              <w:t>m³/d，占金桥基地第一污水处理厂剩余污水处理余量的0.003%，金桥基地第一污水处理厂有能力接纳本项目排放水量。</w:t>
            </w:r>
          </w:p>
          <w:p w14:paraId="2C70FF4A">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本项目排水水质与金桥基地第一污水处理厂的设计进水水质进行对照比较，比较结果详见下表。</w:t>
            </w:r>
          </w:p>
          <w:p w14:paraId="719035FF">
            <w:pPr>
              <w:keepNext w:val="0"/>
              <w:keepLines w:val="0"/>
              <w:widowControl/>
              <w:numPr>
                <w:ilvl w:val="0"/>
                <w:numId w:val="32"/>
              </w:numPr>
              <w:suppressLineNumbers w:val="0"/>
              <w:ind w:left="425" w:leftChars="0" w:hanging="425" w:firstLineChars="0"/>
              <w:jc w:val="center"/>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本项目排水与污水厂设计进出水水质比较情况表</w:t>
            </w:r>
          </w:p>
          <w:p w14:paraId="4A0E8D14">
            <w:pPr>
              <w:keepNext w:val="0"/>
              <w:keepLines w:val="0"/>
              <w:widowControl/>
              <w:numPr>
                <w:ilvl w:val="0"/>
                <w:numId w:val="0"/>
              </w:numPr>
              <w:suppressLineNumbers w:val="0"/>
              <w:ind w:leftChars="0" w:firstLine="1928" w:firstLineChars="800"/>
              <w:jc w:val="both"/>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（单位：mg/L，pH为无量纲）</w:t>
            </w:r>
          </w:p>
          <w:tbl>
            <w:tblPr>
              <w:tblStyle w:val="24"/>
              <w:tblW w:w="4900" w:type="pct"/>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078"/>
              <w:gridCol w:w="1078"/>
              <w:gridCol w:w="1078"/>
              <w:gridCol w:w="1078"/>
              <w:gridCol w:w="940"/>
            </w:tblGrid>
            <w:tr w14:paraId="1A642B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8" w:type="dxa"/>
                  <w:tcBorders>
                    <w:tl2br w:val="nil"/>
                    <w:tr2bl w:val="nil"/>
                  </w:tcBorders>
                  <w:shd w:val="clear" w:color="auto" w:fill="auto"/>
                  <w:vAlign w:val="center"/>
                </w:tcPr>
                <w:p w14:paraId="3D73CC49">
                  <w:pPr>
                    <w:keepNext w:val="0"/>
                    <w:keepLines w:val="0"/>
                    <w:widowControl/>
                    <w:numPr>
                      <w:ilvl w:val="0"/>
                      <w:numId w:val="0"/>
                    </w:numPr>
                    <w:suppressLineNumbers w:val="0"/>
                    <w:spacing w:line="240" w:lineRule="auto"/>
                    <w:ind w:left="0" w:leftChars="0" w:firstLine="0" w:firstLineChars="0"/>
                    <w:jc w:val="center"/>
                    <w:rPr>
                      <w:rFonts w:hint="eastAsia" w:ascii="Times New Roman" w:hAnsi="Times New Roman" w:eastAsia="宋体" w:cs="Times New Roman"/>
                      <w:b/>
                      <w:bCs/>
                      <w:color w:val="auto"/>
                      <w:kern w:val="2"/>
                      <w:sz w:val="24"/>
                      <w:szCs w:val="24"/>
                      <w:highlight w:val="none"/>
                      <w:vertAlign w:val="baseline"/>
                      <w:lang w:val="en-US" w:eastAsia="zh-CN" w:bidi="ar-SA"/>
                    </w:rPr>
                  </w:pPr>
                  <w:r>
                    <w:rPr>
                      <w:rFonts w:hint="eastAsia" w:ascii="Times New Roman" w:hAnsi="Times New Roman" w:eastAsia="宋体" w:cs="Times New Roman"/>
                      <w:b/>
                      <w:bCs/>
                      <w:color w:val="auto"/>
                      <w:sz w:val="24"/>
                      <w:highlight w:val="none"/>
                      <w:vertAlign w:val="baseline"/>
                      <w:lang w:val="en-US" w:eastAsia="zh-CN"/>
                    </w:rPr>
                    <w:t>项目</w:t>
                  </w:r>
                </w:p>
              </w:tc>
              <w:tc>
                <w:tcPr>
                  <w:tcW w:w="945" w:type="dxa"/>
                  <w:tcBorders>
                    <w:tl2br w:val="nil"/>
                    <w:tr2bl w:val="nil"/>
                  </w:tcBorders>
                  <w:shd w:val="clear" w:color="auto" w:fill="auto"/>
                  <w:vAlign w:val="center"/>
                </w:tcPr>
                <w:p w14:paraId="591D3C90">
                  <w:pPr>
                    <w:keepNext w:val="0"/>
                    <w:keepLines w:val="0"/>
                    <w:widowControl/>
                    <w:numPr>
                      <w:ilvl w:val="0"/>
                      <w:numId w:val="0"/>
                    </w:numPr>
                    <w:suppressLineNumbers w:val="0"/>
                    <w:spacing w:line="240" w:lineRule="auto"/>
                    <w:ind w:left="0" w:leftChars="0" w:firstLine="0" w:firstLineChars="0"/>
                    <w:jc w:val="center"/>
                    <w:rPr>
                      <w:rFonts w:hint="eastAsia" w:ascii="Times New Roman" w:hAnsi="Times New Roman" w:eastAsia="宋体" w:cs="Times New Roman"/>
                      <w:b/>
                      <w:bCs/>
                      <w:color w:val="auto"/>
                      <w:kern w:val="2"/>
                      <w:sz w:val="24"/>
                      <w:szCs w:val="24"/>
                      <w:highlight w:val="none"/>
                      <w:vertAlign w:val="baseline"/>
                      <w:lang w:val="en-US" w:eastAsia="zh-CN" w:bidi="ar-SA"/>
                    </w:rPr>
                  </w:pPr>
                  <w:r>
                    <w:rPr>
                      <w:rFonts w:hint="eastAsia" w:ascii="Times New Roman" w:hAnsi="Times New Roman" w:eastAsia="宋体" w:cs="Times New Roman"/>
                      <w:b/>
                      <w:bCs/>
                      <w:color w:val="auto"/>
                      <w:sz w:val="24"/>
                      <w:highlight w:val="none"/>
                      <w:vertAlign w:val="baseline"/>
                      <w:lang w:val="en-US" w:eastAsia="zh-CN"/>
                    </w:rPr>
                    <w:t>pH</w:t>
                  </w:r>
                </w:p>
              </w:tc>
              <w:tc>
                <w:tcPr>
                  <w:tcW w:w="945" w:type="dxa"/>
                  <w:tcBorders>
                    <w:tl2br w:val="nil"/>
                    <w:tr2bl w:val="nil"/>
                  </w:tcBorders>
                  <w:shd w:val="clear" w:color="auto" w:fill="auto"/>
                  <w:vAlign w:val="center"/>
                </w:tcPr>
                <w:p w14:paraId="7F70E31A">
                  <w:pPr>
                    <w:adjustRightInd w:val="0"/>
                    <w:spacing w:line="240" w:lineRule="auto"/>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rPr>
                    <w:t>COD</w:t>
                  </w:r>
                  <w:r>
                    <w:rPr>
                      <w:rFonts w:hint="default" w:ascii="Times New Roman" w:hAnsi="Times New Roman" w:eastAsia="宋体" w:cs="Times New Roman"/>
                      <w:b/>
                      <w:bCs/>
                      <w:color w:val="auto"/>
                      <w:szCs w:val="21"/>
                      <w:highlight w:val="none"/>
                      <w:vertAlign w:val="subscript"/>
                    </w:rPr>
                    <w:t>Cr</w:t>
                  </w:r>
                </w:p>
              </w:tc>
              <w:tc>
                <w:tcPr>
                  <w:tcW w:w="945" w:type="dxa"/>
                  <w:tcBorders>
                    <w:tl2br w:val="nil"/>
                    <w:tr2bl w:val="nil"/>
                  </w:tcBorders>
                  <w:shd w:val="clear" w:color="auto" w:fill="auto"/>
                  <w:vAlign w:val="center"/>
                </w:tcPr>
                <w:p w14:paraId="6335016D">
                  <w:pPr>
                    <w:adjustRightInd w:val="0"/>
                    <w:spacing w:line="240" w:lineRule="auto"/>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kern w:val="28"/>
                      <w:szCs w:val="21"/>
                      <w:highlight w:val="none"/>
                    </w:rPr>
                    <w:t>BOD</w:t>
                  </w:r>
                  <w:r>
                    <w:rPr>
                      <w:rFonts w:hint="default" w:ascii="Times New Roman" w:hAnsi="Times New Roman" w:eastAsia="宋体" w:cs="Times New Roman"/>
                      <w:b/>
                      <w:bCs/>
                      <w:color w:val="auto"/>
                      <w:kern w:val="28"/>
                      <w:szCs w:val="21"/>
                      <w:highlight w:val="none"/>
                      <w:vertAlign w:val="subscript"/>
                    </w:rPr>
                    <w:t>5</w:t>
                  </w:r>
                </w:p>
              </w:tc>
              <w:tc>
                <w:tcPr>
                  <w:tcW w:w="945" w:type="dxa"/>
                  <w:tcBorders>
                    <w:tl2br w:val="nil"/>
                    <w:tr2bl w:val="nil"/>
                  </w:tcBorders>
                  <w:shd w:val="clear" w:color="auto" w:fill="auto"/>
                  <w:vAlign w:val="center"/>
                </w:tcPr>
                <w:p w14:paraId="5E63EF5D">
                  <w:pPr>
                    <w:adjustRightInd w:val="0"/>
                    <w:spacing w:line="240" w:lineRule="auto"/>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rPr>
                    <w:t>SS</w:t>
                  </w:r>
                </w:p>
              </w:tc>
              <w:tc>
                <w:tcPr>
                  <w:tcW w:w="824" w:type="dxa"/>
                  <w:tcBorders>
                    <w:tl2br w:val="nil"/>
                    <w:tr2bl w:val="nil"/>
                  </w:tcBorders>
                  <w:shd w:val="clear" w:color="auto" w:fill="auto"/>
                  <w:vAlign w:val="center"/>
                </w:tcPr>
                <w:p w14:paraId="1AD8F1B6">
                  <w:pPr>
                    <w:adjustRightInd w:val="0"/>
                    <w:spacing w:line="240" w:lineRule="auto"/>
                    <w:jc w:val="center"/>
                    <w:rPr>
                      <w:rFonts w:hint="eastAsia"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rPr>
                    <w:t>NH</w:t>
                  </w:r>
                  <w:r>
                    <w:rPr>
                      <w:rFonts w:hint="default" w:ascii="Times New Roman" w:hAnsi="Times New Roman" w:eastAsia="宋体" w:cs="Times New Roman"/>
                      <w:b/>
                      <w:bCs/>
                      <w:color w:val="auto"/>
                      <w:szCs w:val="21"/>
                      <w:highlight w:val="none"/>
                      <w:vertAlign w:val="subscript"/>
                    </w:rPr>
                    <w:t>3</w:t>
                  </w:r>
                  <w:r>
                    <w:rPr>
                      <w:rFonts w:hint="default" w:ascii="Times New Roman" w:hAnsi="Times New Roman" w:eastAsia="宋体" w:cs="Times New Roman"/>
                      <w:b/>
                      <w:bCs/>
                      <w:color w:val="auto"/>
                      <w:szCs w:val="21"/>
                      <w:highlight w:val="none"/>
                    </w:rPr>
                    <w:t>-N</w:t>
                  </w:r>
                </w:p>
              </w:tc>
            </w:tr>
            <w:tr w14:paraId="335626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8" w:type="dxa"/>
                  <w:tcBorders>
                    <w:tl2br w:val="nil"/>
                    <w:tr2bl w:val="nil"/>
                  </w:tcBorders>
                  <w:shd w:val="clear" w:color="auto" w:fill="auto"/>
                  <w:vAlign w:val="center"/>
                </w:tcPr>
                <w:p w14:paraId="5542A473">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本项目排水水质</w:t>
                  </w:r>
                </w:p>
              </w:tc>
              <w:tc>
                <w:tcPr>
                  <w:tcW w:w="945" w:type="dxa"/>
                  <w:tcBorders>
                    <w:tl2br w:val="nil"/>
                    <w:tr2bl w:val="nil"/>
                  </w:tcBorders>
                  <w:shd w:val="clear" w:color="auto" w:fill="auto"/>
                  <w:vAlign w:val="center"/>
                </w:tcPr>
                <w:p w14:paraId="0E04989A">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6.5-9</w:t>
                  </w:r>
                </w:p>
              </w:tc>
              <w:tc>
                <w:tcPr>
                  <w:tcW w:w="945" w:type="dxa"/>
                  <w:tcBorders>
                    <w:tl2br w:val="nil"/>
                    <w:tr2bl w:val="nil"/>
                  </w:tcBorders>
                  <w:shd w:val="clear" w:color="auto" w:fill="auto"/>
                  <w:vAlign w:val="center"/>
                </w:tcPr>
                <w:p w14:paraId="0046DF2E">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382.0</w:t>
                  </w:r>
                </w:p>
              </w:tc>
              <w:tc>
                <w:tcPr>
                  <w:tcW w:w="945" w:type="dxa"/>
                  <w:tcBorders>
                    <w:tl2br w:val="nil"/>
                    <w:tr2bl w:val="nil"/>
                  </w:tcBorders>
                  <w:shd w:val="clear" w:color="auto" w:fill="auto"/>
                  <w:vAlign w:val="center"/>
                </w:tcPr>
                <w:p w14:paraId="2DC1A2DD">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227.4</w:t>
                  </w:r>
                </w:p>
              </w:tc>
              <w:tc>
                <w:tcPr>
                  <w:tcW w:w="945" w:type="dxa"/>
                  <w:tcBorders>
                    <w:tl2br w:val="nil"/>
                    <w:tr2bl w:val="nil"/>
                  </w:tcBorders>
                  <w:shd w:val="clear" w:color="auto" w:fill="auto"/>
                  <w:vAlign w:val="center"/>
                </w:tcPr>
                <w:p w14:paraId="740BB1F9">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209.8</w:t>
                  </w:r>
                </w:p>
              </w:tc>
              <w:tc>
                <w:tcPr>
                  <w:tcW w:w="824" w:type="dxa"/>
                  <w:tcBorders>
                    <w:tl2br w:val="nil"/>
                    <w:tr2bl w:val="nil"/>
                  </w:tcBorders>
                  <w:shd w:val="clear" w:color="auto" w:fill="auto"/>
                  <w:vAlign w:val="center"/>
                </w:tcPr>
                <w:p w14:paraId="367EE0FC">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38.8</w:t>
                  </w:r>
                </w:p>
              </w:tc>
            </w:tr>
            <w:tr w14:paraId="56E1ED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898" w:type="dxa"/>
                  <w:tcBorders>
                    <w:tl2br w:val="nil"/>
                    <w:tr2bl w:val="nil"/>
                  </w:tcBorders>
                  <w:shd w:val="clear" w:color="auto" w:fill="auto"/>
                  <w:vAlign w:val="center"/>
                </w:tcPr>
                <w:p w14:paraId="0F2F6A75">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金桥基地第一污水处理厂进水水质</w:t>
                  </w:r>
                </w:p>
              </w:tc>
              <w:tc>
                <w:tcPr>
                  <w:tcW w:w="945" w:type="dxa"/>
                  <w:tcBorders>
                    <w:tl2br w:val="nil"/>
                    <w:tr2bl w:val="nil"/>
                  </w:tcBorders>
                  <w:shd w:val="clear" w:color="auto" w:fill="auto"/>
                  <w:vAlign w:val="center"/>
                </w:tcPr>
                <w:p w14:paraId="6A7425AC">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6.5-9</w:t>
                  </w:r>
                </w:p>
              </w:tc>
              <w:tc>
                <w:tcPr>
                  <w:tcW w:w="945" w:type="dxa"/>
                  <w:tcBorders>
                    <w:tl2br w:val="nil"/>
                    <w:tr2bl w:val="nil"/>
                  </w:tcBorders>
                  <w:shd w:val="clear" w:color="auto" w:fill="auto"/>
                  <w:vAlign w:val="center"/>
                </w:tcPr>
                <w:p w14:paraId="424B1A69">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500</w:t>
                  </w:r>
                </w:p>
              </w:tc>
              <w:tc>
                <w:tcPr>
                  <w:tcW w:w="945" w:type="dxa"/>
                  <w:tcBorders>
                    <w:tl2br w:val="nil"/>
                    <w:tr2bl w:val="nil"/>
                  </w:tcBorders>
                  <w:shd w:val="clear" w:color="auto" w:fill="auto"/>
                  <w:vAlign w:val="center"/>
                </w:tcPr>
                <w:p w14:paraId="14A14A88">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300</w:t>
                  </w:r>
                </w:p>
              </w:tc>
              <w:tc>
                <w:tcPr>
                  <w:tcW w:w="945" w:type="dxa"/>
                  <w:tcBorders>
                    <w:tl2br w:val="nil"/>
                    <w:tr2bl w:val="nil"/>
                  </w:tcBorders>
                  <w:shd w:val="clear" w:color="auto" w:fill="auto"/>
                  <w:vAlign w:val="center"/>
                </w:tcPr>
                <w:p w14:paraId="643068D0">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400</w:t>
                  </w:r>
                </w:p>
              </w:tc>
              <w:tc>
                <w:tcPr>
                  <w:tcW w:w="824" w:type="dxa"/>
                  <w:tcBorders>
                    <w:tl2br w:val="nil"/>
                    <w:tr2bl w:val="nil"/>
                  </w:tcBorders>
                  <w:shd w:val="clear" w:color="auto" w:fill="auto"/>
                  <w:vAlign w:val="center"/>
                </w:tcPr>
                <w:p w14:paraId="460F10B7">
                  <w:pPr>
                    <w:adjustRightInd w:val="0"/>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45</w:t>
                  </w:r>
                </w:p>
              </w:tc>
            </w:tr>
          </w:tbl>
          <w:p w14:paraId="60EA26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由上表可知，本项目排水中主要污染物的浓度均低于污水处理厂的进水水质要求，且本项目污水进入化粪池预处理后，不会给生物系统的正常运行带来危害。金桥基地第一污水处理厂排放污染物为pH、COD</w:t>
            </w:r>
            <w:r>
              <w:rPr>
                <w:rFonts w:hint="eastAsia" w:ascii="Times New Roman" w:hAnsi="Times New Roman" w:eastAsia="宋体" w:cs="Times New Roman"/>
                <w:color w:val="auto"/>
                <w:sz w:val="24"/>
                <w:highlight w:val="none"/>
                <w:vertAlign w:val="subscript"/>
                <w:lang w:val="en-US" w:eastAsia="zh-CN"/>
              </w:rPr>
              <w:t>Cr</w:t>
            </w:r>
            <w:r>
              <w:rPr>
                <w:rFonts w:hint="eastAsia" w:ascii="Times New Roman" w:hAnsi="Times New Roman" w:eastAsia="宋体" w:cs="Times New Roman"/>
                <w:color w:val="auto"/>
                <w:sz w:val="24"/>
                <w:highlight w:val="none"/>
                <w:lang w:val="en-US" w:eastAsia="zh-CN"/>
              </w:rPr>
              <w:t>、BOD</w:t>
            </w:r>
            <w:r>
              <w:rPr>
                <w:rFonts w:hint="eastAsia" w:ascii="Times New Roman" w:hAnsi="Times New Roman" w:eastAsia="宋体" w:cs="Times New Roman"/>
                <w:color w:val="auto"/>
                <w:sz w:val="24"/>
                <w:highlight w:val="none"/>
                <w:vertAlign w:val="subscript"/>
                <w:lang w:val="en-US" w:eastAsia="zh-CN"/>
              </w:rPr>
              <w:t>5</w:t>
            </w:r>
            <w:r>
              <w:rPr>
                <w:rFonts w:hint="eastAsia" w:ascii="Times New Roman" w:hAnsi="Times New Roman" w:eastAsia="宋体" w:cs="Times New Roman"/>
                <w:color w:val="auto"/>
                <w:sz w:val="24"/>
                <w:highlight w:val="none"/>
                <w:lang w:val="en-US" w:eastAsia="zh-CN"/>
              </w:rPr>
              <w:t>、SS、动植物油、石油类、阴离子表面活性剂、总氮、氨氮、总磷、色度、粪大肠菌群、总汞、烷基贡、总镉、总铬、六价格、总砷、总铅，其排放污染物涵盖本项目排放的水污染物。本项目运营期废水占金桥基地第一污水处理厂可接纳污水处理能力的比例很小，接纳本项目污水不会造成明显的负荷冲击。因此，本项目外排废水排入该污水处理厂是可行的。</w:t>
            </w:r>
          </w:p>
          <w:p w14:paraId="20DAAA22">
            <w:pPr>
              <w:adjustRightInd w:val="0"/>
              <w:snapToGrid w:val="0"/>
              <w:spacing w:line="360" w:lineRule="auto"/>
              <w:ind w:firstLine="361" w:firstLineChars="15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eastAsia"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废水监测计划</w:t>
            </w:r>
          </w:p>
          <w:p w14:paraId="1C385784">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根据《排污许可证申请与核发技术规范总则》(HJ942-2018)、《排污单位自行监测技术指南 总则》(HJ819-2017)，本项目废水监测计划详见下表。</w:t>
            </w:r>
          </w:p>
          <w:p w14:paraId="252F95CD">
            <w:pPr>
              <w:numPr>
                <w:ilvl w:val="0"/>
                <w:numId w:val="32"/>
              </w:numPr>
              <w:adjustRightInd w:val="0"/>
              <w:snapToGrid w:val="0"/>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项目废水监测计划</w:t>
            </w:r>
          </w:p>
          <w:tbl>
            <w:tblPr>
              <w:tblStyle w:val="23"/>
              <w:tblW w:w="7643" w:type="dxa"/>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1178"/>
              <w:gridCol w:w="2848"/>
              <w:gridCol w:w="1314"/>
              <w:gridCol w:w="1288"/>
            </w:tblGrid>
            <w:tr w14:paraId="160C0A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664" w:type="pct"/>
                  <w:tcBorders>
                    <w:tl2br w:val="nil"/>
                    <w:tr2bl w:val="nil"/>
                  </w:tcBorders>
                  <w:vAlign w:val="center"/>
                </w:tcPr>
                <w:p w14:paraId="2282F8BD">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时段</w:t>
                  </w:r>
                </w:p>
              </w:tc>
              <w:tc>
                <w:tcPr>
                  <w:tcW w:w="770" w:type="pct"/>
                  <w:tcBorders>
                    <w:tl2br w:val="nil"/>
                    <w:tr2bl w:val="nil"/>
                  </w:tcBorders>
                  <w:vAlign w:val="center"/>
                </w:tcPr>
                <w:p w14:paraId="7DC71777">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监测内容</w:t>
                  </w:r>
                </w:p>
              </w:tc>
              <w:tc>
                <w:tcPr>
                  <w:tcW w:w="1863" w:type="pct"/>
                  <w:tcBorders>
                    <w:tl2br w:val="nil"/>
                    <w:tr2bl w:val="nil"/>
                  </w:tcBorders>
                  <w:vAlign w:val="center"/>
                </w:tcPr>
                <w:p w14:paraId="7AB68C23">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监测因子</w:t>
                  </w:r>
                </w:p>
              </w:tc>
              <w:tc>
                <w:tcPr>
                  <w:tcW w:w="859" w:type="pct"/>
                  <w:tcBorders>
                    <w:tl2br w:val="nil"/>
                    <w:tr2bl w:val="nil"/>
                  </w:tcBorders>
                  <w:vAlign w:val="center"/>
                </w:tcPr>
                <w:p w14:paraId="4D7FA380">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842" w:type="pct"/>
                  <w:tcBorders>
                    <w:tl2br w:val="nil"/>
                    <w:tr2bl w:val="nil"/>
                  </w:tcBorders>
                  <w:vAlign w:val="center"/>
                </w:tcPr>
                <w:p w14:paraId="7A369332">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监测频次</w:t>
                  </w:r>
                </w:p>
              </w:tc>
            </w:tr>
            <w:tr w14:paraId="343268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64" w:type="pct"/>
                  <w:vMerge w:val="restart"/>
                  <w:tcBorders>
                    <w:tl2br w:val="nil"/>
                    <w:tr2bl w:val="nil"/>
                  </w:tcBorders>
                  <w:vAlign w:val="center"/>
                </w:tcPr>
                <w:p w14:paraId="6FCA8E39">
                  <w:pPr>
                    <w:widowControl/>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运营期</w:t>
                  </w:r>
                </w:p>
              </w:tc>
              <w:tc>
                <w:tcPr>
                  <w:tcW w:w="770" w:type="pct"/>
                  <w:vMerge w:val="restart"/>
                  <w:tcBorders>
                    <w:tl2br w:val="nil"/>
                    <w:tr2bl w:val="nil"/>
                  </w:tcBorders>
                  <w:vAlign w:val="center"/>
                </w:tcPr>
                <w:p w14:paraId="13E489FF">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废水</w:t>
                  </w:r>
                </w:p>
              </w:tc>
              <w:tc>
                <w:tcPr>
                  <w:tcW w:w="1863" w:type="pct"/>
                  <w:tcBorders>
                    <w:tl2br w:val="nil"/>
                    <w:tr2bl w:val="nil"/>
                  </w:tcBorders>
                  <w:vAlign w:val="center"/>
                </w:tcPr>
                <w:p w14:paraId="35C71D85">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COD</w:t>
                  </w:r>
                  <w:r>
                    <w:rPr>
                      <w:rFonts w:hint="default" w:ascii="Times New Roman" w:hAnsi="Times New Roman" w:eastAsia="宋体" w:cs="Times New Roman"/>
                      <w:color w:val="auto"/>
                      <w:szCs w:val="21"/>
                      <w:highlight w:val="none"/>
                      <w:vertAlign w:val="subscript"/>
                    </w:rPr>
                    <w:t>Cr</w:t>
                  </w:r>
                  <w:r>
                    <w:rPr>
                      <w:rFonts w:hint="default" w:ascii="Times New Roman" w:hAnsi="Times New Roman" w:eastAsia="宋体" w:cs="Times New Roman"/>
                      <w:color w:val="auto"/>
                      <w:szCs w:val="21"/>
                      <w:highlight w:val="none"/>
                    </w:rPr>
                    <w:t>、BOD</w:t>
                  </w:r>
                  <w:r>
                    <w:rPr>
                      <w:rFonts w:hint="default" w:ascii="Times New Roman" w:hAnsi="Times New Roman" w:eastAsia="宋体" w:cs="Times New Roman"/>
                      <w:color w:val="auto"/>
                      <w:szCs w:val="21"/>
                      <w:highlight w:val="none"/>
                      <w:vertAlign w:val="subscript"/>
                    </w:rPr>
                    <w:t>5</w:t>
                  </w:r>
                  <w:r>
                    <w:rPr>
                      <w:rFonts w:hint="default" w:ascii="Times New Roman" w:hAnsi="Times New Roman" w:eastAsia="宋体" w:cs="Times New Roman"/>
                      <w:color w:val="auto"/>
                      <w:szCs w:val="21"/>
                      <w:highlight w:val="none"/>
                    </w:rPr>
                    <w:t>、SS、NH</w:t>
                  </w:r>
                  <w:r>
                    <w:rPr>
                      <w:rFonts w:hint="default" w:ascii="Times New Roman" w:hAnsi="Times New Roman" w:eastAsia="宋体" w:cs="Times New Roman"/>
                      <w:color w:val="auto"/>
                      <w:szCs w:val="21"/>
                      <w:highlight w:val="none"/>
                      <w:vertAlign w:val="subscript"/>
                    </w:rPr>
                    <w:t>3</w:t>
                  </w:r>
                  <w:r>
                    <w:rPr>
                      <w:rFonts w:hint="default" w:ascii="Times New Roman" w:hAnsi="Times New Roman" w:eastAsia="宋体" w:cs="Times New Roman"/>
                      <w:color w:val="auto"/>
                      <w:szCs w:val="21"/>
                      <w:highlight w:val="none"/>
                    </w:rPr>
                    <w:t>-N</w:t>
                  </w:r>
                </w:p>
              </w:tc>
              <w:tc>
                <w:tcPr>
                  <w:tcW w:w="859" w:type="pct"/>
                  <w:vMerge w:val="restart"/>
                  <w:tcBorders>
                    <w:tl2br w:val="nil"/>
                    <w:tr2bl w:val="nil"/>
                  </w:tcBorders>
                  <w:vAlign w:val="center"/>
                </w:tcPr>
                <w:p w14:paraId="0BB6B45D">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废水总排口</w:t>
                  </w:r>
                </w:p>
              </w:tc>
              <w:tc>
                <w:tcPr>
                  <w:tcW w:w="842" w:type="pct"/>
                  <w:tcBorders>
                    <w:tl2br w:val="nil"/>
                    <w:tr2bl w:val="nil"/>
                  </w:tcBorders>
                  <w:vAlign w:val="center"/>
                </w:tcPr>
                <w:p w14:paraId="5B5B8794">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每季度1次</w:t>
                  </w:r>
                </w:p>
              </w:tc>
            </w:tr>
            <w:tr w14:paraId="345236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664" w:type="pct"/>
                  <w:vMerge w:val="continue"/>
                  <w:tcBorders>
                    <w:tl2br w:val="nil"/>
                    <w:tr2bl w:val="nil"/>
                  </w:tcBorders>
                  <w:vAlign w:val="center"/>
                </w:tcPr>
                <w:p w14:paraId="5C22CD2A">
                  <w:pPr>
                    <w:widowControl/>
                    <w:snapToGrid w:val="0"/>
                    <w:jc w:val="center"/>
                    <w:rPr>
                      <w:rFonts w:hint="default" w:ascii="Times New Roman" w:hAnsi="Times New Roman" w:eastAsia="宋体" w:cs="Times New Roman"/>
                      <w:bCs/>
                      <w:color w:val="auto"/>
                      <w:szCs w:val="21"/>
                      <w:highlight w:val="none"/>
                    </w:rPr>
                  </w:pPr>
                </w:p>
              </w:tc>
              <w:tc>
                <w:tcPr>
                  <w:tcW w:w="770" w:type="pct"/>
                  <w:vMerge w:val="continue"/>
                  <w:tcBorders>
                    <w:tl2br w:val="nil"/>
                    <w:tr2bl w:val="nil"/>
                  </w:tcBorders>
                  <w:vAlign w:val="center"/>
                </w:tcPr>
                <w:p w14:paraId="193B89C1">
                  <w:pPr>
                    <w:adjustRightInd w:val="0"/>
                    <w:snapToGrid w:val="0"/>
                    <w:jc w:val="center"/>
                    <w:rPr>
                      <w:rFonts w:hint="default" w:ascii="Times New Roman" w:hAnsi="Times New Roman" w:eastAsia="宋体" w:cs="Times New Roman"/>
                      <w:bCs/>
                      <w:color w:val="auto"/>
                      <w:szCs w:val="21"/>
                      <w:highlight w:val="none"/>
                    </w:rPr>
                  </w:pPr>
                </w:p>
              </w:tc>
              <w:tc>
                <w:tcPr>
                  <w:tcW w:w="1863" w:type="pct"/>
                  <w:tcBorders>
                    <w:tl2br w:val="nil"/>
                    <w:tr2bl w:val="nil"/>
                  </w:tcBorders>
                  <w:vAlign w:val="center"/>
                </w:tcPr>
                <w:p w14:paraId="2195957B">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pH</w:t>
                  </w:r>
                </w:p>
              </w:tc>
              <w:tc>
                <w:tcPr>
                  <w:tcW w:w="859" w:type="pct"/>
                  <w:vMerge w:val="continue"/>
                  <w:tcBorders>
                    <w:tl2br w:val="nil"/>
                    <w:tr2bl w:val="nil"/>
                  </w:tcBorders>
                  <w:vAlign w:val="center"/>
                </w:tcPr>
                <w:p w14:paraId="59981DEF">
                  <w:pPr>
                    <w:adjustRightInd w:val="0"/>
                    <w:snapToGrid w:val="0"/>
                    <w:jc w:val="center"/>
                    <w:rPr>
                      <w:rFonts w:hint="default" w:ascii="Times New Roman" w:hAnsi="Times New Roman" w:eastAsia="宋体" w:cs="Times New Roman"/>
                      <w:bCs/>
                      <w:color w:val="auto"/>
                      <w:szCs w:val="21"/>
                      <w:highlight w:val="none"/>
                    </w:rPr>
                  </w:pPr>
                </w:p>
              </w:tc>
              <w:tc>
                <w:tcPr>
                  <w:tcW w:w="842" w:type="pct"/>
                  <w:tcBorders>
                    <w:tl2br w:val="nil"/>
                    <w:tr2bl w:val="nil"/>
                  </w:tcBorders>
                  <w:vAlign w:val="center"/>
                </w:tcPr>
                <w:p w14:paraId="29C4DEB0">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每年1次</w:t>
                  </w:r>
                </w:p>
              </w:tc>
            </w:tr>
          </w:tbl>
          <w:p w14:paraId="68718DFA">
            <w:pPr>
              <w:adjustRightInd w:val="0"/>
              <w:spacing w:line="360" w:lineRule="auto"/>
              <w:ind w:firstLine="3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bCs/>
                <w:color w:val="auto"/>
                <w:spacing w:val="-10"/>
                <w:szCs w:val="21"/>
                <w:highlight w:val="none"/>
              </w:rPr>
              <w:t>（注：</w:t>
            </w:r>
            <w:r>
              <w:rPr>
                <w:rFonts w:hint="default" w:ascii="Times New Roman" w:hAnsi="Times New Roman" w:eastAsia="宋体" w:cs="Times New Roman"/>
                <w:bCs/>
                <w:color w:val="auto"/>
                <w:szCs w:val="21"/>
                <w:highlight w:val="none"/>
              </w:rPr>
              <w:t>废水监测计划参照《</w:t>
            </w:r>
            <w:r>
              <w:rPr>
                <w:rFonts w:hint="default" w:ascii="Times New Roman" w:hAnsi="Times New Roman" w:eastAsia="宋体" w:cs="Times New Roman"/>
                <w:bCs/>
                <w:color w:val="auto"/>
                <w:szCs w:val="21"/>
                <w:highlight w:val="none"/>
                <w:lang w:val="ru-RU"/>
              </w:rPr>
              <w:t>排污单位自行监测技术指南 总则</w:t>
            </w:r>
            <w:r>
              <w:rPr>
                <w:rFonts w:hint="default" w:ascii="Times New Roman" w:hAnsi="Times New Roman" w:eastAsia="宋体" w:cs="Times New Roman"/>
                <w:bCs/>
                <w:color w:val="auto"/>
                <w:szCs w:val="21"/>
                <w:highlight w:val="none"/>
              </w:rPr>
              <w:t>》（HJ819-2017）</w:t>
            </w:r>
            <w:r>
              <w:rPr>
                <w:rFonts w:hint="default" w:ascii="Times New Roman" w:hAnsi="Times New Roman" w:eastAsia="宋体" w:cs="Times New Roman"/>
                <w:bCs/>
                <w:color w:val="auto"/>
                <w:spacing w:val="-10"/>
                <w:szCs w:val="21"/>
                <w:highlight w:val="none"/>
              </w:rPr>
              <w:t>）</w:t>
            </w:r>
          </w:p>
          <w:p w14:paraId="4BE7B8D8">
            <w:pPr>
              <w:numPr>
                <w:ilvl w:val="0"/>
                <w:numId w:val="30"/>
              </w:numPr>
              <w:adjustRightInd w:val="0"/>
              <w:snapToGrid w:val="0"/>
              <w:spacing w:line="360" w:lineRule="auto"/>
              <w:rPr>
                <w:rFonts w:hint="default" w:ascii="Times New Roman" w:hAnsi="Times New Roman" w:eastAsia="宋体" w:cs="Times New Roman"/>
                <w:b/>
                <w:bCs/>
                <w:color w:val="auto"/>
                <w:spacing w:val="-10"/>
                <w:sz w:val="24"/>
                <w:highlight w:val="none"/>
              </w:rPr>
            </w:pPr>
            <w:r>
              <w:rPr>
                <w:rFonts w:hint="default" w:ascii="Times New Roman" w:hAnsi="Times New Roman" w:eastAsia="宋体" w:cs="Times New Roman"/>
                <w:b/>
                <w:bCs/>
                <w:color w:val="auto"/>
                <w:spacing w:val="-10"/>
                <w:sz w:val="24"/>
                <w:highlight w:val="none"/>
              </w:rPr>
              <w:t>声环境影响分析及环境保护措施</w:t>
            </w:r>
          </w:p>
          <w:p w14:paraId="68B90EC1">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（1）噪声源强</w:t>
            </w:r>
          </w:p>
          <w:p w14:paraId="0832F1B2">
            <w:pPr>
              <w:adjustRightInd w:val="0"/>
              <w:spacing w:line="360" w:lineRule="auto"/>
              <w:ind w:firstLine="480" w:firstLineChars="200"/>
              <w:rPr>
                <w:rFonts w:hint="default" w:ascii="Times New Roman" w:hAnsi="Times New Roman" w:eastAsia="宋体" w:cs="Times New Roman"/>
                <w:color w:val="auto"/>
                <w:sz w:val="24"/>
                <w:highlight w:val="none"/>
                <w:lang w:val="zh-CN" w:eastAsia="zh-CN"/>
              </w:rPr>
            </w:pPr>
            <w:r>
              <w:rPr>
                <w:rFonts w:hint="eastAsia" w:ascii="Times New Roman" w:hAnsi="Times New Roman" w:eastAsia="宋体"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项目噪声源为液相色谱质谱联用仪</w:t>
            </w:r>
            <w:r>
              <w:rPr>
                <w:rFonts w:hint="eastAsia" w:ascii="Times New Roman" w:hAnsi="Times New Roman" w:eastAsia="宋体" w:cs="Times New Roman"/>
                <w:color w:val="auto"/>
                <w:sz w:val="24"/>
                <w:highlight w:val="none"/>
                <w:lang w:val="en-US" w:eastAsia="zh-CN"/>
              </w:rPr>
              <w:t>、通风橱风机、</w:t>
            </w:r>
            <w:r>
              <w:rPr>
                <w:rFonts w:hint="default" w:ascii="Times New Roman" w:hAnsi="Times New Roman" w:eastAsia="宋体" w:cs="Times New Roman"/>
                <w:color w:val="auto"/>
                <w:sz w:val="24"/>
                <w:highlight w:val="none"/>
                <w:lang w:val="en-US" w:eastAsia="zh-CN"/>
              </w:rPr>
              <w:t>电感耦合等离子体发射光谱仪</w:t>
            </w:r>
            <w:r>
              <w:rPr>
                <w:rFonts w:hint="eastAsia" w:ascii="Times New Roman" w:hAnsi="Times New Roman" w:eastAsia="宋体" w:cs="Times New Roman"/>
                <w:color w:val="auto"/>
                <w:sz w:val="24"/>
                <w:highlight w:val="none"/>
                <w:lang w:val="en-US" w:eastAsia="zh-CN"/>
              </w:rPr>
              <w:t>等室内声源</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空调外机、废气治理设施等室外声源，各噪声源</w:t>
            </w:r>
            <w:r>
              <w:rPr>
                <w:rFonts w:hint="eastAsia" w:cs="Times New Roman"/>
                <w:color w:val="auto"/>
                <w:sz w:val="24"/>
                <w:highlight w:val="none"/>
                <w:lang w:val="en-US" w:eastAsia="zh-CN"/>
              </w:rPr>
              <w:t>清单</w:t>
            </w:r>
            <w:r>
              <w:rPr>
                <w:rFonts w:hint="default" w:ascii="Times New Roman" w:hAnsi="Times New Roman" w:eastAsia="宋体" w:cs="Times New Roman"/>
                <w:color w:val="auto"/>
                <w:sz w:val="24"/>
                <w:highlight w:val="none"/>
                <w:lang w:val="en-US" w:eastAsia="zh-CN"/>
              </w:rPr>
              <w:t>情况详见下表。</w:t>
            </w:r>
          </w:p>
          <w:p w14:paraId="0C2B513F">
            <w:pPr>
              <w:numPr>
                <w:ilvl w:val="0"/>
                <w:numId w:val="32"/>
              </w:numPr>
              <w:adjustRightInd w:val="0"/>
              <w:spacing w:line="360" w:lineRule="auto"/>
              <w:ind w:left="425" w:leftChars="0" w:hanging="425" w:firstLineChars="0"/>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sz w:val="24"/>
                <w:highlight w:val="none"/>
              </w:rPr>
              <w:t>本项目噪声源强调查清单（室外声源）</w:t>
            </w:r>
          </w:p>
          <w:tbl>
            <w:tblPr>
              <w:tblStyle w:val="24"/>
              <w:tblW w:w="7496"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74"/>
              <w:gridCol w:w="933"/>
              <w:gridCol w:w="535"/>
              <w:gridCol w:w="748"/>
              <w:gridCol w:w="535"/>
              <w:gridCol w:w="452"/>
              <w:gridCol w:w="499"/>
              <w:gridCol w:w="895"/>
              <w:gridCol w:w="1043"/>
              <w:gridCol w:w="1007"/>
              <w:gridCol w:w="575"/>
            </w:tblGrid>
            <w:tr w14:paraId="7149A1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274" w:type="dxa"/>
                  <w:vMerge w:val="restart"/>
                  <w:tcBorders>
                    <w:tl2br w:val="nil"/>
                    <w:tr2bl w:val="nil"/>
                  </w:tcBorders>
                  <w:vAlign w:val="center"/>
                </w:tcPr>
                <w:p w14:paraId="3C43A7D4">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933" w:type="dxa"/>
                  <w:vMerge w:val="restart"/>
                  <w:tcBorders>
                    <w:tl2br w:val="nil"/>
                    <w:tr2bl w:val="nil"/>
                  </w:tcBorders>
                  <w:vAlign w:val="center"/>
                </w:tcPr>
                <w:p w14:paraId="1DB97CC7">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声源名称</w:t>
                  </w:r>
                </w:p>
              </w:tc>
              <w:tc>
                <w:tcPr>
                  <w:tcW w:w="535" w:type="dxa"/>
                  <w:vMerge w:val="restart"/>
                  <w:tcBorders>
                    <w:tl2br w:val="nil"/>
                    <w:tr2bl w:val="nil"/>
                  </w:tcBorders>
                  <w:vAlign w:val="center"/>
                </w:tcPr>
                <w:p w14:paraId="3F325A37">
                  <w:pPr>
                    <w:adjustRightInd w:val="0"/>
                    <w:snapToGrid w:val="0"/>
                    <w:jc w:val="center"/>
                    <w:rPr>
                      <w:rFonts w:hint="eastAsia" w:ascii="Times New Roman" w:hAnsi="Times New Roman" w:eastAsia="宋体" w:cs="Times New Roman"/>
                      <w:b/>
                      <w:bCs/>
                      <w:color w:val="0000FF"/>
                      <w:szCs w:val="21"/>
                      <w:highlight w:val="none"/>
                      <w:lang w:val="en-US" w:eastAsia="zh-CN"/>
                    </w:rPr>
                  </w:pPr>
                  <w:r>
                    <w:rPr>
                      <w:rFonts w:hint="eastAsia" w:cs="Times New Roman"/>
                      <w:b/>
                      <w:bCs/>
                      <w:color w:val="0000FF"/>
                      <w:szCs w:val="21"/>
                      <w:highlight w:val="none"/>
                      <w:lang w:val="en-US" w:eastAsia="zh-CN"/>
                    </w:rPr>
                    <w:t>数量</w:t>
                  </w:r>
                </w:p>
              </w:tc>
              <w:tc>
                <w:tcPr>
                  <w:tcW w:w="748" w:type="dxa"/>
                  <w:vMerge w:val="restart"/>
                  <w:tcBorders>
                    <w:tl2br w:val="nil"/>
                    <w:tr2bl w:val="nil"/>
                  </w:tcBorders>
                  <w:vAlign w:val="center"/>
                </w:tcPr>
                <w:p w14:paraId="761A8D25">
                  <w:pPr>
                    <w:adjustRightInd w:val="0"/>
                    <w:snapToGrid w:val="0"/>
                    <w:jc w:val="center"/>
                    <w:rPr>
                      <w:rFonts w:hint="eastAsia" w:ascii="Times New Roman" w:hAnsi="Times New Roman" w:eastAsia="宋体" w:cs="Times New Roman"/>
                      <w:b/>
                      <w:bCs/>
                      <w:color w:val="0000FF"/>
                      <w:szCs w:val="21"/>
                      <w:highlight w:val="none"/>
                      <w:lang w:val="en-US" w:eastAsia="zh-CN"/>
                    </w:rPr>
                  </w:pPr>
                  <w:r>
                    <w:rPr>
                      <w:rFonts w:hint="eastAsia" w:cs="Times New Roman"/>
                      <w:b/>
                      <w:bCs/>
                      <w:color w:val="0000FF"/>
                      <w:szCs w:val="21"/>
                      <w:highlight w:val="none"/>
                      <w:lang w:val="en-US" w:eastAsia="zh-CN"/>
                    </w:rPr>
                    <w:t>位置</w:t>
                  </w:r>
                </w:p>
              </w:tc>
              <w:tc>
                <w:tcPr>
                  <w:tcW w:w="1486" w:type="dxa"/>
                  <w:gridSpan w:val="3"/>
                  <w:tcBorders>
                    <w:tl2br w:val="nil"/>
                    <w:tr2bl w:val="nil"/>
                  </w:tcBorders>
                  <w:vAlign w:val="center"/>
                </w:tcPr>
                <w:p w14:paraId="73AEC38F">
                  <w:pPr>
                    <w:adjustRightInd w:val="0"/>
                    <w:snapToGrid w:val="0"/>
                    <w:jc w:val="center"/>
                    <w:rPr>
                      <w:rFonts w:hint="default" w:ascii="Times New Roman" w:hAnsi="Times New Roman" w:eastAsia="宋体" w:cs="Times New Roman"/>
                      <w:b/>
                      <w:bCs/>
                      <w:color w:val="0000FF"/>
                      <w:szCs w:val="21"/>
                      <w:highlight w:val="none"/>
                    </w:rPr>
                  </w:pPr>
                  <w:r>
                    <w:rPr>
                      <w:rFonts w:hint="default" w:ascii="Times New Roman" w:hAnsi="Times New Roman" w:eastAsia="宋体" w:cs="Times New Roman"/>
                      <w:b/>
                      <w:bCs/>
                      <w:color w:val="0000FF"/>
                      <w:szCs w:val="21"/>
                      <w:highlight w:val="none"/>
                    </w:rPr>
                    <w:t>空间相对位置/m</w:t>
                  </w:r>
                </w:p>
              </w:tc>
              <w:tc>
                <w:tcPr>
                  <w:tcW w:w="895" w:type="dxa"/>
                  <w:vMerge w:val="restart"/>
                  <w:tcBorders>
                    <w:tl2br w:val="nil"/>
                    <w:tr2bl w:val="nil"/>
                  </w:tcBorders>
                  <w:vAlign w:val="center"/>
                </w:tcPr>
                <w:p w14:paraId="785710DA">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声功率级/dB(A)</w:t>
                  </w:r>
                </w:p>
              </w:tc>
              <w:tc>
                <w:tcPr>
                  <w:tcW w:w="1043" w:type="dxa"/>
                  <w:vMerge w:val="restart"/>
                  <w:tcBorders>
                    <w:tl2br w:val="nil"/>
                    <w:tr2bl w:val="nil"/>
                  </w:tcBorders>
                  <w:vAlign w:val="center"/>
                </w:tcPr>
                <w:p w14:paraId="4581F048">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声源控制措施</w:t>
                  </w:r>
                </w:p>
              </w:tc>
              <w:tc>
                <w:tcPr>
                  <w:tcW w:w="1007" w:type="dxa"/>
                  <w:vMerge w:val="restart"/>
                  <w:tcBorders>
                    <w:tl2br w:val="nil"/>
                    <w:tr2bl w:val="nil"/>
                  </w:tcBorders>
                  <w:vAlign w:val="center"/>
                </w:tcPr>
                <w:p w14:paraId="53576C5D">
                  <w:pPr>
                    <w:adjustRightInd w:val="0"/>
                    <w:snapToGrid w:val="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排放强度</w:t>
                  </w:r>
                  <w:r>
                    <w:rPr>
                      <w:rFonts w:hint="default" w:ascii="Times New Roman" w:hAnsi="Times New Roman" w:eastAsia="宋体" w:cs="Times New Roman"/>
                      <w:b/>
                      <w:bCs/>
                      <w:color w:val="auto"/>
                      <w:szCs w:val="21"/>
                      <w:highlight w:val="none"/>
                    </w:rPr>
                    <w:t>/dB(A)</w:t>
                  </w:r>
                </w:p>
              </w:tc>
              <w:tc>
                <w:tcPr>
                  <w:tcW w:w="575" w:type="dxa"/>
                  <w:vMerge w:val="restart"/>
                  <w:tcBorders>
                    <w:tl2br w:val="nil"/>
                    <w:tr2bl w:val="nil"/>
                  </w:tcBorders>
                  <w:shd w:val="clear" w:color="auto" w:fill="auto"/>
                  <w:vAlign w:val="center"/>
                </w:tcPr>
                <w:p w14:paraId="2FB7C399">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运行时段</w:t>
                  </w:r>
                </w:p>
              </w:tc>
            </w:tr>
            <w:tr w14:paraId="0EF578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274" w:type="dxa"/>
                  <w:vMerge w:val="continue"/>
                  <w:tcBorders>
                    <w:tl2br w:val="nil"/>
                    <w:tr2bl w:val="nil"/>
                  </w:tcBorders>
                  <w:vAlign w:val="center"/>
                </w:tcPr>
                <w:p w14:paraId="4BC0A7E4">
                  <w:pPr>
                    <w:adjustRightInd w:val="0"/>
                    <w:snapToGrid w:val="0"/>
                    <w:jc w:val="center"/>
                    <w:rPr>
                      <w:rFonts w:hint="default" w:ascii="Times New Roman" w:hAnsi="Times New Roman" w:eastAsia="宋体" w:cs="Times New Roman"/>
                      <w:b/>
                      <w:bCs/>
                      <w:color w:val="auto"/>
                      <w:szCs w:val="21"/>
                      <w:highlight w:val="none"/>
                    </w:rPr>
                  </w:pPr>
                </w:p>
              </w:tc>
              <w:tc>
                <w:tcPr>
                  <w:tcW w:w="933" w:type="dxa"/>
                  <w:vMerge w:val="continue"/>
                  <w:tcBorders>
                    <w:tl2br w:val="nil"/>
                    <w:tr2bl w:val="nil"/>
                  </w:tcBorders>
                  <w:vAlign w:val="center"/>
                </w:tcPr>
                <w:p w14:paraId="7DFBF34A">
                  <w:pPr>
                    <w:adjustRightInd w:val="0"/>
                    <w:snapToGrid w:val="0"/>
                    <w:jc w:val="center"/>
                    <w:rPr>
                      <w:rFonts w:hint="default" w:ascii="Times New Roman" w:hAnsi="Times New Roman" w:eastAsia="宋体" w:cs="Times New Roman"/>
                      <w:b/>
                      <w:bCs/>
                      <w:color w:val="auto"/>
                      <w:szCs w:val="21"/>
                      <w:highlight w:val="none"/>
                    </w:rPr>
                  </w:pPr>
                </w:p>
              </w:tc>
              <w:tc>
                <w:tcPr>
                  <w:tcW w:w="535" w:type="dxa"/>
                  <w:vMerge w:val="continue"/>
                  <w:tcBorders>
                    <w:tl2br w:val="nil"/>
                    <w:tr2bl w:val="nil"/>
                  </w:tcBorders>
                  <w:vAlign w:val="center"/>
                </w:tcPr>
                <w:p w14:paraId="1A3138FF">
                  <w:pPr>
                    <w:adjustRightInd w:val="0"/>
                    <w:snapToGrid w:val="0"/>
                    <w:jc w:val="center"/>
                    <w:rPr>
                      <w:rFonts w:hint="default" w:ascii="Times New Roman" w:hAnsi="Times New Roman" w:eastAsia="宋体" w:cs="Times New Roman"/>
                      <w:b/>
                      <w:bCs/>
                      <w:color w:val="0000FF"/>
                      <w:szCs w:val="21"/>
                      <w:highlight w:val="none"/>
                    </w:rPr>
                  </w:pPr>
                </w:p>
              </w:tc>
              <w:tc>
                <w:tcPr>
                  <w:tcW w:w="748" w:type="dxa"/>
                  <w:vMerge w:val="continue"/>
                  <w:tcBorders>
                    <w:tl2br w:val="nil"/>
                    <w:tr2bl w:val="nil"/>
                  </w:tcBorders>
                  <w:vAlign w:val="center"/>
                </w:tcPr>
                <w:p w14:paraId="1AE70485">
                  <w:pPr>
                    <w:adjustRightInd w:val="0"/>
                    <w:snapToGrid w:val="0"/>
                    <w:jc w:val="center"/>
                    <w:rPr>
                      <w:rFonts w:hint="default" w:ascii="Times New Roman" w:hAnsi="Times New Roman" w:eastAsia="宋体" w:cs="Times New Roman"/>
                      <w:b/>
                      <w:bCs/>
                      <w:color w:val="0000FF"/>
                      <w:szCs w:val="21"/>
                      <w:highlight w:val="none"/>
                    </w:rPr>
                  </w:pPr>
                </w:p>
              </w:tc>
              <w:tc>
                <w:tcPr>
                  <w:tcW w:w="535" w:type="dxa"/>
                  <w:tcBorders>
                    <w:tl2br w:val="nil"/>
                    <w:tr2bl w:val="nil"/>
                  </w:tcBorders>
                  <w:vAlign w:val="center"/>
                </w:tcPr>
                <w:p w14:paraId="7F0192E4">
                  <w:pPr>
                    <w:adjustRightInd w:val="0"/>
                    <w:snapToGrid w:val="0"/>
                    <w:jc w:val="center"/>
                    <w:rPr>
                      <w:rFonts w:hint="default" w:ascii="Times New Roman" w:hAnsi="Times New Roman" w:eastAsia="宋体" w:cs="Times New Roman"/>
                      <w:b/>
                      <w:bCs/>
                      <w:color w:val="0000FF"/>
                      <w:szCs w:val="21"/>
                      <w:highlight w:val="none"/>
                    </w:rPr>
                  </w:pPr>
                  <w:r>
                    <w:rPr>
                      <w:rFonts w:hint="default" w:ascii="Times New Roman" w:hAnsi="Times New Roman" w:eastAsia="宋体" w:cs="Times New Roman"/>
                      <w:b/>
                      <w:bCs/>
                      <w:color w:val="0000FF"/>
                      <w:szCs w:val="21"/>
                      <w:highlight w:val="none"/>
                    </w:rPr>
                    <w:t>X</w:t>
                  </w:r>
                </w:p>
              </w:tc>
              <w:tc>
                <w:tcPr>
                  <w:tcW w:w="452" w:type="dxa"/>
                  <w:tcBorders>
                    <w:tl2br w:val="nil"/>
                    <w:tr2bl w:val="nil"/>
                  </w:tcBorders>
                  <w:vAlign w:val="center"/>
                </w:tcPr>
                <w:p w14:paraId="5D220738">
                  <w:pPr>
                    <w:adjustRightInd w:val="0"/>
                    <w:snapToGrid w:val="0"/>
                    <w:jc w:val="center"/>
                    <w:rPr>
                      <w:rFonts w:hint="default" w:ascii="Times New Roman" w:hAnsi="Times New Roman" w:eastAsia="宋体" w:cs="Times New Roman"/>
                      <w:b/>
                      <w:bCs/>
                      <w:color w:val="0000FF"/>
                      <w:szCs w:val="21"/>
                      <w:highlight w:val="none"/>
                    </w:rPr>
                  </w:pPr>
                  <w:r>
                    <w:rPr>
                      <w:rFonts w:hint="default" w:ascii="Times New Roman" w:hAnsi="Times New Roman" w:eastAsia="宋体" w:cs="Times New Roman"/>
                      <w:b/>
                      <w:bCs/>
                      <w:color w:val="0000FF"/>
                      <w:szCs w:val="21"/>
                      <w:highlight w:val="none"/>
                    </w:rPr>
                    <w:t>Y</w:t>
                  </w:r>
                </w:p>
              </w:tc>
              <w:tc>
                <w:tcPr>
                  <w:tcW w:w="499" w:type="dxa"/>
                  <w:tcBorders>
                    <w:tl2br w:val="nil"/>
                    <w:tr2bl w:val="nil"/>
                  </w:tcBorders>
                  <w:vAlign w:val="center"/>
                </w:tcPr>
                <w:p w14:paraId="7FC47D4F">
                  <w:pPr>
                    <w:adjustRightInd w:val="0"/>
                    <w:snapToGrid w:val="0"/>
                    <w:jc w:val="center"/>
                    <w:rPr>
                      <w:rFonts w:hint="default" w:ascii="Times New Roman" w:hAnsi="Times New Roman" w:eastAsia="宋体" w:cs="Times New Roman"/>
                      <w:b/>
                      <w:bCs/>
                      <w:color w:val="0000FF"/>
                      <w:szCs w:val="21"/>
                      <w:highlight w:val="none"/>
                    </w:rPr>
                  </w:pPr>
                  <w:r>
                    <w:rPr>
                      <w:rFonts w:hint="default" w:ascii="Times New Roman" w:hAnsi="Times New Roman" w:eastAsia="宋体" w:cs="Times New Roman"/>
                      <w:b/>
                      <w:bCs/>
                      <w:color w:val="0000FF"/>
                      <w:szCs w:val="21"/>
                      <w:highlight w:val="none"/>
                    </w:rPr>
                    <w:t>Z</w:t>
                  </w:r>
                </w:p>
              </w:tc>
              <w:tc>
                <w:tcPr>
                  <w:tcW w:w="895" w:type="dxa"/>
                  <w:vMerge w:val="continue"/>
                  <w:tcBorders>
                    <w:tl2br w:val="nil"/>
                    <w:tr2bl w:val="nil"/>
                  </w:tcBorders>
                  <w:vAlign w:val="center"/>
                </w:tcPr>
                <w:p w14:paraId="2A43C3A8">
                  <w:pPr>
                    <w:adjustRightInd w:val="0"/>
                    <w:snapToGrid w:val="0"/>
                    <w:jc w:val="center"/>
                    <w:rPr>
                      <w:rFonts w:hint="default" w:ascii="Times New Roman" w:hAnsi="Times New Roman" w:eastAsia="宋体" w:cs="Times New Roman"/>
                      <w:b/>
                      <w:bCs/>
                      <w:color w:val="auto"/>
                      <w:szCs w:val="21"/>
                      <w:highlight w:val="none"/>
                    </w:rPr>
                  </w:pPr>
                </w:p>
              </w:tc>
              <w:tc>
                <w:tcPr>
                  <w:tcW w:w="1043" w:type="dxa"/>
                  <w:vMerge w:val="continue"/>
                  <w:tcBorders>
                    <w:tl2br w:val="nil"/>
                    <w:tr2bl w:val="nil"/>
                  </w:tcBorders>
                  <w:vAlign w:val="center"/>
                </w:tcPr>
                <w:p w14:paraId="6CFADE26">
                  <w:pPr>
                    <w:adjustRightInd w:val="0"/>
                    <w:snapToGrid w:val="0"/>
                    <w:jc w:val="center"/>
                    <w:rPr>
                      <w:rFonts w:hint="default" w:ascii="Times New Roman" w:hAnsi="Times New Roman" w:eastAsia="宋体" w:cs="Times New Roman"/>
                      <w:b/>
                      <w:bCs/>
                      <w:color w:val="auto"/>
                      <w:szCs w:val="21"/>
                      <w:highlight w:val="none"/>
                    </w:rPr>
                  </w:pPr>
                </w:p>
              </w:tc>
              <w:tc>
                <w:tcPr>
                  <w:tcW w:w="1007" w:type="dxa"/>
                  <w:vMerge w:val="continue"/>
                  <w:tcBorders>
                    <w:tl2br w:val="nil"/>
                    <w:tr2bl w:val="nil"/>
                  </w:tcBorders>
                  <w:vAlign w:val="center"/>
                </w:tcPr>
                <w:p w14:paraId="44E7D38B">
                  <w:pPr>
                    <w:adjustRightInd w:val="0"/>
                    <w:snapToGrid w:val="0"/>
                    <w:jc w:val="center"/>
                    <w:rPr>
                      <w:rFonts w:hint="default" w:ascii="Times New Roman" w:hAnsi="Times New Roman" w:eastAsia="宋体" w:cs="Times New Roman"/>
                      <w:b/>
                      <w:bCs/>
                      <w:color w:val="auto"/>
                      <w:szCs w:val="21"/>
                      <w:highlight w:val="none"/>
                    </w:rPr>
                  </w:pPr>
                </w:p>
              </w:tc>
              <w:tc>
                <w:tcPr>
                  <w:tcW w:w="575" w:type="dxa"/>
                  <w:vMerge w:val="continue"/>
                  <w:tcBorders>
                    <w:tl2br w:val="nil"/>
                    <w:tr2bl w:val="nil"/>
                  </w:tcBorders>
                  <w:vAlign w:val="center"/>
                </w:tcPr>
                <w:p w14:paraId="27A1A55A">
                  <w:pPr>
                    <w:adjustRightInd w:val="0"/>
                    <w:snapToGrid w:val="0"/>
                    <w:jc w:val="center"/>
                    <w:rPr>
                      <w:rFonts w:hint="default" w:ascii="Times New Roman" w:hAnsi="Times New Roman" w:eastAsia="宋体" w:cs="Times New Roman"/>
                      <w:b/>
                      <w:bCs/>
                      <w:color w:val="auto"/>
                      <w:szCs w:val="21"/>
                      <w:highlight w:val="none"/>
                    </w:rPr>
                  </w:pPr>
                </w:p>
              </w:tc>
            </w:tr>
            <w:tr w14:paraId="4E8C5B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6" w:hRule="atLeast"/>
              </w:trPr>
              <w:tc>
                <w:tcPr>
                  <w:tcW w:w="274" w:type="dxa"/>
                  <w:tcBorders>
                    <w:tl2br w:val="nil"/>
                    <w:tr2bl w:val="nil"/>
                  </w:tcBorders>
                  <w:vAlign w:val="center"/>
                </w:tcPr>
                <w:p w14:paraId="6724349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w:t>
                  </w:r>
                </w:p>
              </w:tc>
              <w:tc>
                <w:tcPr>
                  <w:tcW w:w="933" w:type="dxa"/>
                  <w:tcBorders>
                    <w:tl2br w:val="nil"/>
                    <w:tr2bl w:val="nil"/>
                  </w:tcBorders>
                  <w:shd w:val="clear" w:color="auto" w:fill="FFFFFF"/>
                  <w:vAlign w:val="center"/>
                </w:tcPr>
                <w:p w14:paraId="49C7BE1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空调外机</w:t>
                  </w:r>
                </w:p>
              </w:tc>
              <w:tc>
                <w:tcPr>
                  <w:tcW w:w="535" w:type="dxa"/>
                  <w:tcBorders>
                    <w:tl2br w:val="nil"/>
                    <w:tr2bl w:val="nil"/>
                  </w:tcBorders>
                  <w:shd w:val="clear" w:color="auto" w:fill="FFFFFF"/>
                  <w:vAlign w:val="center"/>
                </w:tcPr>
                <w:p w14:paraId="624BF741">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748" w:type="dxa"/>
                  <w:tcBorders>
                    <w:tl2br w:val="nil"/>
                    <w:tr2bl w:val="nil"/>
                  </w:tcBorders>
                  <w:shd w:val="clear" w:color="auto" w:fill="FFFFFF"/>
                  <w:vAlign w:val="center"/>
                </w:tcPr>
                <w:p w14:paraId="2BB7835B">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楼顶</w:t>
                  </w:r>
                </w:p>
              </w:tc>
              <w:tc>
                <w:tcPr>
                  <w:tcW w:w="535" w:type="dxa"/>
                  <w:tcBorders>
                    <w:tl2br w:val="nil"/>
                    <w:tr2bl w:val="nil"/>
                  </w:tcBorders>
                  <w:shd w:val="clear" w:color="auto" w:fill="FFFFFF"/>
                  <w:vAlign w:val="center"/>
                </w:tcPr>
                <w:p w14:paraId="5136C99A">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2.6</w:t>
                  </w:r>
                </w:p>
              </w:tc>
              <w:tc>
                <w:tcPr>
                  <w:tcW w:w="452" w:type="dxa"/>
                  <w:tcBorders>
                    <w:tl2br w:val="nil"/>
                    <w:tr2bl w:val="nil"/>
                  </w:tcBorders>
                  <w:shd w:val="clear" w:color="auto" w:fill="FFFFFF"/>
                  <w:vAlign w:val="center"/>
                </w:tcPr>
                <w:p w14:paraId="05749639">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2.5</w:t>
                  </w:r>
                </w:p>
              </w:tc>
              <w:tc>
                <w:tcPr>
                  <w:tcW w:w="499" w:type="dxa"/>
                  <w:tcBorders>
                    <w:tl2br w:val="nil"/>
                    <w:tr2bl w:val="nil"/>
                  </w:tcBorders>
                  <w:shd w:val="clear" w:color="auto" w:fill="FFFFFF"/>
                  <w:vAlign w:val="center"/>
                </w:tcPr>
                <w:p w14:paraId="0F4093E7">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17.2</w:t>
                  </w:r>
                </w:p>
              </w:tc>
              <w:tc>
                <w:tcPr>
                  <w:tcW w:w="895" w:type="dxa"/>
                  <w:tcBorders>
                    <w:tl2br w:val="nil"/>
                    <w:tr2bl w:val="nil"/>
                  </w:tcBorders>
                  <w:shd w:val="clear" w:color="auto" w:fill="auto"/>
                  <w:vAlign w:val="center"/>
                </w:tcPr>
                <w:p w14:paraId="1D28590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75</w:t>
                  </w:r>
                </w:p>
              </w:tc>
              <w:tc>
                <w:tcPr>
                  <w:tcW w:w="1043" w:type="dxa"/>
                  <w:vMerge w:val="restart"/>
                  <w:tcBorders>
                    <w:tl2br w:val="nil"/>
                    <w:tr2bl w:val="nil"/>
                  </w:tcBorders>
                  <w:vAlign w:val="center"/>
                </w:tcPr>
                <w:p w14:paraId="7204D532">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选用低噪声设备、减振等措施</w:t>
                  </w:r>
                </w:p>
              </w:tc>
              <w:tc>
                <w:tcPr>
                  <w:tcW w:w="1007" w:type="dxa"/>
                  <w:tcBorders>
                    <w:tl2br w:val="nil"/>
                    <w:tr2bl w:val="nil"/>
                  </w:tcBorders>
                  <w:vAlign w:val="center"/>
                </w:tcPr>
                <w:p w14:paraId="01E3F6BA">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w:t>
                  </w:r>
                  <w:r>
                    <w:rPr>
                      <w:rFonts w:hint="default" w:ascii="Times New Roman" w:hAnsi="Times New Roman" w:eastAsia="宋体" w:cs="Times New Roman"/>
                      <w:b w:val="0"/>
                      <w:bCs w:val="0"/>
                      <w:color w:val="auto"/>
                      <w:szCs w:val="21"/>
                      <w:highlight w:val="none"/>
                      <w:lang w:val="en-US" w:eastAsia="zh-CN"/>
                    </w:rPr>
                    <w:t>5</w:t>
                  </w:r>
                </w:p>
              </w:tc>
              <w:tc>
                <w:tcPr>
                  <w:tcW w:w="575" w:type="dxa"/>
                  <w:vMerge w:val="restart"/>
                  <w:tcBorders>
                    <w:tl2br w:val="nil"/>
                    <w:tr2bl w:val="nil"/>
                  </w:tcBorders>
                  <w:vAlign w:val="center"/>
                </w:tcPr>
                <w:p w14:paraId="2A31E047">
                  <w:pPr>
                    <w:kinsoku w:val="0"/>
                    <w:overflowPunct w:val="0"/>
                    <w:autoSpaceDE w:val="0"/>
                    <w:autoSpaceDN w:val="0"/>
                    <w:adjustRightInd w:val="0"/>
                    <w:snapToGrid w:val="0"/>
                    <w:jc w:val="center"/>
                    <w:rPr>
                      <w:rFonts w:hint="eastAsia"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昼间</w:t>
                  </w:r>
                </w:p>
                <w:p w14:paraId="2918956E">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0000FF"/>
                      <w:szCs w:val="21"/>
                      <w:highlight w:val="none"/>
                      <w:lang w:val="en-US" w:eastAsia="zh-CN"/>
                    </w:rPr>
                    <w:t>运行</w:t>
                  </w:r>
                </w:p>
              </w:tc>
            </w:tr>
            <w:tr w14:paraId="437D1B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274" w:type="dxa"/>
                  <w:tcBorders>
                    <w:tl2br w:val="nil"/>
                    <w:tr2bl w:val="nil"/>
                  </w:tcBorders>
                  <w:vAlign w:val="center"/>
                </w:tcPr>
                <w:p w14:paraId="047185C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933" w:type="dxa"/>
                  <w:tcBorders>
                    <w:tl2br w:val="nil"/>
                    <w:tr2bl w:val="nil"/>
                  </w:tcBorders>
                  <w:shd w:val="clear" w:color="auto" w:fill="FFFFFF"/>
                  <w:vAlign w:val="center"/>
                </w:tcPr>
                <w:p w14:paraId="4949EDE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废气治理设施</w:t>
                  </w:r>
                </w:p>
              </w:tc>
              <w:tc>
                <w:tcPr>
                  <w:tcW w:w="535" w:type="dxa"/>
                  <w:tcBorders>
                    <w:tl2br w:val="nil"/>
                    <w:tr2bl w:val="nil"/>
                  </w:tcBorders>
                  <w:shd w:val="clear" w:color="auto" w:fill="FFFFFF"/>
                  <w:vAlign w:val="center"/>
                </w:tcPr>
                <w:p w14:paraId="5FC1EDEC">
                  <w:pPr>
                    <w:kinsoku w:val="0"/>
                    <w:overflowPunct w:val="0"/>
                    <w:autoSpaceDE w:val="0"/>
                    <w:autoSpaceDN w:val="0"/>
                    <w:adjustRightInd w:val="0"/>
                    <w:snapToGrid w:val="0"/>
                    <w:jc w:val="center"/>
                    <w:rPr>
                      <w:rFonts w:hint="default"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748" w:type="dxa"/>
                  <w:tcBorders>
                    <w:tl2br w:val="nil"/>
                    <w:tr2bl w:val="nil"/>
                  </w:tcBorders>
                  <w:shd w:val="clear" w:color="auto" w:fill="FFFFFF"/>
                  <w:vAlign w:val="center"/>
                </w:tcPr>
                <w:p w14:paraId="0EE2FB8D">
                  <w:pPr>
                    <w:kinsoku w:val="0"/>
                    <w:overflowPunct w:val="0"/>
                    <w:autoSpaceDE w:val="0"/>
                    <w:autoSpaceDN w:val="0"/>
                    <w:adjustRightInd w:val="0"/>
                    <w:snapToGrid w:val="0"/>
                    <w:jc w:val="center"/>
                    <w:rPr>
                      <w:rFonts w:hint="default"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楼顶</w:t>
                  </w:r>
                </w:p>
              </w:tc>
              <w:tc>
                <w:tcPr>
                  <w:tcW w:w="535" w:type="dxa"/>
                  <w:tcBorders>
                    <w:tl2br w:val="nil"/>
                    <w:tr2bl w:val="nil"/>
                  </w:tcBorders>
                  <w:shd w:val="clear" w:color="auto" w:fill="FFFFFF"/>
                  <w:vAlign w:val="center"/>
                </w:tcPr>
                <w:p w14:paraId="480C64F0">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-9</w:t>
                  </w:r>
                </w:p>
              </w:tc>
              <w:tc>
                <w:tcPr>
                  <w:tcW w:w="452" w:type="dxa"/>
                  <w:tcBorders>
                    <w:tl2br w:val="nil"/>
                    <w:tr2bl w:val="nil"/>
                  </w:tcBorders>
                  <w:shd w:val="clear" w:color="auto" w:fill="FFFFFF"/>
                  <w:vAlign w:val="center"/>
                </w:tcPr>
                <w:p w14:paraId="6A3D60D6">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-1.3</w:t>
                  </w:r>
                </w:p>
              </w:tc>
              <w:tc>
                <w:tcPr>
                  <w:tcW w:w="499" w:type="dxa"/>
                  <w:tcBorders>
                    <w:tl2br w:val="nil"/>
                    <w:tr2bl w:val="nil"/>
                  </w:tcBorders>
                  <w:shd w:val="clear" w:color="auto" w:fill="FFFFFF"/>
                  <w:vAlign w:val="center"/>
                </w:tcPr>
                <w:p w14:paraId="38619A62">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17.2</w:t>
                  </w:r>
                </w:p>
              </w:tc>
              <w:tc>
                <w:tcPr>
                  <w:tcW w:w="895" w:type="dxa"/>
                  <w:tcBorders>
                    <w:tl2br w:val="nil"/>
                    <w:tr2bl w:val="nil"/>
                  </w:tcBorders>
                  <w:shd w:val="clear" w:color="auto" w:fill="auto"/>
                  <w:vAlign w:val="center"/>
                </w:tcPr>
                <w:p w14:paraId="0C068DA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75</w:t>
                  </w:r>
                </w:p>
              </w:tc>
              <w:tc>
                <w:tcPr>
                  <w:tcW w:w="1043" w:type="dxa"/>
                  <w:vMerge w:val="continue"/>
                  <w:tcBorders>
                    <w:tl2br w:val="nil"/>
                    <w:tr2bl w:val="nil"/>
                  </w:tcBorders>
                  <w:vAlign w:val="center"/>
                </w:tcPr>
                <w:p w14:paraId="7A82CB9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1007" w:type="dxa"/>
                  <w:tcBorders>
                    <w:tl2br w:val="nil"/>
                    <w:tr2bl w:val="nil"/>
                  </w:tcBorders>
                  <w:vAlign w:val="center"/>
                </w:tcPr>
                <w:p w14:paraId="33AA78D4">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575" w:type="dxa"/>
                  <w:vMerge w:val="continue"/>
                  <w:tcBorders>
                    <w:tl2br w:val="nil"/>
                    <w:tr2bl w:val="nil"/>
                  </w:tcBorders>
                  <w:vAlign w:val="center"/>
                </w:tcPr>
                <w:p w14:paraId="551D934A">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2FADC5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01" w:hRule="atLeast"/>
              </w:trPr>
              <w:tc>
                <w:tcPr>
                  <w:tcW w:w="7496" w:type="dxa"/>
                  <w:gridSpan w:val="11"/>
                  <w:tcBorders>
                    <w:tl2br w:val="nil"/>
                    <w:tr2bl w:val="nil"/>
                  </w:tcBorders>
                  <w:vAlign w:val="center"/>
                </w:tcPr>
                <w:p w14:paraId="3AB7B270">
                  <w:pPr>
                    <w:kinsoku w:val="0"/>
                    <w:overflowPunct w:val="0"/>
                    <w:autoSpaceDE w:val="0"/>
                    <w:autoSpaceDN w:val="0"/>
                    <w:adjustRightInd w:val="0"/>
                    <w:snapToGrid w:val="0"/>
                    <w:jc w:val="both"/>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color w:val="auto"/>
                      <w:sz w:val="21"/>
                      <w:szCs w:val="21"/>
                      <w:lang w:val="en-US" w:eastAsia="zh-CN"/>
                    </w:rPr>
                    <w:t>表中坐标以厂界中心（</w:t>
                  </w:r>
                  <w:r>
                    <w:rPr>
                      <w:rFonts w:hint="default" w:ascii="Times New Roman" w:hAnsi="Times New Roman" w:cs="Times New Roman" w:eastAsiaTheme="minorEastAsia"/>
                      <w:b w:val="0"/>
                      <w:bCs/>
                      <w:sz w:val="21"/>
                      <w:szCs w:val="21"/>
                      <w:lang w:val="en-US" w:eastAsia="zh-CN"/>
                    </w:rPr>
                    <w:t>116.552467</w:t>
                  </w:r>
                  <w:r>
                    <w:rPr>
                      <w:rFonts w:hint="eastAsia" w:ascii="Times New Roman" w:hAnsi="Times New Roman" w:cs="Times New Roman" w:eastAsiaTheme="minorEastAsia"/>
                      <w:b w:val="0"/>
                      <w:bCs/>
                      <w:sz w:val="21"/>
                      <w:szCs w:val="21"/>
                      <w:lang w:val="en-US" w:eastAsia="zh-CN"/>
                    </w:rPr>
                    <w:t>，</w:t>
                  </w:r>
                  <w:r>
                    <w:rPr>
                      <w:rFonts w:hint="default" w:ascii="Times New Roman" w:hAnsi="Times New Roman" w:cs="Times New Roman" w:eastAsiaTheme="minorEastAsia"/>
                      <w:b w:val="0"/>
                      <w:bCs/>
                      <w:sz w:val="21"/>
                      <w:szCs w:val="21"/>
                      <w:lang w:val="en-US" w:eastAsia="zh-CN"/>
                    </w:rPr>
                    <w:t>39.730022</w:t>
                  </w:r>
                  <w:r>
                    <w:rPr>
                      <w:rFonts w:hint="default" w:ascii="Times New Roman" w:hAnsi="Times New Roman" w:eastAsia="宋体" w:cs="Times New Roman"/>
                      <w:b w:val="0"/>
                      <w:bCs/>
                      <w:color w:val="auto"/>
                      <w:sz w:val="21"/>
                      <w:szCs w:val="21"/>
                      <w:lang w:val="en-US" w:eastAsia="zh-CN"/>
                    </w:rPr>
                    <w:t>）为坐标原点，正东向为X轴正方向，正北向为Y轴正方向。</w:t>
                  </w:r>
                </w:p>
              </w:tc>
            </w:tr>
          </w:tbl>
          <w:p w14:paraId="09507E7B">
            <w:pPr>
              <w:numPr>
                <w:ilvl w:val="0"/>
                <w:numId w:val="32"/>
              </w:numPr>
              <w:adjustRightInd w:val="0"/>
              <w:spacing w:line="360" w:lineRule="auto"/>
              <w:ind w:left="425" w:leftChars="0" w:hanging="425" w:firstLineChars="0"/>
              <w:jc w:val="center"/>
              <w:rPr>
                <w:rFonts w:hint="default" w:ascii="Times New Roman" w:hAnsi="Times New Roman" w:eastAsia="宋体" w:cs="Times New Roman"/>
                <w:b/>
                <w:color w:val="auto"/>
                <w:kern w:val="0"/>
                <w:sz w:val="24"/>
                <w:highlight w:val="none"/>
              </w:rPr>
            </w:pPr>
            <w:r>
              <w:rPr>
                <w:rFonts w:hint="default" w:ascii="Times New Roman" w:hAnsi="Times New Roman" w:eastAsia="宋体" w:cs="Times New Roman"/>
                <w:b/>
                <w:color w:val="auto"/>
                <w:sz w:val="24"/>
                <w:highlight w:val="none"/>
              </w:rPr>
              <w:t>本项目噪声源强调查清单（室内声源）</w:t>
            </w:r>
          </w:p>
          <w:tbl>
            <w:tblPr>
              <w:tblStyle w:val="50"/>
              <w:tblW w:w="7636" w:type="dxa"/>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290"/>
              <w:gridCol w:w="1620"/>
              <w:gridCol w:w="554"/>
              <w:gridCol w:w="822"/>
              <w:gridCol w:w="683"/>
              <w:gridCol w:w="461"/>
              <w:gridCol w:w="425"/>
              <w:gridCol w:w="406"/>
              <w:gridCol w:w="895"/>
              <w:gridCol w:w="982"/>
              <w:gridCol w:w="498"/>
            </w:tblGrid>
            <w:tr w14:paraId="049E4A4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80" w:hRule="atLeast"/>
                <w:jc w:val="center"/>
              </w:trPr>
              <w:tc>
                <w:tcPr>
                  <w:tcW w:w="290" w:type="dxa"/>
                  <w:vMerge w:val="restart"/>
                  <w:tcBorders>
                    <w:tl2br w:val="nil"/>
                    <w:tr2bl w:val="nil"/>
                  </w:tcBorders>
                  <w:vAlign w:val="center"/>
                </w:tcPr>
                <w:p w14:paraId="3749A20B">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1620" w:type="dxa"/>
                  <w:vMerge w:val="restart"/>
                  <w:tcBorders>
                    <w:tl2br w:val="nil"/>
                    <w:tr2bl w:val="nil"/>
                  </w:tcBorders>
                  <w:vAlign w:val="center"/>
                </w:tcPr>
                <w:p w14:paraId="56CB5DFF">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声源名称</w:t>
                  </w:r>
                </w:p>
              </w:tc>
              <w:tc>
                <w:tcPr>
                  <w:tcW w:w="554" w:type="dxa"/>
                  <w:vMerge w:val="restart"/>
                  <w:tcBorders>
                    <w:tl2br w:val="nil"/>
                    <w:tr2bl w:val="nil"/>
                  </w:tcBorders>
                  <w:vAlign w:val="center"/>
                </w:tcPr>
                <w:p w14:paraId="3F94FC33">
                  <w:pPr>
                    <w:kinsoku w:val="0"/>
                    <w:overflowPunct w:val="0"/>
                    <w:autoSpaceDE w:val="0"/>
                    <w:autoSpaceDN w:val="0"/>
                    <w:adjustRightInd w:val="0"/>
                    <w:snapToGrid w:val="0"/>
                    <w:jc w:val="center"/>
                    <w:rPr>
                      <w:rFonts w:hint="eastAsia" w:cs="Times New Roman"/>
                      <w:b/>
                      <w:bCs/>
                      <w:color w:val="0000FF"/>
                      <w:szCs w:val="21"/>
                      <w:highlight w:val="none"/>
                      <w:lang w:val="en-US" w:eastAsia="zh-CN"/>
                    </w:rPr>
                  </w:pPr>
                  <w:r>
                    <w:rPr>
                      <w:rFonts w:hint="eastAsia" w:cs="Times New Roman"/>
                      <w:b/>
                      <w:bCs/>
                      <w:color w:val="0000FF"/>
                      <w:szCs w:val="21"/>
                      <w:highlight w:val="none"/>
                      <w:lang w:val="en-US" w:eastAsia="zh-CN"/>
                    </w:rPr>
                    <w:t>数量</w:t>
                  </w:r>
                </w:p>
                <w:p w14:paraId="2377ACDE">
                  <w:pPr>
                    <w:kinsoku w:val="0"/>
                    <w:overflowPunct w:val="0"/>
                    <w:autoSpaceDE w:val="0"/>
                    <w:autoSpaceDN w:val="0"/>
                    <w:adjustRightInd w:val="0"/>
                    <w:snapToGrid w:val="0"/>
                    <w:jc w:val="center"/>
                    <w:rPr>
                      <w:rFonts w:hint="default" w:cs="Times New Roman"/>
                      <w:b/>
                      <w:bCs/>
                      <w:color w:val="0000FF"/>
                      <w:szCs w:val="21"/>
                      <w:highlight w:val="none"/>
                      <w:lang w:val="en-US" w:eastAsia="zh-CN"/>
                    </w:rPr>
                  </w:pPr>
                  <w:r>
                    <w:rPr>
                      <w:rFonts w:hint="eastAsia" w:cs="Times New Roman"/>
                      <w:b/>
                      <w:bCs/>
                      <w:color w:val="0000FF"/>
                      <w:szCs w:val="21"/>
                      <w:highlight w:val="none"/>
                      <w:lang w:val="en-US" w:eastAsia="zh-CN"/>
                    </w:rPr>
                    <w:t>台</w:t>
                  </w:r>
                </w:p>
              </w:tc>
              <w:tc>
                <w:tcPr>
                  <w:tcW w:w="822" w:type="dxa"/>
                  <w:vMerge w:val="restart"/>
                  <w:tcBorders>
                    <w:tl2br w:val="nil"/>
                    <w:tr2bl w:val="nil"/>
                  </w:tcBorders>
                  <w:vAlign w:val="center"/>
                </w:tcPr>
                <w:p w14:paraId="659D8315">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声源源强/dB(A)</w:t>
                  </w:r>
                </w:p>
              </w:tc>
              <w:tc>
                <w:tcPr>
                  <w:tcW w:w="683" w:type="dxa"/>
                  <w:vMerge w:val="restart"/>
                  <w:tcBorders>
                    <w:tl2br w:val="nil"/>
                    <w:tr2bl w:val="nil"/>
                  </w:tcBorders>
                  <w:vAlign w:val="center"/>
                </w:tcPr>
                <w:p w14:paraId="0190B6BE">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声源控制措施</w:t>
                  </w:r>
                </w:p>
              </w:tc>
              <w:tc>
                <w:tcPr>
                  <w:tcW w:w="1292" w:type="dxa"/>
                  <w:gridSpan w:val="3"/>
                  <w:tcBorders>
                    <w:tl2br w:val="nil"/>
                    <w:tr2bl w:val="nil"/>
                  </w:tcBorders>
                  <w:vAlign w:val="center"/>
                </w:tcPr>
                <w:p w14:paraId="63780409">
                  <w:pPr>
                    <w:kinsoku w:val="0"/>
                    <w:overflowPunct w:val="0"/>
                    <w:autoSpaceDE w:val="0"/>
                    <w:autoSpaceDN w:val="0"/>
                    <w:adjustRightInd w:val="0"/>
                    <w:snapToGrid w:val="0"/>
                    <w:jc w:val="center"/>
                    <w:rPr>
                      <w:rFonts w:hint="default" w:ascii="Times New Roman" w:hAnsi="Times New Roman" w:eastAsia="宋体" w:cs="Times New Roman"/>
                      <w:b/>
                      <w:bCs/>
                      <w:color w:val="0000FF"/>
                      <w:szCs w:val="21"/>
                      <w:highlight w:val="none"/>
                    </w:rPr>
                  </w:pPr>
                  <w:r>
                    <w:rPr>
                      <w:rFonts w:hint="default" w:ascii="Times New Roman" w:hAnsi="Times New Roman" w:eastAsia="宋体" w:cs="Times New Roman"/>
                      <w:b/>
                      <w:bCs/>
                      <w:color w:val="0000FF"/>
                      <w:szCs w:val="21"/>
                      <w:highlight w:val="none"/>
                    </w:rPr>
                    <w:t>空间相对位置/m</w:t>
                  </w:r>
                </w:p>
              </w:tc>
              <w:tc>
                <w:tcPr>
                  <w:tcW w:w="895" w:type="dxa"/>
                  <w:vMerge w:val="restart"/>
                  <w:tcBorders>
                    <w:tl2br w:val="nil"/>
                    <w:tr2bl w:val="nil"/>
                  </w:tcBorders>
                  <w:vAlign w:val="center"/>
                </w:tcPr>
                <w:p w14:paraId="757B139D">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val="en-US" w:eastAsia="zh-CN"/>
                    </w:rPr>
                    <w:t>排放强度</w:t>
                  </w:r>
                  <w:r>
                    <w:rPr>
                      <w:rFonts w:hint="default" w:ascii="Times New Roman" w:hAnsi="Times New Roman" w:eastAsia="宋体" w:cs="Times New Roman"/>
                      <w:b/>
                      <w:bCs/>
                      <w:color w:val="auto"/>
                      <w:szCs w:val="21"/>
                      <w:highlight w:val="none"/>
                    </w:rPr>
                    <w:t>/dB(A)</w:t>
                  </w:r>
                </w:p>
              </w:tc>
              <w:tc>
                <w:tcPr>
                  <w:tcW w:w="982" w:type="dxa"/>
                  <w:vMerge w:val="restart"/>
                  <w:tcBorders>
                    <w:tl2br w:val="nil"/>
                    <w:tr2bl w:val="nil"/>
                  </w:tcBorders>
                  <w:vAlign w:val="center"/>
                </w:tcPr>
                <w:p w14:paraId="67BCC7C1">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 w:val="21"/>
                      <w:szCs w:val="21"/>
                      <w:highlight w:val="none"/>
                    </w:rPr>
                    <w:t>建筑物插入损失/dB(A)</w:t>
                  </w:r>
                </w:p>
              </w:tc>
              <w:tc>
                <w:tcPr>
                  <w:tcW w:w="498" w:type="dxa"/>
                  <w:vMerge w:val="restart"/>
                  <w:tcBorders>
                    <w:tl2br w:val="nil"/>
                    <w:tr2bl w:val="nil"/>
                  </w:tcBorders>
                  <w:vAlign w:val="center"/>
                </w:tcPr>
                <w:p w14:paraId="2F30BB60">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运行</w:t>
                  </w:r>
                </w:p>
                <w:p w14:paraId="3180957E">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时段</w:t>
                  </w:r>
                </w:p>
              </w:tc>
            </w:tr>
            <w:tr w14:paraId="501D7D42">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330" w:hRule="atLeast"/>
                <w:jc w:val="center"/>
              </w:trPr>
              <w:tc>
                <w:tcPr>
                  <w:tcW w:w="290" w:type="dxa"/>
                  <w:vMerge w:val="continue"/>
                  <w:tcBorders>
                    <w:tl2br w:val="nil"/>
                    <w:tr2bl w:val="nil"/>
                  </w:tcBorders>
                  <w:vAlign w:val="center"/>
                </w:tcPr>
                <w:p w14:paraId="5A66020D">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1620" w:type="dxa"/>
                  <w:vMerge w:val="continue"/>
                  <w:tcBorders>
                    <w:tl2br w:val="nil"/>
                    <w:tr2bl w:val="nil"/>
                  </w:tcBorders>
                  <w:vAlign w:val="center"/>
                </w:tcPr>
                <w:p w14:paraId="54441034">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554" w:type="dxa"/>
                  <w:vMerge w:val="continue"/>
                  <w:tcBorders>
                    <w:tl2br w:val="nil"/>
                    <w:tr2bl w:val="nil"/>
                  </w:tcBorders>
                  <w:vAlign w:val="center"/>
                </w:tcPr>
                <w:p w14:paraId="209577BA">
                  <w:pPr>
                    <w:kinsoku w:val="0"/>
                    <w:overflowPunct w:val="0"/>
                    <w:autoSpaceDE w:val="0"/>
                    <w:autoSpaceDN w:val="0"/>
                    <w:adjustRightInd w:val="0"/>
                    <w:snapToGrid w:val="0"/>
                    <w:jc w:val="center"/>
                    <w:rPr>
                      <w:rFonts w:hint="default" w:ascii="Times New Roman" w:hAnsi="Times New Roman" w:eastAsia="宋体" w:cs="Times New Roman"/>
                      <w:b/>
                      <w:bCs/>
                      <w:color w:val="0000FF"/>
                      <w:szCs w:val="21"/>
                      <w:highlight w:val="none"/>
                      <w:lang w:val="en-US"/>
                    </w:rPr>
                  </w:pPr>
                </w:p>
              </w:tc>
              <w:tc>
                <w:tcPr>
                  <w:tcW w:w="822" w:type="dxa"/>
                  <w:vMerge w:val="continue"/>
                  <w:tcBorders>
                    <w:tl2br w:val="nil"/>
                    <w:tr2bl w:val="nil"/>
                  </w:tcBorders>
                  <w:vAlign w:val="center"/>
                </w:tcPr>
                <w:p w14:paraId="649C063F">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683" w:type="dxa"/>
                  <w:vMerge w:val="continue"/>
                  <w:tcBorders>
                    <w:tl2br w:val="nil"/>
                    <w:tr2bl w:val="nil"/>
                  </w:tcBorders>
                  <w:vAlign w:val="center"/>
                </w:tcPr>
                <w:p w14:paraId="1A194625">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461" w:type="dxa"/>
                  <w:tcBorders>
                    <w:tl2br w:val="nil"/>
                    <w:tr2bl w:val="nil"/>
                  </w:tcBorders>
                  <w:vAlign w:val="center"/>
                </w:tcPr>
                <w:p w14:paraId="2D1B0E36">
                  <w:pPr>
                    <w:kinsoku w:val="0"/>
                    <w:overflowPunct w:val="0"/>
                    <w:autoSpaceDE w:val="0"/>
                    <w:autoSpaceDN w:val="0"/>
                    <w:adjustRightInd w:val="0"/>
                    <w:snapToGrid w:val="0"/>
                    <w:jc w:val="center"/>
                    <w:rPr>
                      <w:rFonts w:hint="default" w:ascii="Times New Roman" w:hAnsi="Times New Roman" w:eastAsia="宋体" w:cs="Times New Roman"/>
                      <w:b/>
                      <w:bCs/>
                      <w:color w:val="0000FF"/>
                      <w:szCs w:val="21"/>
                      <w:highlight w:val="none"/>
                    </w:rPr>
                  </w:pPr>
                  <w:r>
                    <w:rPr>
                      <w:rFonts w:hint="default" w:ascii="Times New Roman" w:hAnsi="Times New Roman" w:eastAsia="宋体" w:cs="Times New Roman"/>
                      <w:b/>
                      <w:bCs/>
                      <w:color w:val="0000FF"/>
                      <w:szCs w:val="21"/>
                      <w:highlight w:val="none"/>
                    </w:rPr>
                    <w:t>X</w:t>
                  </w:r>
                </w:p>
              </w:tc>
              <w:tc>
                <w:tcPr>
                  <w:tcW w:w="425" w:type="dxa"/>
                  <w:tcBorders>
                    <w:tl2br w:val="nil"/>
                    <w:tr2bl w:val="nil"/>
                  </w:tcBorders>
                  <w:vAlign w:val="center"/>
                </w:tcPr>
                <w:p w14:paraId="10AC8282">
                  <w:pPr>
                    <w:kinsoku w:val="0"/>
                    <w:overflowPunct w:val="0"/>
                    <w:autoSpaceDE w:val="0"/>
                    <w:autoSpaceDN w:val="0"/>
                    <w:adjustRightInd w:val="0"/>
                    <w:snapToGrid w:val="0"/>
                    <w:jc w:val="center"/>
                    <w:rPr>
                      <w:rFonts w:hint="default" w:ascii="Times New Roman" w:hAnsi="Times New Roman" w:eastAsia="宋体" w:cs="Times New Roman"/>
                      <w:b/>
                      <w:bCs/>
                      <w:color w:val="0000FF"/>
                      <w:szCs w:val="21"/>
                      <w:highlight w:val="none"/>
                    </w:rPr>
                  </w:pPr>
                  <w:r>
                    <w:rPr>
                      <w:rFonts w:hint="default" w:ascii="Times New Roman" w:hAnsi="Times New Roman" w:eastAsia="宋体" w:cs="Times New Roman"/>
                      <w:b/>
                      <w:bCs/>
                      <w:color w:val="0000FF"/>
                      <w:szCs w:val="21"/>
                      <w:highlight w:val="none"/>
                    </w:rPr>
                    <w:t>Y</w:t>
                  </w:r>
                </w:p>
              </w:tc>
              <w:tc>
                <w:tcPr>
                  <w:tcW w:w="406" w:type="dxa"/>
                  <w:tcBorders>
                    <w:tl2br w:val="nil"/>
                    <w:tr2bl w:val="nil"/>
                  </w:tcBorders>
                  <w:vAlign w:val="center"/>
                </w:tcPr>
                <w:p w14:paraId="0A8463F7">
                  <w:pPr>
                    <w:kinsoku w:val="0"/>
                    <w:overflowPunct w:val="0"/>
                    <w:autoSpaceDE w:val="0"/>
                    <w:autoSpaceDN w:val="0"/>
                    <w:adjustRightInd w:val="0"/>
                    <w:snapToGrid w:val="0"/>
                    <w:jc w:val="center"/>
                    <w:rPr>
                      <w:rFonts w:hint="default" w:ascii="Times New Roman" w:hAnsi="Times New Roman" w:eastAsia="宋体" w:cs="Times New Roman"/>
                      <w:b/>
                      <w:bCs/>
                      <w:color w:val="0000FF"/>
                      <w:szCs w:val="21"/>
                      <w:highlight w:val="none"/>
                    </w:rPr>
                  </w:pPr>
                  <w:r>
                    <w:rPr>
                      <w:rFonts w:hint="default" w:ascii="Times New Roman" w:hAnsi="Times New Roman" w:eastAsia="宋体" w:cs="Times New Roman"/>
                      <w:b/>
                      <w:bCs/>
                      <w:color w:val="0000FF"/>
                      <w:szCs w:val="21"/>
                      <w:highlight w:val="none"/>
                    </w:rPr>
                    <w:t>Z</w:t>
                  </w:r>
                </w:p>
              </w:tc>
              <w:tc>
                <w:tcPr>
                  <w:tcW w:w="895" w:type="dxa"/>
                  <w:vMerge w:val="continue"/>
                  <w:tcBorders>
                    <w:tl2br w:val="nil"/>
                    <w:tr2bl w:val="nil"/>
                  </w:tcBorders>
                  <w:vAlign w:val="center"/>
                </w:tcPr>
                <w:p w14:paraId="5A6635F0">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982" w:type="dxa"/>
                  <w:vMerge w:val="continue"/>
                  <w:tcBorders>
                    <w:tl2br w:val="nil"/>
                    <w:tr2bl w:val="nil"/>
                  </w:tcBorders>
                  <w:vAlign w:val="center"/>
                </w:tcPr>
                <w:p w14:paraId="718B9386">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c>
                <w:tcPr>
                  <w:tcW w:w="498" w:type="dxa"/>
                  <w:vMerge w:val="continue"/>
                  <w:tcBorders>
                    <w:tl2br w:val="nil"/>
                    <w:tr2bl w:val="nil"/>
                  </w:tcBorders>
                  <w:vAlign w:val="center"/>
                </w:tcPr>
                <w:p w14:paraId="31A0EEC3">
                  <w:pPr>
                    <w:kinsoku w:val="0"/>
                    <w:overflowPunct w:val="0"/>
                    <w:autoSpaceDE w:val="0"/>
                    <w:autoSpaceDN w:val="0"/>
                    <w:adjustRightInd w:val="0"/>
                    <w:snapToGrid w:val="0"/>
                    <w:jc w:val="center"/>
                    <w:rPr>
                      <w:rFonts w:hint="default" w:ascii="Times New Roman" w:hAnsi="Times New Roman" w:eastAsia="宋体" w:cs="Times New Roman"/>
                      <w:b/>
                      <w:bCs/>
                      <w:color w:val="auto"/>
                      <w:szCs w:val="21"/>
                      <w:highlight w:val="none"/>
                    </w:rPr>
                  </w:pPr>
                </w:p>
              </w:tc>
            </w:tr>
            <w:tr w14:paraId="2E10614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298" w:hRule="atLeast"/>
                <w:jc w:val="center"/>
              </w:trPr>
              <w:tc>
                <w:tcPr>
                  <w:tcW w:w="290" w:type="dxa"/>
                  <w:tcBorders>
                    <w:tl2br w:val="nil"/>
                    <w:tr2bl w:val="nil"/>
                  </w:tcBorders>
                  <w:vAlign w:val="center"/>
                </w:tcPr>
                <w:p w14:paraId="0D0C628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w:t>
                  </w:r>
                </w:p>
              </w:tc>
              <w:tc>
                <w:tcPr>
                  <w:tcW w:w="1620" w:type="dxa"/>
                  <w:tcBorders>
                    <w:tl2br w:val="nil"/>
                    <w:tr2bl w:val="nil"/>
                  </w:tcBorders>
                  <w:vAlign w:val="center"/>
                </w:tcPr>
                <w:p w14:paraId="539B312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液相色谱质谱联用仪</w:t>
                  </w:r>
                </w:p>
              </w:tc>
              <w:tc>
                <w:tcPr>
                  <w:tcW w:w="554" w:type="dxa"/>
                  <w:tcBorders>
                    <w:tl2br w:val="nil"/>
                    <w:tr2bl w:val="nil"/>
                  </w:tcBorders>
                  <w:vAlign w:val="center"/>
                </w:tcPr>
                <w:p w14:paraId="5FD3A4B5">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822" w:type="dxa"/>
                  <w:tcBorders>
                    <w:tl2br w:val="nil"/>
                    <w:tr2bl w:val="nil"/>
                  </w:tcBorders>
                  <w:vAlign w:val="center"/>
                </w:tcPr>
                <w:p w14:paraId="53F96E9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60</w:t>
                  </w:r>
                </w:p>
              </w:tc>
              <w:tc>
                <w:tcPr>
                  <w:tcW w:w="683" w:type="dxa"/>
                  <w:vMerge w:val="restart"/>
                  <w:tcBorders>
                    <w:tl2br w:val="nil"/>
                    <w:tr2bl w:val="nil"/>
                  </w:tcBorders>
                  <w:vAlign w:val="center"/>
                </w:tcPr>
                <w:p w14:paraId="12DE1AC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低噪声设备，基础减振</w:t>
                  </w:r>
                </w:p>
              </w:tc>
              <w:tc>
                <w:tcPr>
                  <w:tcW w:w="461" w:type="dxa"/>
                  <w:tcBorders>
                    <w:tl2br w:val="nil"/>
                    <w:tr2bl w:val="nil"/>
                  </w:tcBorders>
                  <w:shd w:val="clear" w:color="auto" w:fill="FFFFFF"/>
                  <w:vAlign w:val="center"/>
                </w:tcPr>
                <w:p w14:paraId="6EF30CA6">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7.8</w:t>
                  </w:r>
                </w:p>
              </w:tc>
              <w:tc>
                <w:tcPr>
                  <w:tcW w:w="425" w:type="dxa"/>
                  <w:tcBorders>
                    <w:tl2br w:val="nil"/>
                    <w:tr2bl w:val="nil"/>
                  </w:tcBorders>
                  <w:shd w:val="clear" w:color="auto" w:fill="FFFFFF"/>
                  <w:vAlign w:val="center"/>
                </w:tcPr>
                <w:p w14:paraId="2C94F449">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-3.8</w:t>
                  </w:r>
                </w:p>
              </w:tc>
              <w:tc>
                <w:tcPr>
                  <w:tcW w:w="406" w:type="dxa"/>
                  <w:tcBorders>
                    <w:tl2br w:val="nil"/>
                    <w:tr2bl w:val="nil"/>
                  </w:tcBorders>
                  <w:shd w:val="clear" w:color="auto" w:fill="FFFFFF"/>
                  <w:vAlign w:val="center"/>
                </w:tcPr>
                <w:p w14:paraId="0854ECA9">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10.2</w:t>
                  </w:r>
                </w:p>
              </w:tc>
              <w:tc>
                <w:tcPr>
                  <w:tcW w:w="895" w:type="dxa"/>
                  <w:tcBorders>
                    <w:tl2br w:val="nil"/>
                    <w:tr2bl w:val="nil"/>
                  </w:tcBorders>
                  <w:shd w:val="clear" w:color="auto" w:fill="auto"/>
                  <w:vAlign w:val="center"/>
                </w:tcPr>
                <w:p w14:paraId="267B5C2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40</w:t>
                  </w:r>
                </w:p>
              </w:tc>
              <w:tc>
                <w:tcPr>
                  <w:tcW w:w="982" w:type="dxa"/>
                  <w:tcBorders>
                    <w:tl2br w:val="nil"/>
                    <w:tr2bl w:val="nil"/>
                  </w:tcBorders>
                  <w:shd w:val="clear" w:color="auto" w:fill="auto"/>
                  <w:vAlign w:val="center"/>
                </w:tcPr>
                <w:p w14:paraId="19BC753D">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498" w:type="dxa"/>
                  <w:vMerge w:val="restart"/>
                  <w:tcBorders>
                    <w:tl2br w:val="nil"/>
                    <w:tr2bl w:val="nil"/>
                  </w:tcBorders>
                  <w:vAlign w:val="center"/>
                </w:tcPr>
                <w:p w14:paraId="1377CC4E">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昼间</w:t>
                  </w:r>
                </w:p>
              </w:tc>
            </w:tr>
            <w:tr w14:paraId="3CB058D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50" w:hRule="atLeast"/>
                <w:jc w:val="center"/>
              </w:trPr>
              <w:tc>
                <w:tcPr>
                  <w:tcW w:w="290" w:type="dxa"/>
                  <w:tcBorders>
                    <w:tl2br w:val="nil"/>
                    <w:tr2bl w:val="nil"/>
                  </w:tcBorders>
                  <w:vAlign w:val="center"/>
                </w:tcPr>
                <w:p w14:paraId="7F5331B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2</w:t>
                  </w:r>
                </w:p>
              </w:tc>
              <w:tc>
                <w:tcPr>
                  <w:tcW w:w="1620" w:type="dxa"/>
                  <w:tcBorders>
                    <w:tl2br w:val="nil"/>
                    <w:tr2bl w:val="nil"/>
                  </w:tcBorders>
                  <w:vAlign w:val="center"/>
                </w:tcPr>
                <w:p w14:paraId="2E5C1B02">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电感耦合等离子体发射光谱仪</w:t>
                  </w:r>
                  <w:r>
                    <w:rPr>
                      <w:rFonts w:hint="eastAsia" w:ascii="Times New Roman" w:hAnsi="Times New Roman" w:eastAsia="宋体" w:cs="Times New Roman"/>
                      <w:b w:val="0"/>
                      <w:bCs w:val="0"/>
                      <w:color w:val="auto"/>
                      <w:szCs w:val="21"/>
                      <w:highlight w:val="none"/>
                      <w:lang w:val="en-US" w:eastAsia="zh-CN"/>
                    </w:rPr>
                    <w:t>-1</w:t>
                  </w:r>
                </w:p>
              </w:tc>
              <w:tc>
                <w:tcPr>
                  <w:tcW w:w="554" w:type="dxa"/>
                  <w:tcBorders>
                    <w:tl2br w:val="nil"/>
                    <w:tr2bl w:val="nil"/>
                  </w:tcBorders>
                  <w:vAlign w:val="center"/>
                </w:tcPr>
                <w:p w14:paraId="4B087080">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822" w:type="dxa"/>
                  <w:tcBorders>
                    <w:tl2br w:val="nil"/>
                    <w:tr2bl w:val="nil"/>
                  </w:tcBorders>
                  <w:vAlign w:val="center"/>
                </w:tcPr>
                <w:p w14:paraId="67BAEE5E">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60</w:t>
                  </w:r>
                </w:p>
              </w:tc>
              <w:tc>
                <w:tcPr>
                  <w:tcW w:w="683" w:type="dxa"/>
                  <w:vMerge w:val="continue"/>
                  <w:tcBorders>
                    <w:tl2br w:val="nil"/>
                    <w:tr2bl w:val="nil"/>
                  </w:tcBorders>
                  <w:vAlign w:val="center"/>
                </w:tcPr>
                <w:p w14:paraId="7797060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461" w:type="dxa"/>
                  <w:tcBorders>
                    <w:tl2br w:val="nil"/>
                    <w:tr2bl w:val="nil"/>
                  </w:tcBorders>
                  <w:shd w:val="clear" w:color="auto" w:fill="FFFFFF"/>
                  <w:vAlign w:val="center"/>
                </w:tcPr>
                <w:p w14:paraId="3EDB898E">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3.2</w:t>
                  </w:r>
                </w:p>
              </w:tc>
              <w:tc>
                <w:tcPr>
                  <w:tcW w:w="425" w:type="dxa"/>
                  <w:tcBorders>
                    <w:tl2br w:val="nil"/>
                    <w:tr2bl w:val="nil"/>
                  </w:tcBorders>
                  <w:shd w:val="clear" w:color="auto" w:fill="FFFFFF"/>
                  <w:vAlign w:val="center"/>
                </w:tcPr>
                <w:p w14:paraId="67787A80">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-4.3</w:t>
                  </w:r>
                </w:p>
              </w:tc>
              <w:tc>
                <w:tcPr>
                  <w:tcW w:w="406" w:type="dxa"/>
                  <w:tcBorders>
                    <w:tl2br w:val="nil"/>
                    <w:tr2bl w:val="nil"/>
                  </w:tcBorders>
                  <w:shd w:val="clear" w:color="auto" w:fill="FFFFFF"/>
                  <w:vAlign w:val="center"/>
                </w:tcPr>
                <w:p w14:paraId="7ACFF6DA">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10.2</w:t>
                  </w:r>
                </w:p>
              </w:tc>
              <w:tc>
                <w:tcPr>
                  <w:tcW w:w="895" w:type="dxa"/>
                  <w:tcBorders>
                    <w:tl2br w:val="nil"/>
                    <w:tr2bl w:val="nil"/>
                  </w:tcBorders>
                  <w:shd w:val="clear" w:color="auto" w:fill="auto"/>
                  <w:vAlign w:val="center"/>
                </w:tcPr>
                <w:p w14:paraId="685693B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40</w:t>
                  </w:r>
                </w:p>
              </w:tc>
              <w:tc>
                <w:tcPr>
                  <w:tcW w:w="982" w:type="dxa"/>
                  <w:tcBorders>
                    <w:tl2br w:val="nil"/>
                    <w:tr2bl w:val="nil"/>
                  </w:tcBorders>
                  <w:shd w:val="clear" w:color="auto" w:fill="auto"/>
                  <w:vAlign w:val="center"/>
                </w:tcPr>
                <w:p w14:paraId="33142A6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498" w:type="dxa"/>
                  <w:vMerge w:val="continue"/>
                  <w:tcBorders>
                    <w:tl2br w:val="nil"/>
                    <w:tr2bl w:val="nil"/>
                  </w:tcBorders>
                  <w:vAlign w:val="center"/>
                </w:tcPr>
                <w:p w14:paraId="0088E88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4DB1710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50" w:hRule="atLeast"/>
                <w:jc w:val="center"/>
              </w:trPr>
              <w:tc>
                <w:tcPr>
                  <w:tcW w:w="290" w:type="dxa"/>
                  <w:tcBorders>
                    <w:tl2br w:val="nil"/>
                    <w:tr2bl w:val="nil"/>
                  </w:tcBorders>
                  <w:vAlign w:val="center"/>
                </w:tcPr>
                <w:p w14:paraId="01A4C06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3</w:t>
                  </w:r>
                </w:p>
              </w:tc>
              <w:tc>
                <w:tcPr>
                  <w:tcW w:w="1620" w:type="dxa"/>
                  <w:tcBorders>
                    <w:tl2br w:val="nil"/>
                    <w:tr2bl w:val="nil"/>
                  </w:tcBorders>
                  <w:vAlign w:val="center"/>
                </w:tcPr>
                <w:p w14:paraId="718F45A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电感耦合等离子体发射光谱仪</w:t>
                  </w:r>
                  <w:r>
                    <w:rPr>
                      <w:rFonts w:hint="eastAsia" w:ascii="Times New Roman" w:hAnsi="Times New Roman" w:eastAsia="宋体" w:cs="Times New Roman"/>
                      <w:b w:val="0"/>
                      <w:bCs w:val="0"/>
                      <w:color w:val="auto"/>
                      <w:szCs w:val="21"/>
                      <w:highlight w:val="none"/>
                      <w:lang w:val="en-US" w:eastAsia="zh-CN"/>
                    </w:rPr>
                    <w:t>-2</w:t>
                  </w:r>
                </w:p>
              </w:tc>
              <w:tc>
                <w:tcPr>
                  <w:tcW w:w="554" w:type="dxa"/>
                  <w:tcBorders>
                    <w:tl2br w:val="nil"/>
                    <w:tr2bl w:val="nil"/>
                  </w:tcBorders>
                  <w:vAlign w:val="center"/>
                </w:tcPr>
                <w:p w14:paraId="7D1BD72A">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822" w:type="dxa"/>
                  <w:tcBorders>
                    <w:tl2br w:val="nil"/>
                    <w:tr2bl w:val="nil"/>
                  </w:tcBorders>
                  <w:vAlign w:val="center"/>
                </w:tcPr>
                <w:p w14:paraId="77DC3239">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60</w:t>
                  </w:r>
                </w:p>
              </w:tc>
              <w:tc>
                <w:tcPr>
                  <w:tcW w:w="683" w:type="dxa"/>
                  <w:vMerge w:val="continue"/>
                  <w:tcBorders>
                    <w:tl2br w:val="nil"/>
                    <w:tr2bl w:val="nil"/>
                  </w:tcBorders>
                  <w:vAlign w:val="center"/>
                </w:tcPr>
                <w:p w14:paraId="2323E40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461" w:type="dxa"/>
                  <w:tcBorders>
                    <w:tl2br w:val="nil"/>
                    <w:tr2bl w:val="nil"/>
                  </w:tcBorders>
                  <w:shd w:val="clear" w:color="auto" w:fill="FFFFFF"/>
                  <w:vAlign w:val="center"/>
                </w:tcPr>
                <w:p w14:paraId="6C1BCE8B">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12</w:t>
                  </w:r>
                </w:p>
              </w:tc>
              <w:tc>
                <w:tcPr>
                  <w:tcW w:w="425" w:type="dxa"/>
                  <w:tcBorders>
                    <w:tl2br w:val="nil"/>
                    <w:tr2bl w:val="nil"/>
                  </w:tcBorders>
                  <w:shd w:val="clear" w:color="auto" w:fill="FFFFFF"/>
                  <w:vAlign w:val="center"/>
                </w:tcPr>
                <w:p w14:paraId="34A1BBDC">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2.8</w:t>
                  </w:r>
                </w:p>
              </w:tc>
              <w:tc>
                <w:tcPr>
                  <w:tcW w:w="406" w:type="dxa"/>
                  <w:tcBorders>
                    <w:tl2br w:val="nil"/>
                    <w:tr2bl w:val="nil"/>
                  </w:tcBorders>
                  <w:shd w:val="clear" w:color="auto" w:fill="FFFFFF"/>
                  <w:vAlign w:val="center"/>
                </w:tcPr>
                <w:p w14:paraId="55F233F8">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10.2</w:t>
                  </w:r>
                </w:p>
              </w:tc>
              <w:tc>
                <w:tcPr>
                  <w:tcW w:w="895" w:type="dxa"/>
                  <w:tcBorders>
                    <w:tl2br w:val="nil"/>
                    <w:tr2bl w:val="nil"/>
                  </w:tcBorders>
                  <w:shd w:val="clear" w:color="auto" w:fill="auto"/>
                  <w:vAlign w:val="center"/>
                </w:tcPr>
                <w:p w14:paraId="5720A8C1">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40</w:t>
                  </w:r>
                </w:p>
              </w:tc>
              <w:tc>
                <w:tcPr>
                  <w:tcW w:w="982" w:type="dxa"/>
                  <w:tcBorders>
                    <w:tl2br w:val="nil"/>
                    <w:tr2bl w:val="nil"/>
                  </w:tcBorders>
                  <w:shd w:val="clear" w:color="auto" w:fill="auto"/>
                  <w:vAlign w:val="center"/>
                </w:tcPr>
                <w:p w14:paraId="4E83239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498" w:type="dxa"/>
                  <w:vMerge w:val="continue"/>
                  <w:tcBorders>
                    <w:tl2br w:val="nil"/>
                    <w:tr2bl w:val="nil"/>
                  </w:tcBorders>
                  <w:vAlign w:val="center"/>
                </w:tcPr>
                <w:p w14:paraId="03EE736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1E8B2742">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50" w:hRule="atLeast"/>
                <w:jc w:val="center"/>
              </w:trPr>
              <w:tc>
                <w:tcPr>
                  <w:tcW w:w="290" w:type="dxa"/>
                  <w:tcBorders>
                    <w:tl2br w:val="nil"/>
                    <w:tr2bl w:val="nil"/>
                  </w:tcBorders>
                  <w:vAlign w:val="center"/>
                </w:tcPr>
                <w:p w14:paraId="4086DE6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w:t>
                  </w:r>
                </w:p>
              </w:tc>
              <w:tc>
                <w:tcPr>
                  <w:tcW w:w="1620" w:type="dxa"/>
                  <w:tcBorders>
                    <w:tl2br w:val="nil"/>
                    <w:tr2bl w:val="nil"/>
                  </w:tcBorders>
                  <w:vAlign w:val="center"/>
                </w:tcPr>
                <w:p w14:paraId="7420126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电感耦合等离子体发射光谱仪</w:t>
                  </w:r>
                  <w:r>
                    <w:rPr>
                      <w:rFonts w:hint="eastAsia" w:ascii="Times New Roman" w:hAnsi="Times New Roman" w:eastAsia="宋体" w:cs="Times New Roman"/>
                      <w:b w:val="0"/>
                      <w:bCs w:val="0"/>
                      <w:color w:val="auto"/>
                      <w:szCs w:val="21"/>
                      <w:highlight w:val="none"/>
                      <w:lang w:val="en-US" w:eastAsia="zh-CN"/>
                    </w:rPr>
                    <w:t>-3</w:t>
                  </w:r>
                </w:p>
              </w:tc>
              <w:tc>
                <w:tcPr>
                  <w:tcW w:w="554" w:type="dxa"/>
                  <w:tcBorders>
                    <w:tl2br w:val="nil"/>
                    <w:tr2bl w:val="nil"/>
                  </w:tcBorders>
                  <w:vAlign w:val="center"/>
                </w:tcPr>
                <w:p w14:paraId="6C4B430E">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822" w:type="dxa"/>
                  <w:tcBorders>
                    <w:tl2br w:val="nil"/>
                    <w:tr2bl w:val="nil"/>
                  </w:tcBorders>
                  <w:vAlign w:val="center"/>
                </w:tcPr>
                <w:p w14:paraId="032B12EA">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60</w:t>
                  </w:r>
                </w:p>
              </w:tc>
              <w:tc>
                <w:tcPr>
                  <w:tcW w:w="683" w:type="dxa"/>
                  <w:vMerge w:val="continue"/>
                  <w:tcBorders>
                    <w:tl2br w:val="nil"/>
                    <w:tr2bl w:val="nil"/>
                  </w:tcBorders>
                  <w:vAlign w:val="center"/>
                </w:tcPr>
                <w:p w14:paraId="7FF9F4AE">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461" w:type="dxa"/>
                  <w:tcBorders>
                    <w:tl2br w:val="nil"/>
                    <w:tr2bl w:val="nil"/>
                  </w:tcBorders>
                  <w:shd w:val="clear" w:color="auto" w:fill="FFFFFF"/>
                  <w:vAlign w:val="center"/>
                </w:tcPr>
                <w:p w14:paraId="16EB0A8A">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-8.2</w:t>
                  </w:r>
                </w:p>
              </w:tc>
              <w:tc>
                <w:tcPr>
                  <w:tcW w:w="425" w:type="dxa"/>
                  <w:tcBorders>
                    <w:tl2br w:val="nil"/>
                    <w:tr2bl w:val="nil"/>
                  </w:tcBorders>
                  <w:shd w:val="clear" w:color="auto" w:fill="FFFFFF"/>
                  <w:vAlign w:val="center"/>
                </w:tcPr>
                <w:p w14:paraId="7DF7FC10">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-4.7</w:t>
                  </w:r>
                </w:p>
              </w:tc>
              <w:tc>
                <w:tcPr>
                  <w:tcW w:w="406" w:type="dxa"/>
                  <w:tcBorders>
                    <w:tl2br w:val="nil"/>
                    <w:tr2bl w:val="nil"/>
                  </w:tcBorders>
                  <w:shd w:val="clear" w:color="auto" w:fill="FFFFFF"/>
                  <w:vAlign w:val="center"/>
                </w:tcPr>
                <w:p w14:paraId="1FF75444">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10.2</w:t>
                  </w:r>
                </w:p>
              </w:tc>
              <w:tc>
                <w:tcPr>
                  <w:tcW w:w="895" w:type="dxa"/>
                  <w:tcBorders>
                    <w:tl2br w:val="nil"/>
                    <w:tr2bl w:val="nil"/>
                  </w:tcBorders>
                  <w:shd w:val="clear" w:color="auto" w:fill="auto"/>
                  <w:vAlign w:val="center"/>
                </w:tcPr>
                <w:p w14:paraId="57A7BC81">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40</w:t>
                  </w:r>
                </w:p>
              </w:tc>
              <w:tc>
                <w:tcPr>
                  <w:tcW w:w="982" w:type="dxa"/>
                  <w:tcBorders>
                    <w:tl2br w:val="nil"/>
                    <w:tr2bl w:val="nil"/>
                  </w:tcBorders>
                  <w:shd w:val="clear" w:color="auto" w:fill="auto"/>
                  <w:vAlign w:val="center"/>
                </w:tcPr>
                <w:p w14:paraId="2035D9BA">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498" w:type="dxa"/>
                  <w:vMerge w:val="continue"/>
                  <w:tcBorders>
                    <w:tl2br w:val="nil"/>
                    <w:tr2bl w:val="nil"/>
                  </w:tcBorders>
                  <w:vAlign w:val="center"/>
                </w:tcPr>
                <w:p w14:paraId="57E3814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7307CBB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280" w:hRule="atLeast"/>
                <w:jc w:val="center"/>
              </w:trPr>
              <w:tc>
                <w:tcPr>
                  <w:tcW w:w="290" w:type="dxa"/>
                  <w:tcBorders>
                    <w:tl2br w:val="nil"/>
                    <w:tr2bl w:val="nil"/>
                  </w:tcBorders>
                  <w:vAlign w:val="center"/>
                </w:tcPr>
                <w:p w14:paraId="2EB856A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5</w:t>
                  </w:r>
                </w:p>
              </w:tc>
              <w:tc>
                <w:tcPr>
                  <w:tcW w:w="1620" w:type="dxa"/>
                  <w:tcBorders>
                    <w:tl2br w:val="nil"/>
                    <w:tr2bl w:val="nil"/>
                  </w:tcBorders>
                  <w:vAlign w:val="center"/>
                </w:tcPr>
                <w:p w14:paraId="0A2AB45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通风橱-1</w:t>
                  </w:r>
                </w:p>
              </w:tc>
              <w:tc>
                <w:tcPr>
                  <w:tcW w:w="554" w:type="dxa"/>
                  <w:tcBorders>
                    <w:tl2br w:val="nil"/>
                    <w:tr2bl w:val="nil"/>
                  </w:tcBorders>
                  <w:vAlign w:val="center"/>
                </w:tcPr>
                <w:p w14:paraId="004F9E78">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822" w:type="dxa"/>
                  <w:tcBorders>
                    <w:tl2br w:val="nil"/>
                    <w:tr2bl w:val="nil"/>
                  </w:tcBorders>
                  <w:vAlign w:val="center"/>
                </w:tcPr>
                <w:p w14:paraId="6E772556">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683" w:type="dxa"/>
                  <w:vMerge w:val="continue"/>
                  <w:tcBorders>
                    <w:tl2br w:val="nil"/>
                    <w:tr2bl w:val="nil"/>
                  </w:tcBorders>
                  <w:vAlign w:val="center"/>
                </w:tcPr>
                <w:p w14:paraId="611A53F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461" w:type="dxa"/>
                  <w:tcBorders>
                    <w:tl2br w:val="nil"/>
                    <w:tr2bl w:val="nil"/>
                  </w:tcBorders>
                  <w:shd w:val="clear" w:color="auto" w:fill="FFFFFF"/>
                  <w:vAlign w:val="center"/>
                </w:tcPr>
                <w:p w14:paraId="671FADCA">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-0.8</w:t>
                  </w:r>
                </w:p>
              </w:tc>
              <w:tc>
                <w:tcPr>
                  <w:tcW w:w="425" w:type="dxa"/>
                  <w:tcBorders>
                    <w:tl2br w:val="nil"/>
                    <w:tr2bl w:val="nil"/>
                  </w:tcBorders>
                  <w:shd w:val="clear" w:color="auto" w:fill="FFFFFF"/>
                  <w:vAlign w:val="center"/>
                </w:tcPr>
                <w:p w14:paraId="2EBF06EF">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-4.9</w:t>
                  </w:r>
                </w:p>
              </w:tc>
              <w:tc>
                <w:tcPr>
                  <w:tcW w:w="406" w:type="dxa"/>
                  <w:tcBorders>
                    <w:tl2br w:val="nil"/>
                    <w:tr2bl w:val="nil"/>
                  </w:tcBorders>
                  <w:shd w:val="clear" w:color="auto" w:fill="FFFFFF"/>
                  <w:vAlign w:val="center"/>
                </w:tcPr>
                <w:p w14:paraId="41F13934">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13.5</w:t>
                  </w:r>
                </w:p>
              </w:tc>
              <w:tc>
                <w:tcPr>
                  <w:tcW w:w="895" w:type="dxa"/>
                  <w:tcBorders>
                    <w:tl2br w:val="nil"/>
                    <w:tr2bl w:val="nil"/>
                  </w:tcBorders>
                  <w:shd w:val="clear" w:color="auto" w:fill="auto"/>
                  <w:vAlign w:val="center"/>
                </w:tcPr>
                <w:p w14:paraId="23FD6564">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982" w:type="dxa"/>
                  <w:tcBorders>
                    <w:tl2br w:val="nil"/>
                    <w:tr2bl w:val="nil"/>
                  </w:tcBorders>
                  <w:shd w:val="clear" w:color="auto" w:fill="auto"/>
                  <w:vAlign w:val="center"/>
                </w:tcPr>
                <w:p w14:paraId="588E349E">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498" w:type="dxa"/>
                  <w:vMerge w:val="continue"/>
                  <w:tcBorders>
                    <w:tl2br w:val="nil"/>
                    <w:tr2bl w:val="nil"/>
                  </w:tcBorders>
                  <w:vAlign w:val="center"/>
                </w:tcPr>
                <w:p w14:paraId="41BA893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05192E2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280" w:hRule="atLeast"/>
                <w:jc w:val="center"/>
              </w:trPr>
              <w:tc>
                <w:tcPr>
                  <w:tcW w:w="290" w:type="dxa"/>
                  <w:tcBorders>
                    <w:tl2br w:val="nil"/>
                    <w:tr2bl w:val="nil"/>
                  </w:tcBorders>
                  <w:vAlign w:val="center"/>
                </w:tcPr>
                <w:p w14:paraId="733E34E0">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w:t>
                  </w:r>
                </w:p>
              </w:tc>
              <w:tc>
                <w:tcPr>
                  <w:tcW w:w="1620" w:type="dxa"/>
                  <w:tcBorders>
                    <w:tl2br w:val="nil"/>
                    <w:tr2bl w:val="nil"/>
                  </w:tcBorders>
                  <w:vAlign w:val="center"/>
                </w:tcPr>
                <w:p w14:paraId="6FC90242">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通风橱-2</w:t>
                  </w:r>
                </w:p>
              </w:tc>
              <w:tc>
                <w:tcPr>
                  <w:tcW w:w="554" w:type="dxa"/>
                  <w:tcBorders>
                    <w:tl2br w:val="nil"/>
                    <w:tr2bl w:val="nil"/>
                  </w:tcBorders>
                  <w:vAlign w:val="center"/>
                </w:tcPr>
                <w:p w14:paraId="6FE49E96">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822" w:type="dxa"/>
                  <w:tcBorders>
                    <w:tl2br w:val="nil"/>
                    <w:tr2bl w:val="nil"/>
                  </w:tcBorders>
                  <w:vAlign w:val="center"/>
                </w:tcPr>
                <w:p w14:paraId="39D1B1E2">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683" w:type="dxa"/>
                  <w:vMerge w:val="continue"/>
                  <w:tcBorders>
                    <w:tl2br w:val="nil"/>
                    <w:tr2bl w:val="nil"/>
                  </w:tcBorders>
                  <w:vAlign w:val="center"/>
                </w:tcPr>
                <w:p w14:paraId="03F6CF5B">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461" w:type="dxa"/>
                  <w:tcBorders>
                    <w:tl2br w:val="nil"/>
                    <w:tr2bl w:val="nil"/>
                  </w:tcBorders>
                  <w:shd w:val="clear" w:color="auto" w:fill="FFFFFF"/>
                  <w:vAlign w:val="center"/>
                </w:tcPr>
                <w:p w14:paraId="79F85410">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-4.7</w:t>
                  </w:r>
                </w:p>
              </w:tc>
              <w:tc>
                <w:tcPr>
                  <w:tcW w:w="425" w:type="dxa"/>
                  <w:tcBorders>
                    <w:tl2br w:val="nil"/>
                    <w:tr2bl w:val="nil"/>
                  </w:tcBorders>
                  <w:shd w:val="clear" w:color="auto" w:fill="FFFFFF"/>
                  <w:vAlign w:val="center"/>
                </w:tcPr>
                <w:p w14:paraId="344D3C90">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-4.9</w:t>
                  </w:r>
                </w:p>
              </w:tc>
              <w:tc>
                <w:tcPr>
                  <w:tcW w:w="406" w:type="dxa"/>
                  <w:tcBorders>
                    <w:tl2br w:val="nil"/>
                    <w:tr2bl w:val="nil"/>
                  </w:tcBorders>
                  <w:shd w:val="clear" w:color="auto" w:fill="FFFFFF"/>
                  <w:vAlign w:val="center"/>
                </w:tcPr>
                <w:p w14:paraId="30FFEBA5">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13.7</w:t>
                  </w:r>
                </w:p>
              </w:tc>
              <w:tc>
                <w:tcPr>
                  <w:tcW w:w="895" w:type="dxa"/>
                  <w:tcBorders>
                    <w:tl2br w:val="nil"/>
                    <w:tr2bl w:val="nil"/>
                  </w:tcBorders>
                  <w:shd w:val="clear" w:color="auto" w:fill="auto"/>
                  <w:vAlign w:val="center"/>
                </w:tcPr>
                <w:p w14:paraId="19B93245">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982" w:type="dxa"/>
                  <w:tcBorders>
                    <w:tl2br w:val="nil"/>
                    <w:tr2bl w:val="nil"/>
                  </w:tcBorders>
                  <w:shd w:val="clear" w:color="auto" w:fill="auto"/>
                  <w:vAlign w:val="center"/>
                </w:tcPr>
                <w:p w14:paraId="1167AF2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498" w:type="dxa"/>
                  <w:vMerge w:val="continue"/>
                  <w:tcBorders>
                    <w:tl2br w:val="nil"/>
                    <w:tr2bl w:val="nil"/>
                  </w:tcBorders>
                  <w:vAlign w:val="center"/>
                </w:tcPr>
                <w:p w14:paraId="46DAF99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18CDE5FC">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280" w:hRule="atLeast"/>
                <w:jc w:val="center"/>
              </w:trPr>
              <w:tc>
                <w:tcPr>
                  <w:tcW w:w="290" w:type="dxa"/>
                  <w:tcBorders>
                    <w:tl2br w:val="nil"/>
                    <w:tr2bl w:val="nil"/>
                  </w:tcBorders>
                  <w:vAlign w:val="center"/>
                </w:tcPr>
                <w:p w14:paraId="016017B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7</w:t>
                  </w:r>
                </w:p>
              </w:tc>
              <w:tc>
                <w:tcPr>
                  <w:tcW w:w="1620" w:type="dxa"/>
                  <w:tcBorders>
                    <w:tl2br w:val="nil"/>
                    <w:tr2bl w:val="nil"/>
                  </w:tcBorders>
                  <w:vAlign w:val="center"/>
                </w:tcPr>
                <w:p w14:paraId="3B5D626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通风橱-3</w:t>
                  </w:r>
                </w:p>
              </w:tc>
              <w:tc>
                <w:tcPr>
                  <w:tcW w:w="554" w:type="dxa"/>
                  <w:tcBorders>
                    <w:tl2br w:val="nil"/>
                    <w:tr2bl w:val="nil"/>
                  </w:tcBorders>
                  <w:vAlign w:val="center"/>
                </w:tcPr>
                <w:p w14:paraId="2C6A7B9E">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822" w:type="dxa"/>
                  <w:tcBorders>
                    <w:tl2br w:val="nil"/>
                    <w:tr2bl w:val="nil"/>
                  </w:tcBorders>
                  <w:vAlign w:val="center"/>
                </w:tcPr>
                <w:p w14:paraId="540312BC">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683" w:type="dxa"/>
                  <w:vMerge w:val="continue"/>
                  <w:tcBorders>
                    <w:tl2br w:val="nil"/>
                    <w:tr2bl w:val="nil"/>
                  </w:tcBorders>
                  <w:vAlign w:val="center"/>
                </w:tcPr>
                <w:p w14:paraId="5A2ADEAE">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461" w:type="dxa"/>
                  <w:tcBorders>
                    <w:tl2br w:val="nil"/>
                    <w:tr2bl w:val="nil"/>
                  </w:tcBorders>
                  <w:shd w:val="clear" w:color="auto" w:fill="FFFFFF"/>
                  <w:vAlign w:val="center"/>
                </w:tcPr>
                <w:p w14:paraId="0F0E6760">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1.9</w:t>
                  </w:r>
                </w:p>
              </w:tc>
              <w:tc>
                <w:tcPr>
                  <w:tcW w:w="425" w:type="dxa"/>
                  <w:tcBorders>
                    <w:tl2br w:val="nil"/>
                    <w:tr2bl w:val="nil"/>
                  </w:tcBorders>
                  <w:shd w:val="clear" w:color="auto" w:fill="FFFFFF"/>
                  <w:vAlign w:val="center"/>
                </w:tcPr>
                <w:p w14:paraId="202B621F">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5.4</w:t>
                  </w:r>
                </w:p>
              </w:tc>
              <w:tc>
                <w:tcPr>
                  <w:tcW w:w="406" w:type="dxa"/>
                  <w:tcBorders>
                    <w:tl2br w:val="nil"/>
                    <w:tr2bl w:val="nil"/>
                  </w:tcBorders>
                  <w:shd w:val="clear" w:color="auto" w:fill="FFFFFF"/>
                  <w:vAlign w:val="center"/>
                </w:tcPr>
                <w:p w14:paraId="5100DD74">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13.7</w:t>
                  </w:r>
                </w:p>
              </w:tc>
              <w:tc>
                <w:tcPr>
                  <w:tcW w:w="895" w:type="dxa"/>
                  <w:tcBorders>
                    <w:tl2br w:val="nil"/>
                    <w:tr2bl w:val="nil"/>
                  </w:tcBorders>
                  <w:shd w:val="clear" w:color="auto" w:fill="auto"/>
                  <w:vAlign w:val="center"/>
                </w:tcPr>
                <w:p w14:paraId="16404D59">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982" w:type="dxa"/>
                  <w:tcBorders>
                    <w:tl2br w:val="nil"/>
                    <w:tr2bl w:val="nil"/>
                  </w:tcBorders>
                  <w:shd w:val="clear" w:color="auto" w:fill="auto"/>
                  <w:vAlign w:val="center"/>
                </w:tcPr>
                <w:p w14:paraId="7CBA72C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498" w:type="dxa"/>
                  <w:vMerge w:val="continue"/>
                  <w:tcBorders>
                    <w:tl2br w:val="nil"/>
                    <w:tr2bl w:val="nil"/>
                  </w:tcBorders>
                  <w:vAlign w:val="center"/>
                </w:tcPr>
                <w:p w14:paraId="3C641EA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75878274">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280" w:hRule="atLeast"/>
                <w:jc w:val="center"/>
              </w:trPr>
              <w:tc>
                <w:tcPr>
                  <w:tcW w:w="290" w:type="dxa"/>
                  <w:tcBorders>
                    <w:tl2br w:val="nil"/>
                    <w:tr2bl w:val="nil"/>
                  </w:tcBorders>
                  <w:vAlign w:val="center"/>
                </w:tcPr>
                <w:p w14:paraId="385A945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8</w:t>
                  </w:r>
                </w:p>
              </w:tc>
              <w:tc>
                <w:tcPr>
                  <w:tcW w:w="1620" w:type="dxa"/>
                  <w:tcBorders>
                    <w:tl2br w:val="nil"/>
                    <w:tr2bl w:val="nil"/>
                  </w:tcBorders>
                  <w:vAlign w:val="center"/>
                </w:tcPr>
                <w:p w14:paraId="7CE4088D">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通风橱-4</w:t>
                  </w:r>
                </w:p>
              </w:tc>
              <w:tc>
                <w:tcPr>
                  <w:tcW w:w="554" w:type="dxa"/>
                  <w:tcBorders>
                    <w:tl2br w:val="nil"/>
                    <w:tr2bl w:val="nil"/>
                  </w:tcBorders>
                  <w:vAlign w:val="center"/>
                </w:tcPr>
                <w:p w14:paraId="2C6457C3">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822" w:type="dxa"/>
                  <w:tcBorders>
                    <w:tl2br w:val="nil"/>
                    <w:tr2bl w:val="nil"/>
                  </w:tcBorders>
                  <w:vAlign w:val="center"/>
                </w:tcPr>
                <w:p w14:paraId="17980D4D">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683" w:type="dxa"/>
                  <w:vMerge w:val="continue"/>
                  <w:tcBorders>
                    <w:tl2br w:val="nil"/>
                    <w:tr2bl w:val="nil"/>
                  </w:tcBorders>
                  <w:vAlign w:val="center"/>
                </w:tcPr>
                <w:p w14:paraId="705DD9D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461" w:type="dxa"/>
                  <w:tcBorders>
                    <w:tl2br w:val="nil"/>
                    <w:tr2bl w:val="nil"/>
                  </w:tcBorders>
                  <w:shd w:val="clear" w:color="auto" w:fill="FFFFFF"/>
                  <w:vAlign w:val="center"/>
                </w:tcPr>
                <w:p w14:paraId="58BE90BB">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-1.2</w:t>
                  </w:r>
                </w:p>
              </w:tc>
              <w:tc>
                <w:tcPr>
                  <w:tcW w:w="425" w:type="dxa"/>
                  <w:tcBorders>
                    <w:tl2br w:val="nil"/>
                    <w:tr2bl w:val="nil"/>
                  </w:tcBorders>
                  <w:shd w:val="clear" w:color="auto" w:fill="FFFFFF"/>
                  <w:vAlign w:val="center"/>
                </w:tcPr>
                <w:p w14:paraId="0B71B244">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5.6</w:t>
                  </w:r>
                </w:p>
              </w:tc>
              <w:tc>
                <w:tcPr>
                  <w:tcW w:w="406" w:type="dxa"/>
                  <w:tcBorders>
                    <w:tl2br w:val="nil"/>
                    <w:tr2bl w:val="nil"/>
                  </w:tcBorders>
                  <w:shd w:val="clear" w:color="auto" w:fill="FFFFFF"/>
                  <w:vAlign w:val="center"/>
                </w:tcPr>
                <w:p w14:paraId="5CBC8A0B">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13.7</w:t>
                  </w:r>
                </w:p>
              </w:tc>
              <w:tc>
                <w:tcPr>
                  <w:tcW w:w="895" w:type="dxa"/>
                  <w:tcBorders>
                    <w:tl2br w:val="nil"/>
                    <w:tr2bl w:val="nil"/>
                  </w:tcBorders>
                  <w:shd w:val="clear" w:color="auto" w:fill="auto"/>
                  <w:vAlign w:val="center"/>
                </w:tcPr>
                <w:p w14:paraId="71CF5457">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982" w:type="dxa"/>
                  <w:tcBorders>
                    <w:tl2br w:val="nil"/>
                    <w:tr2bl w:val="nil"/>
                  </w:tcBorders>
                  <w:shd w:val="clear" w:color="auto" w:fill="auto"/>
                  <w:vAlign w:val="center"/>
                </w:tcPr>
                <w:p w14:paraId="3381EAD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498" w:type="dxa"/>
                  <w:vMerge w:val="continue"/>
                  <w:tcBorders>
                    <w:tl2br w:val="nil"/>
                    <w:tr2bl w:val="nil"/>
                  </w:tcBorders>
                  <w:vAlign w:val="center"/>
                </w:tcPr>
                <w:p w14:paraId="3FD8E240">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14D03D92">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280" w:hRule="atLeast"/>
                <w:jc w:val="center"/>
              </w:trPr>
              <w:tc>
                <w:tcPr>
                  <w:tcW w:w="290" w:type="dxa"/>
                  <w:tcBorders>
                    <w:tl2br w:val="nil"/>
                    <w:tr2bl w:val="nil"/>
                  </w:tcBorders>
                  <w:vAlign w:val="center"/>
                </w:tcPr>
                <w:p w14:paraId="3241889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9</w:t>
                  </w:r>
                </w:p>
              </w:tc>
              <w:tc>
                <w:tcPr>
                  <w:tcW w:w="1620" w:type="dxa"/>
                  <w:tcBorders>
                    <w:tl2br w:val="nil"/>
                    <w:tr2bl w:val="nil"/>
                  </w:tcBorders>
                  <w:vAlign w:val="center"/>
                </w:tcPr>
                <w:p w14:paraId="74A21B5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通风橱-5</w:t>
                  </w:r>
                </w:p>
              </w:tc>
              <w:tc>
                <w:tcPr>
                  <w:tcW w:w="554" w:type="dxa"/>
                  <w:tcBorders>
                    <w:tl2br w:val="nil"/>
                    <w:tr2bl w:val="nil"/>
                  </w:tcBorders>
                  <w:vAlign w:val="center"/>
                </w:tcPr>
                <w:p w14:paraId="18F94D75">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822" w:type="dxa"/>
                  <w:tcBorders>
                    <w:tl2br w:val="nil"/>
                    <w:tr2bl w:val="nil"/>
                  </w:tcBorders>
                  <w:vAlign w:val="center"/>
                </w:tcPr>
                <w:p w14:paraId="3284A8FB">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683" w:type="dxa"/>
                  <w:vMerge w:val="continue"/>
                  <w:tcBorders>
                    <w:tl2br w:val="nil"/>
                    <w:tr2bl w:val="nil"/>
                  </w:tcBorders>
                  <w:vAlign w:val="center"/>
                </w:tcPr>
                <w:p w14:paraId="091D8151">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461" w:type="dxa"/>
                  <w:tcBorders>
                    <w:tl2br w:val="nil"/>
                    <w:tr2bl w:val="nil"/>
                  </w:tcBorders>
                  <w:shd w:val="clear" w:color="auto" w:fill="FFFFFF"/>
                  <w:vAlign w:val="center"/>
                </w:tcPr>
                <w:p w14:paraId="761500E2">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-6.2</w:t>
                  </w:r>
                </w:p>
              </w:tc>
              <w:tc>
                <w:tcPr>
                  <w:tcW w:w="425" w:type="dxa"/>
                  <w:tcBorders>
                    <w:tl2br w:val="nil"/>
                    <w:tr2bl w:val="nil"/>
                  </w:tcBorders>
                  <w:shd w:val="clear" w:color="auto" w:fill="FFFFFF"/>
                  <w:vAlign w:val="center"/>
                </w:tcPr>
                <w:p w14:paraId="5B32012F">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5.7</w:t>
                  </w:r>
                </w:p>
              </w:tc>
              <w:tc>
                <w:tcPr>
                  <w:tcW w:w="406" w:type="dxa"/>
                  <w:tcBorders>
                    <w:tl2br w:val="nil"/>
                    <w:tr2bl w:val="nil"/>
                  </w:tcBorders>
                  <w:shd w:val="clear" w:color="auto" w:fill="FFFFFF"/>
                  <w:vAlign w:val="center"/>
                </w:tcPr>
                <w:p w14:paraId="3E5A4CE3">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13.7</w:t>
                  </w:r>
                </w:p>
              </w:tc>
              <w:tc>
                <w:tcPr>
                  <w:tcW w:w="895" w:type="dxa"/>
                  <w:tcBorders>
                    <w:tl2br w:val="nil"/>
                    <w:tr2bl w:val="nil"/>
                  </w:tcBorders>
                  <w:shd w:val="clear" w:color="auto" w:fill="auto"/>
                  <w:vAlign w:val="center"/>
                </w:tcPr>
                <w:p w14:paraId="5F1EBA65">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982" w:type="dxa"/>
                  <w:tcBorders>
                    <w:tl2br w:val="nil"/>
                    <w:tr2bl w:val="nil"/>
                  </w:tcBorders>
                  <w:shd w:val="clear" w:color="auto" w:fill="auto"/>
                  <w:vAlign w:val="center"/>
                </w:tcPr>
                <w:p w14:paraId="3824F6C5">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498" w:type="dxa"/>
                  <w:vMerge w:val="continue"/>
                  <w:tcBorders>
                    <w:tl2br w:val="nil"/>
                    <w:tr2bl w:val="nil"/>
                  </w:tcBorders>
                  <w:vAlign w:val="center"/>
                </w:tcPr>
                <w:p w14:paraId="3B4B3DB7">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5EED0513">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280" w:hRule="atLeast"/>
                <w:jc w:val="center"/>
              </w:trPr>
              <w:tc>
                <w:tcPr>
                  <w:tcW w:w="290" w:type="dxa"/>
                  <w:tcBorders>
                    <w:tl2br w:val="nil"/>
                    <w:tr2bl w:val="nil"/>
                  </w:tcBorders>
                  <w:vAlign w:val="center"/>
                </w:tcPr>
                <w:p w14:paraId="060C724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10</w:t>
                  </w:r>
                </w:p>
              </w:tc>
              <w:tc>
                <w:tcPr>
                  <w:tcW w:w="1620" w:type="dxa"/>
                  <w:tcBorders>
                    <w:tl2br w:val="nil"/>
                    <w:tr2bl w:val="nil"/>
                  </w:tcBorders>
                  <w:vAlign w:val="center"/>
                </w:tcPr>
                <w:p w14:paraId="28F9A14D">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通风橱-6</w:t>
                  </w:r>
                </w:p>
              </w:tc>
              <w:tc>
                <w:tcPr>
                  <w:tcW w:w="554" w:type="dxa"/>
                  <w:tcBorders>
                    <w:tl2br w:val="nil"/>
                    <w:tr2bl w:val="nil"/>
                  </w:tcBorders>
                  <w:vAlign w:val="center"/>
                </w:tcPr>
                <w:p w14:paraId="3AD2C7A9">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822" w:type="dxa"/>
                  <w:tcBorders>
                    <w:tl2br w:val="nil"/>
                    <w:tr2bl w:val="nil"/>
                  </w:tcBorders>
                  <w:vAlign w:val="center"/>
                </w:tcPr>
                <w:p w14:paraId="3FBDE42A">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683" w:type="dxa"/>
                  <w:vMerge w:val="continue"/>
                  <w:tcBorders>
                    <w:tl2br w:val="nil"/>
                    <w:tr2bl w:val="nil"/>
                  </w:tcBorders>
                  <w:vAlign w:val="center"/>
                </w:tcPr>
                <w:p w14:paraId="002B818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461" w:type="dxa"/>
                  <w:tcBorders>
                    <w:tl2br w:val="nil"/>
                    <w:tr2bl w:val="nil"/>
                  </w:tcBorders>
                  <w:shd w:val="clear" w:color="auto" w:fill="FFFFFF"/>
                  <w:vAlign w:val="center"/>
                </w:tcPr>
                <w:p w14:paraId="2C695A64">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-9.3</w:t>
                  </w:r>
                </w:p>
              </w:tc>
              <w:tc>
                <w:tcPr>
                  <w:tcW w:w="425" w:type="dxa"/>
                  <w:tcBorders>
                    <w:tl2br w:val="nil"/>
                    <w:tr2bl w:val="nil"/>
                  </w:tcBorders>
                  <w:shd w:val="clear" w:color="auto" w:fill="FFFFFF"/>
                  <w:vAlign w:val="center"/>
                </w:tcPr>
                <w:p w14:paraId="0123D1F3">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5.8</w:t>
                  </w:r>
                </w:p>
              </w:tc>
              <w:tc>
                <w:tcPr>
                  <w:tcW w:w="406" w:type="dxa"/>
                  <w:tcBorders>
                    <w:tl2br w:val="nil"/>
                    <w:tr2bl w:val="nil"/>
                  </w:tcBorders>
                  <w:shd w:val="clear" w:color="auto" w:fill="FFFFFF"/>
                  <w:vAlign w:val="center"/>
                </w:tcPr>
                <w:p w14:paraId="29C4F3FE">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13.7</w:t>
                  </w:r>
                </w:p>
              </w:tc>
              <w:tc>
                <w:tcPr>
                  <w:tcW w:w="895" w:type="dxa"/>
                  <w:tcBorders>
                    <w:tl2br w:val="nil"/>
                    <w:tr2bl w:val="nil"/>
                  </w:tcBorders>
                  <w:shd w:val="clear" w:color="auto" w:fill="auto"/>
                  <w:vAlign w:val="center"/>
                </w:tcPr>
                <w:p w14:paraId="1CF6709D">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982" w:type="dxa"/>
                  <w:tcBorders>
                    <w:tl2br w:val="nil"/>
                    <w:tr2bl w:val="nil"/>
                  </w:tcBorders>
                  <w:shd w:val="clear" w:color="auto" w:fill="auto"/>
                  <w:vAlign w:val="center"/>
                </w:tcPr>
                <w:p w14:paraId="21A2689C">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498" w:type="dxa"/>
                  <w:vMerge w:val="continue"/>
                  <w:tcBorders>
                    <w:tl2br w:val="nil"/>
                    <w:tr2bl w:val="nil"/>
                  </w:tcBorders>
                  <w:vAlign w:val="center"/>
                </w:tcPr>
                <w:p w14:paraId="2B70206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50543CB5">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484" w:hRule="atLeast"/>
                <w:jc w:val="center"/>
              </w:trPr>
              <w:tc>
                <w:tcPr>
                  <w:tcW w:w="290" w:type="dxa"/>
                  <w:tcBorders>
                    <w:tl2br w:val="nil"/>
                    <w:tr2bl w:val="nil"/>
                  </w:tcBorders>
                  <w:vAlign w:val="center"/>
                </w:tcPr>
                <w:p w14:paraId="04F97BE9">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11</w:t>
                  </w:r>
                </w:p>
              </w:tc>
              <w:tc>
                <w:tcPr>
                  <w:tcW w:w="1620" w:type="dxa"/>
                  <w:tcBorders>
                    <w:tl2br w:val="nil"/>
                    <w:tr2bl w:val="nil"/>
                  </w:tcBorders>
                  <w:vAlign w:val="center"/>
                </w:tcPr>
                <w:p w14:paraId="039694A8">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通风橱-7</w:t>
                  </w:r>
                </w:p>
              </w:tc>
              <w:tc>
                <w:tcPr>
                  <w:tcW w:w="554" w:type="dxa"/>
                  <w:tcBorders>
                    <w:tl2br w:val="nil"/>
                    <w:tr2bl w:val="nil"/>
                  </w:tcBorders>
                  <w:vAlign w:val="center"/>
                </w:tcPr>
                <w:p w14:paraId="5E90B22A">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822" w:type="dxa"/>
                  <w:tcBorders>
                    <w:tl2br w:val="nil"/>
                    <w:tr2bl w:val="nil"/>
                  </w:tcBorders>
                  <w:vAlign w:val="center"/>
                </w:tcPr>
                <w:p w14:paraId="460F1CB9">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683" w:type="dxa"/>
                  <w:vMerge w:val="continue"/>
                  <w:tcBorders>
                    <w:tl2br w:val="nil"/>
                    <w:tr2bl w:val="nil"/>
                  </w:tcBorders>
                  <w:vAlign w:val="center"/>
                </w:tcPr>
                <w:p w14:paraId="62DF4992">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461" w:type="dxa"/>
                  <w:tcBorders>
                    <w:tl2br w:val="nil"/>
                    <w:tr2bl w:val="nil"/>
                  </w:tcBorders>
                  <w:shd w:val="clear" w:color="auto" w:fill="FFFFFF"/>
                  <w:vAlign w:val="center"/>
                </w:tcPr>
                <w:p w14:paraId="15FAA60A">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11.9</w:t>
                  </w:r>
                </w:p>
              </w:tc>
              <w:tc>
                <w:tcPr>
                  <w:tcW w:w="425" w:type="dxa"/>
                  <w:tcBorders>
                    <w:tl2br w:val="nil"/>
                    <w:tr2bl w:val="nil"/>
                  </w:tcBorders>
                  <w:shd w:val="clear" w:color="auto" w:fill="FFFFFF"/>
                  <w:vAlign w:val="center"/>
                </w:tcPr>
                <w:p w14:paraId="39049D2F">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-6.1</w:t>
                  </w:r>
                </w:p>
              </w:tc>
              <w:tc>
                <w:tcPr>
                  <w:tcW w:w="406" w:type="dxa"/>
                  <w:tcBorders>
                    <w:tl2br w:val="nil"/>
                    <w:tr2bl w:val="nil"/>
                  </w:tcBorders>
                  <w:shd w:val="clear" w:color="auto" w:fill="FFFFFF"/>
                  <w:vAlign w:val="center"/>
                </w:tcPr>
                <w:p w14:paraId="78B3FF5A">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10.2</w:t>
                  </w:r>
                </w:p>
              </w:tc>
              <w:tc>
                <w:tcPr>
                  <w:tcW w:w="895" w:type="dxa"/>
                  <w:tcBorders>
                    <w:tl2br w:val="nil"/>
                    <w:tr2bl w:val="nil"/>
                  </w:tcBorders>
                  <w:shd w:val="clear" w:color="auto" w:fill="auto"/>
                  <w:vAlign w:val="center"/>
                </w:tcPr>
                <w:p w14:paraId="17F292BE">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982" w:type="dxa"/>
                  <w:tcBorders>
                    <w:tl2br w:val="nil"/>
                    <w:tr2bl w:val="nil"/>
                  </w:tcBorders>
                  <w:shd w:val="clear" w:color="auto" w:fill="auto"/>
                  <w:vAlign w:val="center"/>
                </w:tcPr>
                <w:p w14:paraId="6EA8546F">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498" w:type="dxa"/>
                  <w:vMerge w:val="continue"/>
                  <w:tcBorders>
                    <w:tl2br w:val="nil"/>
                    <w:tr2bl w:val="nil"/>
                  </w:tcBorders>
                  <w:vAlign w:val="center"/>
                </w:tcPr>
                <w:p w14:paraId="7E41BAB2">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6BE2D687">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489" w:hRule="atLeast"/>
                <w:jc w:val="center"/>
              </w:trPr>
              <w:tc>
                <w:tcPr>
                  <w:tcW w:w="290" w:type="dxa"/>
                  <w:tcBorders>
                    <w:tl2br w:val="nil"/>
                    <w:tr2bl w:val="nil"/>
                  </w:tcBorders>
                  <w:vAlign w:val="center"/>
                </w:tcPr>
                <w:p w14:paraId="054CB43D">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12</w:t>
                  </w:r>
                </w:p>
              </w:tc>
              <w:tc>
                <w:tcPr>
                  <w:tcW w:w="1620" w:type="dxa"/>
                  <w:tcBorders>
                    <w:tl2br w:val="nil"/>
                    <w:tr2bl w:val="nil"/>
                  </w:tcBorders>
                  <w:vAlign w:val="center"/>
                </w:tcPr>
                <w:p w14:paraId="673AE3A2">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通风橱-8</w:t>
                  </w:r>
                </w:p>
              </w:tc>
              <w:tc>
                <w:tcPr>
                  <w:tcW w:w="554" w:type="dxa"/>
                  <w:tcBorders>
                    <w:tl2br w:val="nil"/>
                    <w:tr2bl w:val="nil"/>
                  </w:tcBorders>
                  <w:vAlign w:val="center"/>
                </w:tcPr>
                <w:p w14:paraId="765F3437">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cs="Times New Roman"/>
                      <w:b w:val="0"/>
                      <w:bCs w:val="0"/>
                      <w:color w:val="0000FF"/>
                      <w:szCs w:val="21"/>
                      <w:highlight w:val="none"/>
                      <w:lang w:val="en-US" w:eastAsia="zh-CN"/>
                    </w:rPr>
                    <w:t>1</w:t>
                  </w:r>
                </w:p>
              </w:tc>
              <w:tc>
                <w:tcPr>
                  <w:tcW w:w="822" w:type="dxa"/>
                  <w:tcBorders>
                    <w:tl2br w:val="nil"/>
                    <w:tr2bl w:val="nil"/>
                  </w:tcBorders>
                  <w:vAlign w:val="center"/>
                </w:tcPr>
                <w:p w14:paraId="3E283D1A">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65</w:t>
                  </w:r>
                </w:p>
              </w:tc>
              <w:tc>
                <w:tcPr>
                  <w:tcW w:w="683" w:type="dxa"/>
                  <w:vMerge w:val="continue"/>
                  <w:tcBorders>
                    <w:tl2br w:val="nil"/>
                    <w:tr2bl w:val="nil"/>
                  </w:tcBorders>
                  <w:vAlign w:val="center"/>
                </w:tcPr>
                <w:p w14:paraId="077CD263">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c>
                <w:tcPr>
                  <w:tcW w:w="461" w:type="dxa"/>
                  <w:tcBorders>
                    <w:tl2br w:val="nil"/>
                    <w:tr2bl w:val="nil"/>
                  </w:tcBorders>
                  <w:shd w:val="clear" w:color="auto" w:fill="FFFFFF"/>
                  <w:vAlign w:val="center"/>
                </w:tcPr>
                <w:p w14:paraId="201020EC">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-11.6</w:t>
                  </w:r>
                </w:p>
              </w:tc>
              <w:tc>
                <w:tcPr>
                  <w:tcW w:w="425" w:type="dxa"/>
                  <w:tcBorders>
                    <w:tl2br w:val="nil"/>
                    <w:tr2bl w:val="nil"/>
                  </w:tcBorders>
                  <w:shd w:val="clear" w:color="auto" w:fill="FFFFFF"/>
                  <w:vAlign w:val="center"/>
                </w:tcPr>
                <w:p w14:paraId="2497EAFE">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-5.9</w:t>
                  </w:r>
                </w:p>
              </w:tc>
              <w:tc>
                <w:tcPr>
                  <w:tcW w:w="406" w:type="dxa"/>
                  <w:tcBorders>
                    <w:tl2br w:val="nil"/>
                    <w:tr2bl w:val="nil"/>
                  </w:tcBorders>
                  <w:shd w:val="clear" w:color="auto" w:fill="FFFFFF"/>
                  <w:vAlign w:val="center"/>
                </w:tcPr>
                <w:p w14:paraId="4C519E46">
                  <w:pPr>
                    <w:kinsoku w:val="0"/>
                    <w:overflowPunct w:val="0"/>
                    <w:autoSpaceDE w:val="0"/>
                    <w:autoSpaceDN w:val="0"/>
                    <w:adjustRightInd w:val="0"/>
                    <w:snapToGrid w:val="0"/>
                    <w:jc w:val="center"/>
                    <w:rPr>
                      <w:rFonts w:hint="default" w:ascii="Times New Roman" w:hAnsi="Times New Roman" w:eastAsia="宋体" w:cs="Times New Roman"/>
                      <w:b w:val="0"/>
                      <w:bCs w:val="0"/>
                      <w:color w:val="0000FF"/>
                      <w:szCs w:val="21"/>
                      <w:highlight w:val="none"/>
                      <w:lang w:val="en-US" w:eastAsia="zh-CN"/>
                    </w:rPr>
                  </w:pPr>
                  <w:r>
                    <w:rPr>
                      <w:rFonts w:hint="eastAsia" w:ascii="Times New Roman" w:hAnsi="Times New Roman" w:eastAsia="宋体" w:cs="Times New Roman"/>
                      <w:b w:val="0"/>
                      <w:bCs w:val="0"/>
                      <w:color w:val="0000FF"/>
                      <w:szCs w:val="21"/>
                      <w:highlight w:val="none"/>
                      <w:lang w:val="en-US" w:eastAsia="zh-CN"/>
                    </w:rPr>
                    <w:t>10.2</w:t>
                  </w:r>
                </w:p>
              </w:tc>
              <w:tc>
                <w:tcPr>
                  <w:tcW w:w="895" w:type="dxa"/>
                  <w:tcBorders>
                    <w:tl2br w:val="nil"/>
                    <w:tr2bl w:val="nil"/>
                  </w:tcBorders>
                  <w:shd w:val="clear" w:color="auto" w:fill="auto"/>
                  <w:vAlign w:val="center"/>
                </w:tcPr>
                <w:p w14:paraId="61C5D75E">
                  <w:pPr>
                    <w:kinsoku w:val="0"/>
                    <w:overflowPunct w:val="0"/>
                    <w:autoSpaceDE w:val="0"/>
                    <w:autoSpaceDN w:val="0"/>
                    <w:adjustRightInd w:val="0"/>
                    <w:snapToGrid w:val="0"/>
                    <w:jc w:val="center"/>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c>
                <w:tcPr>
                  <w:tcW w:w="982" w:type="dxa"/>
                  <w:tcBorders>
                    <w:tl2br w:val="nil"/>
                    <w:tr2bl w:val="nil"/>
                  </w:tcBorders>
                  <w:shd w:val="clear" w:color="auto" w:fill="auto"/>
                  <w:vAlign w:val="center"/>
                </w:tcPr>
                <w:p w14:paraId="2DAD2D60">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w:t>
                  </w:r>
                </w:p>
              </w:tc>
              <w:tc>
                <w:tcPr>
                  <w:tcW w:w="498" w:type="dxa"/>
                  <w:vMerge w:val="continue"/>
                  <w:tcBorders>
                    <w:tl2br w:val="nil"/>
                    <w:tr2bl w:val="nil"/>
                  </w:tcBorders>
                  <w:vAlign w:val="center"/>
                </w:tcPr>
                <w:p w14:paraId="125AD194">
                  <w:pPr>
                    <w:kinsoku w:val="0"/>
                    <w:overflowPunct w:val="0"/>
                    <w:autoSpaceDE w:val="0"/>
                    <w:autoSpaceDN w:val="0"/>
                    <w:adjustRightInd w:val="0"/>
                    <w:snapToGrid w:val="0"/>
                    <w:jc w:val="center"/>
                    <w:rPr>
                      <w:rFonts w:hint="default" w:ascii="Times New Roman" w:hAnsi="Times New Roman" w:eastAsia="宋体" w:cs="Times New Roman"/>
                      <w:b w:val="0"/>
                      <w:bCs w:val="0"/>
                      <w:color w:val="auto"/>
                      <w:szCs w:val="21"/>
                      <w:highlight w:val="none"/>
                      <w:lang w:val="en-US" w:eastAsia="zh-CN"/>
                    </w:rPr>
                  </w:pPr>
                </w:p>
              </w:tc>
            </w:tr>
            <w:tr w14:paraId="516639E0">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cantSplit/>
                <w:trHeight w:val="590" w:hRule="atLeast"/>
                <w:jc w:val="center"/>
              </w:trPr>
              <w:tc>
                <w:tcPr>
                  <w:tcW w:w="7636" w:type="dxa"/>
                  <w:gridSpan w:val="11"/>
                  <w:tcBorders>
                    <w:tl2br w:val="nil"/>
                    <w:tr2bl w:val="nil"/>
                  </w:tcBorders>
                  <w:vAlign w:val="center"/>
                </w:tcPr>
                <w:p w14:paraId="1B3B7C96">
                  <w:pPr>
                    <w:kinsoku w:val="0"/>
                    <w:overflowPunct w:val="0"/>
                    <w:autoSpaceDE w:val="0"/>
                    <w:autoSpaceDN w:val="0"/>
                    <w:adjustRightInd w:val="0"/>
                    <w:snapToGrid w:val="0"/>
                    <w:jc w:val="left"/>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color w:val="auto"/>
                      <w:sz w:val="21"/>
                      <w:szCs w:val="21"/>
                      <w:lang w:val="en-US" w:eastAsia="zh-CN"/>
                    </w:rPr>
                    <w:t>表中坐标以厂界中心（</w:t>
                  </w:r>
                  <w:bookmarkStart w:id="0" w:name="PO_7"/>
                  <w:r>
                    <w:rPr>
                      <w:rFonts w:hint="default" w:ascii="Times New Roman" w:hAnsi="Times New Roman" w:cs="Times New Roman" w:eastAsiaTheme="minorEastAsia"/>
                      <w:b w:val="0"/>
                      <w:bCs/>
                      <w:sz w:val="21"/>
                      <w:szCs w:val="21"/>
                      <w:lang w:val="en-US" w:eastAsia="zh-CN"/>
                    </w:rPr>
                    <w:t>116.552467</w:t>
                  </w:r>
                  <w:r>
                    <w:rPr>
                      <w:rFonts w:hint="eastAsia" w:ascii="Times New Roman" w:hAnsi="Times New Roman" w:cs="Times New Roman" w:eastAsiaTheme="minorEastAsia"/>
                      <w:b w:val="0"/>
                      <w:bCs/>
                      <w:sz w:val="21"/>
                      <w:szCs w:val="21"/>
                      <w:lang w:val="en-US" w:eastAsia="zh-CN"/>
                    </w:rPr>
                    <w:t>，</w:t>
                  </w:r>
                  <w:r>
                    <w:rPr>
                      <w:rFonts w:hint="default" w:ascii="Times New Roman" w:hAnsi="Times New Roman" w:cs="Times New Roman" w:eastAsiaTheme="minorEastAsia"/>
                      <w:b w:val="0"/>
                      <w:bCs/>
                      <w:sz w:val="21"/>
                      <w:szCs w:val="21"/>
                      <w:lang w:val="en-US" w:eastAsia="zh-CN"/>
                    </w:rPr>
                    <w:t>39.730022</w:t>
                  </w:r>
                  <w:bookmarkEnd w:id="0"/>
                  <w:r>
                    <w:rPr>
                      <w:rFonts w:hint="default" w:ascii="Times New Roman" w:hAnsi="Times New Roman" w:eastAsia="宋体" w:cs="Times New Roman"/>
                      <w:b w:val="0"/>
                      <w:bCs/>
                      <w:color w:val="auto"/>
                      <w:sz w:val="21"/>
                      <w:szCs w:val="21"/>
                      <w:lang w:val="en-US" w:eastAsia="zh-CN"/>
                    </w:rPr>
                    <w:t>）为坐标原点，正东向为X轴正方向，正北向为Y轴正方向。</w:t>
                  </w:r>
                </w:p>
              </w:tc>
            </w:tr>
          </w:tbl>
          <w:p w14:paraId="35ABE134">
            <w:pPr>
              <w:adjustRightInd w:val="0"/>
              <w:spacing w:line="360" w:lineRule="auto"/>
              <w:ind w:firstLine="480" w:firstLineChars="200"/>
              <w:rPr>
                <w:rFonts w:hint="default" w:ascii="Times New Roman" w:hAnsi="Times New Roman" w:eastAsia="宋体" w:cs="Times New Roman"/>
                <w:snapToGrid w:val="0"/>
                <w:color w:val="auto"/>
                <w:kern w:val="0"/>
                <w:sz w:val="24"/>
                <w:highlight w:val="none"/>
                <w:lang w:val="en-US" w:eastAsia="zh-CN"/>
              </w:rPr>
            </w:pPr>
            <w:r>
              <w:rPr>
                <w:rFonts w:hint="default"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lang w:val="en-US" w:eastAsia="zh-CN"/>
              </w:rPr>
              <w:t>2</w:t>
            </w:r>
            <w:r>
              <w:rPr>
                <w:rFonts w:hint="default" w:ascii="Times New Roman" w:hAnsi="Times New Roman" w:eastAsia="宋体" w:cs="Times New Roman"/>
                <w:snapToGrid w:val="0"/>
                <w:color w:val="auto"/>
                <w:kern w:val="0"/>
                <w:sz w:val="24"/>
                <w:highlight w:val="none"/>
                <w:lang w:eastAsia="zh-CN"/>
              </w:rPr>
              <w:t>）</w:t>
            </w:r>
            <w:r>
              <w:rPr>
                <w:rFonts w:hint="default" w:ascii="Times New Roman" w:hAnsi="Times New Roman" w:eastAsia="宋体" w:cs="Times New Roman"/>
                <w:snapToGrid w:val="0"/>
                <w:color w:val="auto"/>
                <w:kern w:val="0"/>
                <w:sz w:val="24"/>
                <w:highlight w:val="none"/>
                <w:lang w:val="en-US" w:eastAsia="zh-CN"/>
              </w:rPr>
              <w:t>噪声影响分析</w:t>
            </w:r>
          </w:p>
          <w:p w14:paraId="6243DB5B">
            <w:pPr>
              <w:adjustRightInd w:val="0"/>
              <w:spacing w:line="360" w:lineRule="auto"/>
              <w:ind w:firstLine="480" w:firstLineChars="200"/>
              <w:rPr>
                <w:rFonts w:hint="default" w:ascii="Times New Roman" w:hAnsi="Times New Roman" w:eastAsia="宋体" w:cs="Times New Roman"/>
                <w:snapToGrid w:val="0"/>
                <w:color w:val="auto"/>
                <w:kern w:val="0"/>
                <w:sz w:val="24"/>
                <w:highlight w:val="none"/>
              </w:rPr>
            </w:pPr>
            <w:r>
              <w:rPr>
                <w:rFonts w:hint="default" w:ascii="Times New Roman" w:hAnsi="Times New Roman" w:eastAsia="宋体" w:cs="Times New Roman"/>
                <w:snapToGrid w:val="0"/>
                <w:color w:val="auto"/>
                <w:kern w:val="0"/>
                <w:sz w:val="24"/>
                <w:highlight w:val="none"/>
              </w:rPr>
              <w:t>根据《环境影响评价技术导则 声环境》（HJ 2.4—2021）推荐的方法，把上述声源当作点声源处理，等效点声源位置在声源本身的中心，对项目噪声环境影响进行预测：</w:t>
            </w:r>
          </w:p>
          <w:p w14:paraId="50C116CB">
            <w:pPr>
              <w:numPr>
                <w:ilvl w:val="0"/>
                <w:numId w:val="34"/>
              </w:numPr>
              <w:adjustRightInd w:val="0"/>
              <w:spacing w:line="360" w:lineRule="auto"/>
              <w:ind w:left="0" w:leftChars="0"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highlight w:val="none"/>
              </w:rPr>
              <w:t>点声源几何发散在预测点（厂界处）产生的A声级的计算：</w:t>
            </w:r>
          </w:p>
          <w:p w14:paraId="00D67B2F">
            <w:pPr>
              <w:adjustRightInd w:val="0"/>
              <w:spacing w:line="360" w:lineRule="auto"/>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27" o:spt="75" type="#_x0000_t75" style="height:18.15pt;width:163.4pt;" o:ole="t" filled="f" coordsize="21600,21600">
                  <v:path/>
                  <v:fill on="f" focussize="0,0"/>
                  <v:stroke/>
                  <v:imagedata r:id="rId28" o:title=""/>
                  <o:lock v:ext="edit" aspectratio="t"/>
                  <w10:wrap type="none"/>
                  <w10:anchorlock/>
                </v:shape>
                <o:OLEObject Type="Embed" ProgID="Equation.3" ShapeID="_x0000_i1027" DrawAspect="Content" ObjectID="_1468075727" r:id="rId27">
                  <o:LockedField>false</o:LockedField>
                </o:OLEObject>
              </w:object>
            </w:r>
          </w:p>
          <w:p w14:paraId="43A140DC">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p>
          <w:p w14:paraId="1A695CE9">
            <w:pPr>
              <w:adjustRightInd w:val="0"/>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w:t>
            </w:r>
            <w:r>
              <w:rPr>
                <w:rFonts w:hint="default" w:ascii="Times New Roman" w:hAnsi="Times New Roman" w:eastAsia="宋体" w:cs="Times New Roman"/>
                <w:color w:val="auto"/>
                <w:sz w:val="24"/>
                <w:highlight w:val="none"/>
              </w:rPr>
              <w:t>(r)—距声源r处（厂界处）的A声级，dB(A)；</w:t>
            </w:r>
          </w:p>
          <w:p w14:paraId="582FE280">
            <w:pPr>
              <w:adjustRightInd w:val="0"/>
              <w:spacing w:line="360" w:lineRule="auto"/>
              <w:ind w:firstLine="1200" w:firstLineChars="500"/>
              <w:outlineLvl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处（声源）的A声级，dB(A)；</w:t>
            </w:r>
          </w:p>
          <w:p w14:paraId="15728138">
            <w:pPr>
              <w:adjustRightInd w:val="0"/>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bar</w:t>
            </w:r>
            <w:r>
              <w:rPr>
                <w:rFonts w:hint="default" w:ascii="Times New Roman" w:hAnsi="Times New Roman" w:eastAsia="宋体" w:cs="Times New Roman"/>
                <w:color w:val="auto"/>
                <w:sz w:val="24"/>
                <w:highlight w:val="none"/>
              </w:rPr>
              <w:t>—声屏障引起的倍频带衰减（建筑隔声），dB；</w:t>
            </w:r>
          </w:p>
          <w:p w14:paraId="196E5292">
            <w:pPr>
              <w:numPr>
                <w:ilvl w:val="0"/>
                <w:numId w:val="34"/>
              </w:numPr>
              <w:adjustRightInd w:val="0"/>
              <w:spacing w:line="360" w:lineRule="auto"/>
              <w:ind w:left="0" w:leftChars="0"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噪声叠加公式</w:t>
            </w:r>
          </w:p>
          <w:p w14:paraId="295E8BE0">
            <w:pPr>
              <w:adjustRightIn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对于多点源存在时，某个评价点的噪声贡献，可用下式计算：</w:t>
            </w:r>
          </w:p>
          <w:p w14:paraId="2A122995">
            <w:pPr>
              <w:adjustRightInd w:val="0"/>
              <w:spacing w:line="360" w:lineRule="auto"/>
              <w:ind w:firstLine="2520" w:firstLineChars="105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Lp=10Lg（10</w:t>
            </w:r>
            <w:r>
              <w:rPr>
                <w:rFonts w:hint="default" w:ascii="Times New Roman" w:hAnsi="Times New Roman" w:eastAsia="宋体" w:cs="Times New Roman"/>
                <w:bCs/>
                <w:color w:val="auto"/>
                <w:sz w:val="24"/>
                <w:highlight w:val="none"/>
                <w:vertAlign w:val="superscript"/>
              </w:rPr>
              <w:t>Lp1/10</w:t>
            </w:r>
            <w:r>
              <w:rPr>
                <w:rFonts w:hint="default" w:ascii="Times New Roman" w:hAnsi="Times New Roman" w:eastAsia="宋体" w:cs="Times New Roman"/>
                <w:bCs/>
                <w:color w:val="auto"/>
                <w:sz w:val="24"/>
                <w:highlight w:val="none"/>
              </w:rPr>
              <w:t>+10</w:t>
            </w:r>
            <w:r>
              <w:rPr>
                <w:rFonts w:hint="default" w:ascii="Times New Roman" w:hAnsi="Times New Roman" w:eastAsia="宋体" w:cs="Times New Roman"/>
                <w:bCs/>
                <w:color w:val="auto"/>
                <w:sz w:val="24"/>
                <w:highlight w:val="none"/>
                <w:vertAlign w:val="superscript"/>
              </w:rPr>
              <w:t>Lp2/10</w:t>
            </w:r>
            <w:r>
              <w:rPr>
                <w:rFonts w:hint="default" w:ascii="Times New Roman" w:hAnsi="Times New Roman" w:eastAsia="宋体" w:cs="Times New Roman"/>
                <w:bCs/>
                <w:color w:val="auto"/>
                <w:sz w:val="24"/>
                <w:highlight w:val="none"/>
              </w:rPr>
              <w:t>+…）</w:t>
            </w:r>
          </w:p>
          <w:p w14:paraId="2CE70F62">
            <w:pPr>
              <w:adjustRightInd w:val="0"/>
              <w:ind w:firstLine="480" w:firstLineChars="200"/>
              <w:outlineLvl w:val="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式中：L——总等效声级；</w:t>
            </w:r>
          </w:p>
          <w:p w14:paraId="47D7EE04">
            <w:pPr>
              <w:adjustRightInd w:val="0"/>
              <w:spacing w:line="360" w:lineRule="auto"/>
              <w:ind w:firstLine="1200" w:firstLineChars="5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L1，L2…，Ln——分别为n个噪声的等效声级。</w:t>
            </w:r>
          </w:p>
          <w:p w14:paraId="0618ABA6">
            <w:pPr>
              <w:numPr>
                <w:ilvl w:val="0"/>
                <w:numId w:val="34"/>
              </w:numPr>
              <w:adjustRightInd w:val="0"/>
              <w:spacing w:line="360" w:lineRule="auto"/>
              <w:ind w:left="0" w:leftChars="0"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室内声源可采用等效室外声源声功率级法进行计算。设靠近门口处（或窗户）室内、室外的声压级分别为L</w:t>
            </w:r>
            <w:r>
              <w:rPr>
                <w:rFonts w:hint="default" w:ascii="Times New Roman" w:hAnsi="Times New Roman" w:eastAsia="宋体" w:cs="Times New Roman"/>
                <w:bCs/>
                <w:i/>
                <w:iCs/>
                <w:snapToGrid w:val="0"/>
                <w:color w:val="auto"/>
                <w:kern w:val="0"/>
                <w:sz w:val="24"/>
                <w:highlight w:val="none"/>
                <w:vertAlign w:val="subscript"/>
              </w:rPr>
              <w:t>p1</w:t>
            </w:r>
            <w:r>
              <w:rPr>
                <w:rFonts w:hint="default" w:ascii="Times New Roman" w:hAnsi="Times New Roman" w:eastAsia="宋体" w:cs="Times New Roman"/>
                <w:bCs/>
                <w:snapToGrid w:val="0"/>
                <w:color w:val="auto"/>
                <w:kern w:val="0"/>
                <w:sz w:val="24"/>
                <w:highlight w:val="none"/>
              </w:rPr>
              <w:t>和L</w:t>
            </w:r>
            <w:r>
              <w:rPr>
                <w:rFonts w:hint="default" w:ascii="Times New Roman" w:hAnsi="Times New Roman" w:eastAsia="宋体" w:cs="Times New Roman"/>
                <w:bCs/>
                <w:i/>
                <w:iCs/>
                <w:snapToGrid w:val="0"/>
                <w:color w:val="auto"/>
                <w:kern w:val="0"/>
                <w:sz w:val="24"/>
                <w:highlight w:val="none"/>
                <w:vertAlign w:val="subscript"/>
              </w:rPr>
              <w:t>p2</w:t>
            </w:r>
            <w:r>
              <w:rPr>
                <w:rFonts w:hint="default" w:ascii="Times New Roman" w:hAnsi="Times New Roman" w:eastAsia="宋体" w:cs="Times New Roman"/>
                <w:bCs/>
                <w:snapToGrid w:val="0"/>
                <w:color w:val="auto"/>
                <w:kern w:val="0"/>
                <w:sz w:val="24"/>
                <w:highlight w:val="none"/>
              </w:rPr>
              <w:t>。若声源所在室内声场为近似扩散声场，则室外的声压级可按下式近似求出：</w:t>
            </w:r>
          </w:p>
          <w:p w14:paraId="35977EC8">
            <w:pPr>
              <w:adjustRightInd w:val="0"/>
              <w:spacing w:line="360" w:lineRule="auto"/>
              <w:ind w:firstLine="480" w:firstLineChars="200"/>
              <w:jc w:val="center"/>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p2</w:t>
            </w: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p1</w:t>
            </w:r>
            <w:r>
              <w:rPr>
                <w:rFonts w:hint="default" w:ascii="Times New Roman" w:hAnsi="Times New Roman" w:eastAsia="宋体" w:cs="Times New Roman"/>
                <w:bCs/>
                <w:snapToGrid w:val="0"/>
                <w:color w:val="auto"/>
                <w:kern w:val="0"/>
                <w:sz w:val="24"/>
                <w:highlight w:val="none"/>
              </w:rPr>
              <w:t>-(TL+6)</w:t>
            </w:r>
          </w:p>
          <w:p w14:paraId="0B8AE84E">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式中：TL——围护结构的隔声量，dB(A)，根据《民用建筑隔声设计规范》（GB50118-2010）表 8.2.1，办公室与普通房间之间的隔墙、楼板隔声标准最低为 45dB。本项目保守考虑，工业厂房建筑隔声按照20dB计。</w:t>
            </w:r>
          </w:p>
          <w:p w14:paraId="7EF9E164">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计算某一室内声源靠近围护结构处产生的倍频带声压级：</w:t>
            </w:r>
          </w:p>
          <w:p w14:paraId="54B98A65">
            <w:pPr>
              <w:adjustRightInd w:val="0"/>
              <w:spacing w:line="360" w:lineRule="auto"/>
              <w:ind w:firstLine="42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color w:val="auto"/>
                <w:highlight w:val="none"/>
              </w:rPr>
              <w:drawing>
                <wp:anchor distT="0" distB="0" distL="114300" distR="114300" simplePos="0" relativeHeight="251663360" behindDoc="0" locked="0" layoutInCell="1" allowOverlap="1">
                  <wp:simplePos x="0" y="0"/>
                  <wp:positionH relativeFrom="column">
                    <wp:posOffset>1477645</wp:posOffset>
                  </wp:positionH>
                  <wp:positionV relativeFrom="paragraph">
                    <wp:posOffset>10160</wp:posOffset>
                  </wp:positionV>
                  <wp:extent cx="1887220" cy="457200"/>
                  <wp:effectExtent l="0" t="0" r="2540" b="0"/>
                  <wp:wrapTopAndBottom/>
                  <wp:docPr id="1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
                          <pic:cNvPicPr>
                            <a:picLocks noChangeAspect="1"/>
                          </pic:cNvPicPr>
                        </pic:nvPicPr>
                        <pic:blipFill>
                          <a:blip r:embed="rId29"/>
                          <a:stretch>
                            <a:fillRect/>
                          </a:stretch>
                        </pic:blipFill>
                        <pic:spPr>
                          <a:xfrm>
                            <a:off x="0" y="0"/>
                            <a:ext cx="1887220" cy="457200"/>
                          </a:xfrm>
                          <a:prstGeom prst="rect">
                            <a:avLst/>
                          </a:prstGeom>
                          <a:noFill/>
                          <a:ln>
                            <a:noFill/>
                          </a:ln>
                        </pic:spPr>
                      </pic:pic>
                    </a:graphicData>
                  </a:graphic>
                </wp:anchor>
              </w:drawing>
            </w:r>
            <w:r>
              <w:rPr>
                <w:rFonts w:hint="default" w:ascii="Times New Roman" w:hAnsi="Times New Roman" w:eastAsia="宋体" w:cs="Times New Roman"/>
                <w:bCs/>
                <w:snapToGrid w:val="0"/>
                <w:color w:val="auto"/>
                <w:kern w:val="0"/>
                <w:sz w:val="24"/>
                <w:highlight w:val="none"/>
              </w:rPr>
              <w:t>式中：L</w:t>
            </w:r>
            <w:r>
              <w:rPr>
                <w:rFonts w:hint="default" w:ascii="Times New Roman" w:hAnsi="Times New Roman" w:eastAsia="宋体" w:cs="Times New Roman"/>
                <w:bCs/>
                <w:i/>
                <w:iCs/>
                <w:snapToGrid w:val="0"/>
                <w:color w:val="auto"/>
                <w:kern w:val="0"/>
                <w:sz w:val="24"/>
                <w:highlight w:val="none"/>
                <w:vertAlign w:val="subscript"/>
              </w:rPr>
              <w:t>p1</w:t>
            </w:r>
            <w:r>
              <w:rPr>
                <w:rFonts w:hint="default" w:ascii="Times New Roman" w:hAnsi="Times New Roman" w:eastAsia="宋体" w:cs="Times New Roman"/>
                <w:bCs/>
                <w:snapToGrid w:val="0"/>
                <w:color w:val="auto"/>
                <w:kern w:val="0"/>
                <w:sz w:val="24"/>
                <w:highlight w:val="none"/>
              </w:rPr>
              <w:t>——靠近开口处（或窗户）室内某倍频带的声压级或A声级，dB；</w:t>
            </w:r>
          </w:p>
          <w:p w14:paraId="058DCBE5">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W</w:t>
            </w:r>
            <w:r>
              <w:rPr>
                <w:rFonts w:hint="default" w:ascii="Times New Roman" w:hAnsi="Times New Roman" w:eastAsia="宋体" w:cs="Times New Roman"/>
                <w:bCs/>
                <w:snapToGrid w:val="0"/>
                <w:color w:val="auto"/>
                <w:kern w:val="0"/>
                <w:sz w:val="24"/>
                <w:highlight w:val="none"/>
              </w:rPr>
              <w:t>——点声源声功率级（A 计权或倍频带），dB；</w:t>
            </w:r>
          </w:p>
          <w:p w14:paraId="4F53B466">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Q——指向性因数；通常对无指向性声源，当声源放在房间中心时，Q=1；</w:t>
            </w:r>
          </w:p>
          <w:p w14:paraId="765D1830">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当放在一面墙的中心时，Q=2；当放在两面墙夹角处时，Q=4；当放在三面墙夹角处时，Q=8；</w:t>
            </w:r>
          </w:p>
          <w:p w14:paraId="3EE67ECA">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R——房间常数；R=S/(1-α)，S 为房间内表面面积，m</w:t>
            </w:r>
            <w:r>
              <w:rPr>
                <w:rFonts w:hint="default" w:ascii="Times New Roman" w:hAnsi="Times New Roman" w:eastAsia="宋体" w:cs="Times New Roman"/>
                <w:bCs/>
                <w:snapToGrid w:val="0"/>
                <w:color w:val="auto"/>
                <w:kern w:val="0"/>
                <w:sz w:val="24"/>
                <w:highlight w:val="none"/>
                <w:vertAlign w:val="superscript"/>
              </w:rPr>
              <w:t>2</w:t>
            </w:r>
            <w:r>
              <w:rPr>
                <w:rFonts w:hint="default" w:ascii="Times New Roman" w:hAnsi="Times New Roman" w:eastAsia="宋体" w:cs="Times New Roman"/>
                <w:bCs/>
                <w:snapToGrid w:val="0"/>
                <w:color w:val="auto"/>
                <w:kern w:val="0"/>
                <w:sz w:val="24"/>
                <w:highlight w:val="none"/>
              </w:rPr>
              <w:t>；α为平均吸声系数；</w:t>
            </w:r>
          </w:p>
          <w:p w14:paraId="37658CB4">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r——声源到靠近围护结构某点处的距离，m。</w:t>
            </w:r>
          </w:p>
          <w:p w14:paraId="558AF215">
            <w:pPr>
              <w:numPr>
                <w:ilvl w:val="0"/>
                <w:numId w:val="34"/>
              </w:numPr>
              <w:adjustRightInd w:val="0"/>
              <w:spacing w:line="360" w:lineRule="auto"/>
              <w:ind w:left="0" w:leftChars="0"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建设项目声源在预测点产生的等效声级贡献值计算公式：</w:t>
            </w:r>
          </w:p>
          <w:p w14:paraId="7925B7D1">
            <w:pPr>
              <w:adjustRightInd w:val="0"/>
              <w:spacing w:line="360" w:lineRule="auto"/>
              <w:ind w:firstLine="420" w:firstLineChars="200"/>
              <w:jc w:val="center"/>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color w:val="auto"/>
                <w:highlight w:val="none"/>
              </w:rPr>
              <w:drawing>
                <wp:inline distT="0" distB="0" distL="114300" distR="114300">
                  <wp:extent cx="2581275" cy="600075"/>
                  <wp:effectExtent l="0" t="0" r="9525" b="9525"/>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30"/>
                          <a:stretch>
                            <a:fillRect/>
                          </a:stretch>
                        </pic:blipFill>
                        <pic:spPr>
                          <a:xfrm>
                            <a:off x="0" y="0"/>
                            <a:ext cx="2581275" cy="600075"/>
                          </a:xfrm>
                          <a:prstGeom prst="rect">
                            <a:avLst/>
                          </a:prstGeom>
                          <a:noFill/>
                          <a:ln>
                            <a:noFill/>
                          </a:ln>
                        </pic:spPr>
                      </pic:pic>
                    </a:graphicData>
                  </a:graphic>
                </wp:inline>
              </w:drawing>
            </w:r>
          </w:p>
          <w:p w14:paraId="55A7E794">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式中：L</w:t>
            </w:r>
            <w:r>
              <w:rPr>
                <w:rFonts w:hint="default" w:ascii="Times New Roman" w:hAnsi="Times New Roman" w:eastAsia="宋体" w:cs="Times New Roman"/>
                <w:bCs/>
                <w:i/>
                <w:iCs/>
                <w:snapToGrid w:val="0"/>
                <w:color w:val="auto"/>
                <w:kern w:val="0"/>
                <w:sz w:val="24"/>
                <w:highlight w:val="none"/>
                <w:vertAlign w:val="subscript"/>
              </w:rPr>
              <w:t>eqg</w:t>
            </w:r>
            <w:r>
              <w:rPr>
                <w:rFonts w:hint="default" w:ascii="Times New Roman" w:hAnsi="Times New Roman" w:eastAsia="宋体" w:cs="Times New Roman"/>
                <w:bCs/>
                <w:snapToGrid w:val="0"/>
                <w:color w:val="auto"/>
                <w:kern w:val="0"/>
                <w:sz w:val="24"/>
                <w:highlight w:val="none"/>
              </w:rPr>
              <w:t>—建设项目声源在预测点的等效声级贡献值，dB(A)；</w:t>
            </w:r>
          </w:p>
          <w:p w14:paraId="707AD75D">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L</w:t>
            </w:r>
            <w:r>
              <w:rPr>
                <w:rFonts w:hint="default" w:ascii="Times New Roman" w:hAnsi="Times New Roman" w:eastAsia="宋体" w:cs="Times New Roman"/>
                <w:bCs/>
                <w:i/>
                <w:iCs/>
                <w:snapToGrid w:val="0"/>
                <w:color w:val="auto"/>
                <w:kern w:val="0"/>
                <w:sz w:val="24"/>
                <w:highlight w:val="none"/>
                <w:vertAlign w:val="subscript"/>
              </w:rPr>
              <w:t>Ai</w:t>
            </w:r>
            <w:r>
              <w:rPr>
                <w:rFonts w:hint="default" w:ascii="Times New Roman" w:hAnsi="Times New Roman" w:eastAsia="宋体" w:cs="Times New Roman"/>
                <w:bCs/>
                <w:snapToGrid w:val="0"/>
                <w:color w:val="auto"/>
                <w:kern w:val="0"/>
                <w:sz w:val="24"/>
                <w:highlight w:val="none"/>
              </w:rPr>
              <w:t>—i声源在预测点产生的A声级，dB(A)；</w:t>
            </w:r>
          </w:p>
          <w:p w14:paraId="20DE033F">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T—预测计算的时间段，s；</w:t>
            </w:r>
          </w:p>
          <w:p w14:paraId="0F90EA02">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t</w:t>
            </w:r>
            <w:r>
              <w:rPr>
                <w:rFonts w:hint="default" w:ascii="Times New Roman" w:hAnsi="Times New Roman" w:eastAsia="宋体" w:cs="Times New Roman"/>
                <w:bCs/>
                <w:i/>
                <w:iCs/>
                <w:snapToGrid w:val="0"/>
                <w:color w:val="auto"/>
                <w:kern w:val="0"/>
                <w:sz w:val="24"/>
                <w:highlight w:val="none"/>
                <w:vertAlign w:val="subscript"/>
              </w:rPr>
              <w:t>i</w:t>
            </w:r>
            <w:r>
              <w:rPr>
                <w:rFonts w:hint="default" w:ascii="Times New Roman" w:hAnsi="Times New Roman" w:eastAsia="宋体" w:cs="Times New Roman"/>
                <w:bCs/>
                <w:snapToGrid w:val="0"/>
                <w:color w:val="auto"/>
                <w:kern w:val="0"/>
                <w:sz w:val="24"/>
                <w:highlight w:val="none"/>
              </w:rPr>
              <w:t>—i声源在T时段内的运行时间，s。</w:t>
            </w:r>
          </w:p>
          <w:p w14:paraId="33CD920A">
            <w:p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本项目噪声预测值详见下表。</w:t>
            </w:r>
          </w:p>
          <w:p w14:paraId="2A62F14F">
            <w:pPr>
              <w:numPr>
                <w:ilvl w:val="0"/>
                <w:numId w:val="32"/>
              </w:numPr>
              <w:adjustRightInd w:val="0"/>
              <w:spacing w:line="360" w:lineRule="auto"/>
              <w:ind w:left="425" w:leftChars="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 xml:space="preserve"> 建设项目厂界噪声预测结果一览表   单位：dB(A)</w:t>
            </w:r>
          </w:p>
          <w:tbl>
            <w:tblPr>
              <w:tblStyle w:val="23"/>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1426"/>
              <w:gridCol w:w="1596"/>
              <w:gridCol w:w="1743"/>
              <w:gridCol w:w="1417"/>
            </w:tblGrid>
            <w:tr w14:paraId="7075F1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exact"/>
                <w:jc w:val="center"/>
              </w:trPr>
              <w:tc>
                <w:tcPr>
                  <w:tcW w:w="1235" w:type="dxa"/>
                  <w:tcBorders>
                    <w:tl2br w:val="nil"/>
                    <w:tr2bl w:val="nil"/>
                  </w:tcBorders>
                  <w:vAlign w:val="center"/>
                </w:tcPr>
                <w:p w14:paraId="74D011E6">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预测方位</w:t>
                  </w:r>
                </w:p>
              </w:tc>
              <w:tc>
                <w:tcPr>
                  <w:tcW w:w="1426" w:type="dxa"/>
                  <w:tcBorders>
                    <w:tl2br w:val="nil"/>
                    <w:tr2bl w:val="nil"/>
                  </w:tcBorders>
                  <w:vAlign w:val="center"/>
                </w:tcPr>
                <w:p w14:paraId="052E84BE">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时段</w:t>
                  </w:r>
                </w:p>
              </w:tc>
              <w:tc>
                <w:tcPr>
                  <w:tcW w:w="1596" w:type="dxa"/>
                  <w:tcBorders>
                    <w:tl2br w:val="nil"/>
                    <w:tr2bl w:val="nil"/>
                  </w:tcBorders>
                  <w:vAlign w:val="center"/>
                </w:tcPr>
                <w:p w14:paraId="6D4C0CB4">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贡献值dB(A)</w:t>
                  </w:r>
                </w:p>
              </w:tc>
              <w:tc>
                <w:tcPr>
                  <w:tcW w:w="1743" w:type="dxa"/>
                  <w:tcBorders>
                    <w:tl2br w:val="nil"/>
                    <w:tr2bl w:val="nil"/>
                  </w:tcBorders>
                  <w:vAlign w:val="center"/>
                </w:tcPr>
                <w:p w14:paraId="62EA0190">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标准限值dB(A)</w:t>
                  </w:r>
                </w:p>
              </w:tc>
              <w:tc>
                <w:tcPr>
                  <w:tcW w:w="1417" w:type="dxa"/>
                  <w:tcBorders>
                    <w:tl2br w:val="nil"/>
                    <w:tr2bl w:val="nil"/>
                  </w:tcBorders>
                  <w:vAlign w:val="center"/>
                </w:tcPr>
                <w:p w14:paraId="60C7F9F8">
                  <w:pPr>
                    <w:numPr>
                      <w:ilvl w:val="0"/>
                      <w:numId w:val="0"/>
                    </w:numPr>
                    <w:adjustRightInd w:val="0"/>
                    <w:snapToGrid w:val="0"/>
                    <w:spacing w:line="240" w:lineRule="auto"/>
                    <w:jc w:val="center"/>
                    <w:rPr>
                      <w:rFonts w:hint="default" w:ascii="Times New Roman" w:hAnsi="Times New Roman" w:eastAsia="宋体" w:cs="Times New Roman"/>
                      <w:b/>
                      <w:bCs/>
                      <w:color w:val="auto"/>
                      <w:sz w:val="21"/>
                      <w:szCs w:val="21"/>
                      <w:highlight w:val="none"/>
                      <w:vertAlign w:val="baseline"/>
                      <w:lang w:val="zh-CN"/>
                    </w:rPr>
                  </w:pPr>
                  <w:r>
                    <w:rPr>
                      <w:rFonts w:hint="default" w:ascii="Times New Roman" w:hAnsi="Times New Roman" w:eastAsia="宋体" w:cs="Times New Roman"/>
                      <w:b/>
                      <w:bCs/>
                      <w:color w:val="auto"/>
                      <w:sz w:val="21"/>
                      <w:szCs w:val="21"/>
                      <w:highlight w:val="none"/>
                      <w:vertAlign w:val="baseline"/>
                      <w:lang w:val="zh-CN"/>
                    </w:rPr>
                    <w:t>达标情况</w:t>
                  </w:r>
                </w:p>
              </w:tc>
            </w:tr>
            <w:tr w14:paraId="6F41F0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235" w:type="dxa"/>
                  <w:tcBorders>
                    <w:tl2br w:val="nil"/>
                    <w:tr2bl w:val="nil"/>
                  </w:tcBorders>
                  <w:shd w:val="clear" w:color="auto" w:fill="FFFFFF"/>
                  <w:vAlign w:val="center"/>
                </w:tcPr>
                <w:p w14:paraId="3157730F">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东侧</w:t>
                  </w:r>
                </w:p>
              </w:tc>
              <w:tc>
                <w:tcPr>
                  <w:tcW w:w="1426" w:type="dxa"/>
                  <w:tcBorders>
                    <w:tl2br w:val="nil"/>
                    <w:tr2bl w:val="nil"/>
                  </w:tcBorders>
                  <w:shd w:val="clear" w:color="auto" w:fill="FFFFFF"/>
                  <w:vAlign w:val="center"/>
                </w:tcPr>
                <w:p w14:paraId="10FF420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596" w:type="dxa"/>
                  <w:tcBorders>
                    <w:tl2br w:val="nil"/>
                    <w:tr2bl w:val="nil"/>
                  </w:tcBorders>
                  <w:shd w:val="clear" w:color="auto" w:fill="FFFFFF"/>
                  <w:vAlign w:val="center"/>
                </w:tcPr>
                <w:p w14:paraId="6B2989B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49.6</w:t>
                  </w:r>
                </w:p>
              </w:tc>
              <w:tc>
                <w:tcPr>
                  <w:tcW w:w="1743" w:type="dxa"/>
                  <w:tcBorders>
                    <w:tl2br w:val="nil"/>
                    <w:tr2bl w:val="nil"/>
                  </w:tcBorders>
                  <w:shd w:val="clear" w:color="auto" w:fill="FFFFFF"/>
                  <w:vAlign w:val="center"/>
                </w:tcPr>
                <w:p w14:paraId="3B808726">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417" w:type="dxa"/>
                  <w:tcBorders>
                    <w:tl2br w:val="nil"/>
                    <w:tr2bl w:val="nil"/>
                  </w:tcBorders>
                  <w:shd w:val="clear" w:color="auto" w:fill="FFFFFF"/>
                  <w:vAlign w:val="center"/>
                </w:tcPr>
                <w:p w14:paraId="729AA505">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36B14F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235" w:type="dxa"/>
                  <w:tcBorders>
                    <w:tl2br w:val="nil"/>
                    <w:tr2bl w:val="nil"/>
                  </w:tcBorders>
                  <w:shd w:val="clear" w:color="auto" w:fill="FFFFFF"/>
                  <w:vAlign w:val="center"/>
                </w:tcPr>
                <w:p w14:paraId="7D54358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南侧</w:t>
                  </w:r>
                </w:p>
              </w:tc>
              <w:tc>
                <w:tcPr>
                  <w:tcW w:w="1426" w:type="dxa"/>
                  <w:tcBorders>
                    <w:tl2br w:val="nil"/>
                    <w:tr2bl w:val="nil"/>
                  </w:tcBorders>
                  <w:shd w:val="clear" w:color="auto" w:fill="FFFFFF"/>
                  <w:vAlign w:val="center"/>
                </w:tcPr>
                <w:p w14:paraId="33C88728">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596" w:type="dxa"/>
                  <w:tcBorders>
                    <w:tl2br w:val="nil"/>
                    <w:tr2bl w:val="nil"/>
                  </w:tcBorders>
                  <w:shd w:val="clear" w:color="auto" w:fill="FFFFFF"/>
                  <w:vAlign w:val="center"/>
                </w:tcPr>
                <w:p w14:paraId="2CB9008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53.7</w:t>
                  </w:r>
                </w:p>
              </w:tc>
              <w:tc>
                <w:tcPr>
                  <w:tcW w:w="1743" w:type="dxa"/>
                  <w:tcBorders>
                    <w:tl2br w:val="nil"/>
                    <w:tr2bl w:val="nil"/>
                  </w:tcBorders>
                  <w:shd w:val="clear" w:color="auto" w:fill="FFFFFF"/>
                  <w:vAlign w:val="center"/>
                </w:tcPr>
                <w:p w14:paraId="1E3EF8B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417" w:type="dxa"/>
                  <w:tcBorders>
                    <w:tl2br w:val="nil"/>
                    <w:tr2bl w:val="nil"/>
                  </w:tcBorders>
                  <w:shd w:val="clear" w:color="auto" w:fill="FFFFFF"/>
                  <w:vAlign w:val="center"/>
                </w:tcPr>
                <w:p w14:paraId="0D72FEA3">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166339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235" w:type="dxa"/>
                  <w:tcBorders>
                    <w:tl2br w:val="nil"/>
                    <w:tr2bl w:val="nil"/>
                  </w:tcBorders>
                  <w:shd w:val="clear" w:color="auto" w:fill="FFFFFF"/>
                  <w:vAlign w:val="center"/>
                </w:tcPr>
                <w:p w14:paraId="7E3A2969">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西侧</w:t>
                  </w:r>
                </w:p>
              </w:tc>
              <w:tc>
                <w:tcPr>
                  <w:tcW w:w="1426" w:type="dxa"/>
                  <w:tcBorders>
                    <w:tl2br w:val="nil"/>
                    <w:tr2bl w:val="nil"/>
                  </w:tcBorders>
                  <w:shd w:val="clear" w:color="auto" w:fill="FFFFFF"/>
                  <w:vAlign w:val="center"/>
                </w:tcPr>
                <w:p w14:paraId="2EBBE0A4">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596" w:type="dxa"/>
                  <w:tcBorders>
                    <w:tl2br w:val="nil"/>
                    <w:tr2bl w:val="nil"/>
                  </w:tcBorders>
                  <w:shd w:val="clear" w:color="auto" w:fill="FFFFFF"/>
                  <w:vAlign w:val="center"/>
                </w:tcPr>
                <w:p w14:paraId="261D0622">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58.4</w:t>
                  </w:r>
                </w:p>
              </w:tc>
              <w:tc>
                <w:tcPr>
                  <w:tcW w:w="1743" w:type="dxa"/>
                  <w:tcBorders>
                    <w:tl2br w:val="nil"/>
                    <w:tr2bl w:val="nil"/>
                  </w:tcBorders>
                  <w:shd w:val="clear" w:color="auto" w:fill="FFFFFF"/>
                  <w:vAlign w:val="center"/>
                </w:tcPr>
                <w:p w14:paraId="7BBBAA6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417" w:type="dxa"/>
                  <w:tcBorders>
                    <w:tl2br w:val="nil"/>
                    <w:tr2bl w:val="nil"/>
                  </w:tcBorders>
                  <w:shd w:val="clear" w:color="auto" w:fill="FFFFFF"/>
                  <w:vAlign w:val="center"/>
                </w:tcPr>
                <w:p w14:paraId="5517B04E">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r w14:paraId="59C536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12" w:hRule="exact"/>
                <w:jc w:val="center"/>
              </w:trPr>
              <w:tc>
                <w:tcPr>
                  <w:tcW w:w="1235" w:type="dxa"/>
                  <w:tcBorders>
                    <w:tl2br w:val="nil"/>
                    <w:tr2bl w:val="nil"/>
                  </w:tcBorders>
                  <w:shd w:val="clear" w:color="auto" w:fill="FFFFFF"/>
                  <w:vAlign w:val="center"/>
                </w:tcPr>
                <w:p w14:paraId="56A5CB3A">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北侧</w:t>
                  </w:r>
                </w:p>
              </w:tc>
              <w:tc>
                <w:tcPr>
                  <w:tcW w:w="1426" w:type="dxa"/>
                  <w:tcBorders>
                    <w:tl2br w:val="nil"/>
                    <w:tr2bl w:val="nil"/>
                  </w:tcBorders>
                  <w:shd w:val="clear" w:color="auto" w:fill="FFFFFF"/>
                  <w:vAlign w:val="center"/>
                </w:tcPr>
                <w:p w14:paraId="28CB2A9C">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昼间</w:t>
                  </w:r>
                </w:p>
              </w:tc>
              <w:tc>
                <w:tcPr>
                  <w:tcW w:w="1596" w:type="dxa"/>
                  <w:tcBorders>
                    <w:tl2br w:val="nil"/>
                    <w:tr2bl w:val="nil"/>
                  </w:tcBorders>
                  <w:shd w:val="clear" w:color="auto" w:fill="FFFFFF"/>
                  <w:vAlign w:val="center"/>
                </w:tcPr>
                <w:p w14:paraId="68D7CDCB">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52.2</w:t>
                  </w:r>
                </w:p>
              </w:tc>
              <w:tc>
                <w:tcPr>
                  <w:tcW w:w="1743" w:type="dxa"/>
                  <w:tcBorders>
                    <w:tl2br w:val="nil"/>
                    <w:tr2bl w:val="nil"/>
                  </w:tcBorders>
                  <w:shd w:val="clear" w:color="auto" w:fill="FFFFFF"/>
                  <w:vAlign w:val="center"/>
                </w:tcPr>
                <w:p w14:paraId="7499B61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65</w:t>
                  </w:r>
                </w:p>
              </w:tc>
              <w:tc>
                <w:tcPr>
                  <w:tcW w:w="1417" w:type="dxa"/>
                  <w:tcBorders>
                    <w:tl2br w:val="nil"/>
                    <w:tr2bl w:val="nil"/>
                  </w:tcBorders>
                  <w:shd w:val="clear" w:color="auto" w:fill="FFFFFF"/>
                  <w:vAlign w:val="center"/>
                </w:tcPr>
                <w:p w14:paraId="4A486620">
                  <w:pPr>
                    <w:numPr>
                      <w:ilvl w:val="0"/>
                      <w:numId w:val="0"/>
                    </w:numPr>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达标</w:t>
                  </w:r>
                </w:p>
              </w:tc>
            </w:tr>
          </w:tbl>
          <w:p w14:paraId="132F0E28">
            <w:pPr>
              <w:adjustRightInd w:val="0"/>
              <w:spacing w:before="120" w:beforeLines="5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32"/>
                <w:highlight w:val="none"/>
              </w:rPr>
              <w:t>由上分析可以看出，本项目噪声源经隔声、设备基础减振等措施后，厂界</w:t>
            </w:r>
            <w:r>
              <w:rPr>
                <w:rFonts w:hint="eastAsia" w:cs="Times New Roman"/>
                <w:color w:val="auto"/>
                <w:sz w:val="24"/>
                <w:szCs w:val="32"/>
                <w:highlight w:val="none"/>
                <w:lang w:val="en-US" w:eastAsia="zh-CN"/>
              </w:rPr>
              <w:t>贡献值</w:t>
            </w:r>
            <w:r>
              <w:rPr>
                <w:rFonts w:hint="default" w:ascii="Times New Roman" w:hAnsi="Times New Roman" w:eastAsia="宋体" w:cs="Times New Roman"/>
                <w:color w:val="auto"/>
                <w:sz w:val="24"/>
                <w:szCs w:val="32"/>
                <w:highlight w:val="none"/>
              </w:rPr>
              <w:t>符合《工业企业厂界环境噪声排放标准》（GB12348－2008）中3类标准的限值要求</w:t>
            </w:r>
            <w:r>
              <w:rPr>
                <w:rFonts w:hint="default" w:ascii="Times New Roman" w:hAnsi="Times New Roman" w:eastAsia="宋体" w:cs="Times New Roman"/>
                <w:color w:val="auto"/>
                <w:sz w:val="24"/>
                <w:highlight w:val="none"/>
              </w:rPr>
              <w:t>。</w:t>
            </w:r>
          </w:p>
          <w:p w14:paraId="67BDD1D4">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噪声监测计划</w:t>
            </w:r>
          </w:p>
          <w:p w14:paraId="36989B06">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本项目噪声监测计划详见下表。</w:t>
            </w:r>
          </w:p>
          <w:p w14:paraId="6EFE4AE9">
            <w:pPr>
              <w:numPr>
                <w:ilvl w:val="0"/>
                <w:numId w:val="32"/>
              </w:numPr>
              <w:adjustRightInd w:val="0"/>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项目噪声监测计划</w:t>
            </w:r>
          </w:p>
          <w:tbl>
            <w:tblPr>
              <w:tblStyle w:val="23"/>
              <w:tblW w:w="7573" w:type="dxa"/>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307"/>
              <w:gridCol w:w="1983"/>
              <w:gridCol w:w="1645"/>
              <w:gridCol w:w="1537"/>
            </w:tblGrid>
            <w:tr w14:paraId="516614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402" w:hRule="atLeast"/>
              </w:trPr>
              <w:tc>
                <w:tcPr>
                  <w:tcW w:w="726" w:type="pct"/>
                  <w:tcBorders>
                    <w:tl2br w:val="nil"/>
                    <w:tr2bl w:val="nil"/>
                  </w:tcBorders>
                  <w:vAlign w:val="center"/>
                </w:tcPr>
                <w:p w14:paraId="727F2BB9">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时段</w:t>
                  </w:r>
                </w:p>
              </w:tc>
              <w:tc>
                <w:tcPr>
                  <w:tcW w:w="862" w:type="pct"/>
                  <w:tcBorders>
                    <w:tl2br w:val="nil"/>
                    <w:tr2bl w:val="nil"/>
                  </w:tcBorders>
                  <w:vAlign w:val="center"/>
                </w:tcPr>
                <w:p w14:paraId="357627AF">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监测内容</w:t>
                  </w:r>
                </w:p>
              </w:tc>
              <w:tc>
                <w:tcPr>
                  <w:tcW w:w="1309" w:type="pct"/>
                  <w:tcBorders>
                    <w:tl2br w:val="nil"/>
                    <w:tr2bl w:val="nil"/>
                  </w:tcBorders>
                  <w:vAlign w:val="center"/>
                </w:tcPr>
                <w:p w14:paraId="5711824D">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监测指标</w:t>
                  </w:r>
                </w:p>
              </w:tc>
              <w:tc>
                <w:tcPr>
                  <w:tcW w:w="1086" w:type="pct"/>
                  <w:tcBorders>
                    <w:tl2br w:val="nil"/>
                    <w:tr2bl w:val="nil"/>
                  </w:tcBorders>
                  <w:vAlign w:val="center"/>
                </w:tcPr>
                <w:p w14:paraId="3FC3B824">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1014" w:type="pct"/>
                  <w:tcBorders>
                    <w:tl2br w:val="nil"/>
                    <w:tr2bl w:val="nil"/>
                  </w:tcBorders>
                  <w:vAlign w:val="center"/>
                </w:tcPr>
                <w:p w14:paraId="593FA6D4">
                  <w:pPr>
                    <w:adjustRightIn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监测频次</w:t>
                  </w:r>
                </w:p>
              </w:tc>
            </w:tr>
            <w:tr w14:paraId="583923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26" w:type="pct"/>
                  <w:tcBorders>
                    <w:tl2br w:val="nil"/>
                    <w:tr2bl w:val="nil"/>
                  </w:tcBorders>
                  <w:vAlign w:val="center"/>
                </w:tcPr>
                <w:p w14:paraId="020972A1">
                  <w:pPr>
                    <w:widowControl/>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运营期</w:t>
                  </w:r>
                </w:p>
                <w:p w14:paraId="2320A077">
                  <w:pPr>
                    <w:widowControl/>
                    <w:jc w:val="center"/>
                    <w:rPr>
                      <w:rFonts w:hint="eastAsia"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eastAsia="zh-CN"/>
                    </w:rPr>
                    <w:t>（</w:t>
                  </w:r>
                  <w:r>
                    <w:rPr>
                      <w:rFonts w:hint="eastAsia" w:cs="Times New Roman"/>
                      <w:bCs/>
                      <w:color w:val="auto"/>
                      <w:szCs w:val="21"/>
                      <w:highlight w:val="none"/>
                      <w:lang w:val="en-US" w:eastAsia="zh-CN"/>
                    </w:rPr>
                    <w:t>昼间</w:t>
                  </w:r>
                  <w:r>
                    <w:rPr>
                      <w:rFonts w:hint="eastAsia" w:cs="Times New Roman"/>
                      <w:bCs/>
                      <w:color w:val="auto"/>
                      <w:szCs w:val="21"/>
                      <w:highlight w:val="none"/>
                      <w:lang w:eastAsia="zh-CN"/>
                    </w:rPr>
                    <w:t>）</w:t>
                  </w:r>
                </w:p>
              </w:tc>
              <w:tc>
                <w:tcPr>
                  <w:tcW w:w="862" w:type="pct"/>
                  <w:tcBorders>
                    <w:tl2br w:val="nil"/>
                    <w:tr2bl w:val="nil"/>
                  </w:tcBorders>
                  <w:vAlign w:val="center"/>
                </w:tcPr>
                <w:p w14:paraId="4AB7D5F9">
                  <w:pPr>
                    <w:adjustRightIn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噪声</w:t>
                  </w:r>
                </w:p>
              </w:tc>
              <w:tc>
                <w:tcPr>
                  <w:tcW w:w="1309" w:type="pct"/>
                  <w:tcBorders>
                    <w:tl2br w:val="nil"/>
                    <w:tr2bl w:val="nil"/>
                  </w:tcBorders>
                  <w:vAlign w:val="center"/>
                </w:tcPr>
                <w:p w14:paraId="07D5E5CE">
                  <w:pPr>
                    <w:adjustRightIn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等效连续A声级</w:t>
                  </w:r>
                </w:p>
              </w:tc>
              <w:tc>
                <w:tcPr>
                  <w:tcW w:w="1086" w:type="pct"/>
                  <w:tcBorders>
                    <w:tl2br w:val="nil"/>
                    <w:tr2bl w:val="nil"/>
                  </w:tcBorders>
                  <w:vAlign w:val="center"/>
                </w:tcPr>
                <w:p w14:paraId="23E8717B">
                  <w:pPr>
                    <w:adjustRightInd w:val="0"/>
                    <w:jc w:val="center"/>
                    <w:rPr>
                      <w:rFonts w:hint="default"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lang w:val="en-US" w:eastAsia="zh-CN"/>
                    </w:rPr>
                    <w:t>厂界四周各</w:t>
                  </w:r>
                  <w:r>
                    <w:rPr>
                      <w:rFonts w:hint="default" w:ascii="Times New Roman" w:hAnsi="Times New Roman" w:eastAsia="宋体" w:cs="Times New Roman"/>
                      <w:bCs/>
                      <w:color w:val="auto"/>
                      <w:szCs w:val="21"/>
                      <w:highlight w:val="none"/>
                      <w:lang w:val="en-US" w:eastAsia="zh-CN"/>
                    </w:rPr>
                    <w:t>1</w:t>
                  </w:r>
                  <w:r>
                    <w:rPr>
                      <w:rFonts w:hint="eastAsia" w:ascii="Times New Roman" w:hAnsi="Times New Roman" w:eastAsia="宋体" w:cs="Times New Roman"/>
                      <w:bCs/>
                      <w:color w:val="auto"/>
                      <w:szCs w:val="21"/>
                      <w:highlight w:val="none"/>
                      <w:lang w:val="en-US" w:eastAsia="zh-CN"/>
                    </w:rPr>
                    <w:t>个点位（共</w:t>
                  </w:r>
                  <w:r>
                    <w:rPr>
                      <w:rFonts w:hint="default" w:ascii="Times New Roman" w:hAnsi="Times New Roman" w:eastAsia="宋体" w:cs="Times New Roman"/>
                      <w:bCs/>
                      <w:color w:val="auto"/>
                      <w:szCs w:val="21"/>
                      <w:highlight w:val="none"/>
                      <w:lang w:val="en-US" w:eastAsia="zh-CN"/>
                    </w:rPr>
                    <w:t>4</w:t>
                  </w:r>
                  <w:r>
                    <w:rPr>
                      <w:rFonts w:hint="eastAsia" w:ascii="Times New Roman" w:hAnsi="Times New Roman" w:eastAsia="宋体" w:cs="Times New Roman"/>
                      <w:bCs/>
                      <w:color w:val="auto"/>
                      <w:szCs w:val="21"/>
                      <w:highlight w:val="none"/>
                      <w:lang w:val="en-US" w:eastAsia="zh-CN"/>
                    </w:rPr>
                    <w:t>点）</w:t>
                  </w:r>
                </w:p>
              </w:tc>
              <w:tc>
                <w:tcPr>
                  <w:tcW w:w="1014" w:type="pct"/>
                  <w:tcBorders>
                    <w:tl2br w:val="nil"/>
                    <w:tr2bl w:val="nil"/>
                  </w:tcBorders>
                  <w:vAlign w:val="center"/>
                </w:tcPr>
                <w:p w14:paraId="3EA4E497">
                  <w:pPr>
                    <w:adjustRightIn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每季度1次</w:t>
                  </w:r>
                </w:p>
              </w:tc>
            </w:tr>
          </w:tbl>
          <w:p w14:paraId="1599F3EE">
            <w:pPr>
              <w:adjustRightInd w:val="0"/>
              <w:snapToGrid w:val="0"/>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bCs/>
                <w:color w:val="auto"/>
                <w:spacing w:val="-10"/>
                <w:szCs w:val="21"/>
                <w:highlight w:val="none"/>
              </w:rPr>
              <w:t>（注：</w:t>
            </w:r>
            <w:r>
              <w:rPr>
                <w:rFonts w:hint="default" w:ascii="Times New Roman" w:hAnsi="Times New Roman" w:eastAsia="宋体" w:cs="Times New Roman"/>
                <w:bCs/>
                <w:color w:val="auto"/>
                <w:szCs w:val="21"/>
                <w:highlight w:val="none"/>
              </w:rPr>
              <w:t>噪声监测计划参照《</w:t>
            </w:r>
            <w:r>
              <w:rPr>
                <w:rFonts w:hint="default" w:ascii="Times New Roman" w:hAnsi="Times New Roman" w:eastAsia="宋体" w:cs="Times New Roman"/>
                <w:bCs/>
                <w:color w:val="auto"/>
                <w:szCs w:val="21"/>
                <w:highlight w:val="none"/>
                <w:lang w:val="ru-RU"/>
              </w:rPr>
              <w:t>排污单位自行监测技术指南 总则</w:t>
            </w:r>
            <w:r>
              <w:rPr>
                <w:rFonts w:hint="default" w:ascii="Times New Roman" w:hAnsi="Times New Roman" w:eastAsia="宋体" w:cs="Times New Roman"/>
                <w:bCs/>
                <w:color w:val="auto"/>
                <w:szCs w:val="21"/>
                <w:highlight w:val="none"/>
              </w:rPr>
              <w:t>》（HJ819-2017）</w:t>
            </w:r>
            <w:r>
              <w:rPr>
                <w:rFonts w:hint="default" w:ascii="Times New Roman" w:hAnsi="Times New Roman" w:eastAsia="宋体" w:cs="Times New Roman"/>
                <w:bCs/>
                <w:color w:val="auto"/>
                <w:spacing w:val="-10"/>
                <w:szCs w:val="21"/>
                <w:highlight w:val="none"/>
              </w:rPr>
              <w:t>）</w:t>
            </w:r>
          </w:p>
          <w:p w14:paraId="1D0BF2E6">
            <w:pPr>
              <w:adjustRightInd w:val="0"/>
              <w:snapToGrid w:val="0"/>
              <w:rPr>
                <w:rFonts w:hint="default" w:ascii="Times New Roman" w:hAnsi="Times New Roman" w:eastAsia="宋体" w:cs="Times New Roman"/>
                <w:bCs/>
                <w:color w:val="auto"/>
                <w:spacing w:val="-10"/>
                <w:szCs w:val="21"/>
                <w:highlight w:val="none"/>
              </w:rPr>
            </w:pPr>
          </w:p>
          <w:p w14:paraId="57BB748F">
            <w:pPr>
              <w:numPr>
                <w:ilvl w:val="0"/>
                <w:numId w:val="30"/>
              </w:numPr>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固体废物</w:t>
            </w:r>
            <w:r>
              <w:rPr>
                <w:rFonts w:hint="default" w:ascii="Times New Roman" w:hAnsi="Times New Roman" w:eastAsia="宋体" w:cs="Times New Roman"/>
                <w:b/>
                <w:color w:val="auto"/>
                <w:sz w:val="24"/>
                <w:highlight w:val="none"/>
                <w:lang w:val="en-US" w:eastAsia="zh-CN"/>
              </w:rPr>
              <w:t>环境</w:t>
            </w:r>
            <w:r>
              <w:rPr>
                <w:rFonts w:hint="default" w:ascii="Times New Roman" w:hAnsi="Times New Roman" w:eastAsia="宋体" w:cs="Times New Roman"/>
                <w:b/>
                <w:color w:val="auto"/>
                <w:sz w:val="24"/>
                <w:highlight w:val="none"/>
              </w:rPr>
              <w:t>影响分析</w:t>
            </w:r>
          </w:p>
          <w:p w14:paraId="00470828">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 xml:space="preserve">（1）固体废物源强 </w:t>
            </w:r>
          </w:p>
          <w:p w14:paraId="01B9FDAF">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本项目固体废物包括生活垃圾、一般</w:t>
            </w:r>
            <w:r>
              <w:rPr>
                <w:rFonts w:hint="eastAsia" w:cs="Times New Roman"/>
                <w:color w:val="auto"/>
                <w:sz w:val="24"/>
                <w:highlight w:val="none"/>
                <w:lang w:val="en-US" w:eastAsia="zh-CN"/>
              </w:rPr>
              <w:t>工业</w:t>
            </w:r>
            <w:r>
              <w:rPr>
                <w:rFonts w:hint="default" w:ascii="Times New Roman" w:hAnsi="Times New Roman" w:eastAsia="宋体" w:cs="Times New Roman"/>
                <w:color w:val="auto"/>
                <w:sz w:val="24"/>
                <w:highlight w:val="none"/>
                <w:lang w:val="en-US" w:eastAsia="zh-CN"/>
              </w:rPr>
              <w:t>固体废物</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危险废物。</w:t>
            </w:r>
          </w:p>
          <w:p w14:paraId="3012E3B7">
            <w:pPr>
              <w:numPr>
                <w:ilvl w:val="0"/>
                <w:numId w:val="35"/>
              </w:numPr>
              <w:adjustRightInd w:val="0"/>
              <w:snapToGrid w:val="0"/>
              <w:spacing w:line="360" w:lineRule="auto"/>
              <w:ind w:left="0" w:leftChars="0"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生活垃圾</w:t>
            </w:r>
          </w:p>
          <w:p w14:paraId="60E2BC00">
            <w:pPr>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rPr>
              <w:t>项目</w:t>
            </w:r>
            <w:r>
              <w:rPr>
                <w:rFonts w:hint="eastAsia" w:cs="Times New Roman"/>
                <w:color w:val="auto"/>
                <w:sz w:val="24"/>
                <w:highlight w:val="none"/>
                <w:lang w:val="en-US" w:eastAsia="zh-CN"/>
              </w:rPr>
              <w:t>员工36</w:t>
            </w:r>
            <w:r>
              <w:rPr>
                <w:rFonts w:hint="default" w:ascii="Times New Roman" w:hAnsi="Times New Roman" w:eastAsia="宋体" w:cs="Times New Roman"/>
                <w:color w:val="auto"/>
                <w:sz w:val="24"/>
                <w:highlight w:val="none"/>
              </w:rPr>
              <w:t>人，生活垃圾产生量按0.5kg/人•d计，项目年工作</w:t>
            </w:r>
            <w:r>
              <w:rPr>
                <w:rFonts w:hint="eastAsia" w:cs="Times New Roman"/>
                <w:color w:val="auto"/>
                <w:sz w:val="24"/>
                <w:highlight w:val="none"/>
                <w:lang w:val="en-US" w:eastAsia="zh-CN"/>
              </w:rPr>
              <w:t>260</w:t>
            </w:r>
            <w:r>
              <w:rPr>
                <w:rFonts w:hint="default" w:ascii="Times New Roman" w:hAnsi="Times New Roman" w:eastAsia="宋体" w:cs="Times New Roman"/>
                <w:color w:val="auto"/>
                <w:sz w:val="24"/>
                <w:highlight w:val="none"/>
              </w:rPr>
              <w:t>d/a，则生活垃圾产生量为</w:t>
            </w:r>
            <w:r>
              <w:rPr>
                <w:rFonts w:hint="eastAsia" w:cs="Times New Roman"/>
                <w:color w:val="auto"/>
                <w:sz w:val="24"/>
                <w:highlight w:val="none"/>
                <w:lang w:val="en-US" w:eastAsia="zh-CN"/>
              </w:rPr>
              <w:t>4.68</w:t>
            </w:r>
            <w:r>
              <w:rPr>
                <w:rFonts w:hint="default" w:ascii="Times New Roman" w:hAnsi="Times New Roman" w:eastAsia="宋体" w:cs="Times New Roman"/>
                <w:color w:val="auto"/>
                <w:sz w:val="24"/>
                <w:highlight w:val="none"/>
              </w:rPr>
              <w:t>t/a。生活垃圾分类收集后，由当地环卫部门定期清运。</w:t>
            </w:r>
          </w:p>
          <w:p w14:paraId="482A1616">
            <w:pPr>
              <w:numPr>
                <w:ilvl w:val="0"/>
                <w:numId w:val="35"/>
              </w:numPr>
              <w:adjustRightInd w:val="0"/>
              <w:snapToGrid w:val="0"/>
              <w:spacing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一般工业固体废物</w:t>
            </w:r>
          </w:p>
          <w:p w14:paraId="0A580B0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本项目一般</w:t>
            </w:r>
            <w:r>
              <w:rPr>
                <w:rFonts w:hint="eastAsia" w:cs="Times New Roman"/>
                <w:color w:val="auto"/>
                <w:sz w:val="24"/>
                <w:highlight w:val="none"/>
                <w:lang w:val="en-US" w:eastAsia="zh-CN"/>
              </w:rPr>
              <w:t>工业</w:t>
            </w:r>
            <w:r>
              <w:rPr>
                <w:rFonts w:hint="default" w:ascii="Times New Roman" w:hAnsi="Times New Roman" w:eastAsia="宋体" w:cs="Times New Roman"/>
                <w:color w:val="auto"/>
                <w:sz w:val="24"/>
                <w:highlight w:val="none"/>
                <w:lang w:val="en-US" w:eastAsia="zh-CN"/>
              </w:rPr>
              <w:t>固体废物</w:t>
            </w:r>
            <w:r>
              <w:rPr>
                <w:rFonts w:hint="eastAsia" w:cs="Times New Roman"/>
                <w:color w:val="auto"/>
                <w:sz w:val="24"/>
                <w:highlight w:val="none"/>
                <w:lang w:val="en-US" w:eastAsia="zh-CN"/>
              </w:rPr>
              <w:t>包括</w:t>
            </w:r>
            <w:r>
              <w:rPr>
                <w:rFonts w:hint="default" w:ascii="Times New Roman" w:hAnsi="Times New Roman" w:eastAsia="宋体" w:cs="Times New Roman"/>
                <w:color w:val="auto"/>
                <w:sz w:val="24"/>
                <w:highlight w:val="none"/>
                <w:lang w:val="en-US" w:eastAsia="zh-CN"/>
              </w:rPr>
              <w:t>未沾染化学试剂的废包装物。未沾染化学试剂的废包装物产生量约</w:t>
            </w:r>
            <w:r>
              <w:rPr>
                <w:rFonts w:hint="eastAsia" w:cs="Times New Roman"/>
                <w:color w:val="auto"/>
                <w:sz w:val="24"/>
                <w:highlight w:val="none"/>
                <w:lang w:val="en-US" w:eastAsia="zh-CN"/>
              </w:rPr>
              <w:t>1.5</w:t>
            </w:r>
            <w:r>
              <w:rPr>
                <w:rFonts w:hint="default" w:ascii="Times New Roman" w:hAnsi="Times New Roman" w:eastAsia="宋体" w:cs="Times New Roman"/>
                <w:color w:val="auto"/>
                <w:sz w:val="24"/>
                <w:highlight w:val="none"/>
                <w:lang w:val="en-US" w:eastAsia="zh-CN"/>
              </w:rPr>
              <w:t>t/a，由</w:t>
            </w:r>
            <w:r>
              <w:rPr>
                <w:rFonts w:hint="eastAsia" w:cs="Times New Roman"/>
                <w:color w:val="auto"/>
                <w:sz w:val="24"/>
                <w:highlight w:val="none"/>
                <w:lang w:val="en-US" w:eastAsia="zh-CN"/>
              </w:rPr>
              <w:t>物资回收单位</w:t>
            </w:r>
            <w:r>
              <w:rPr>
                <w:rFonts w:hint="default" w:ascii="Times New Roman" w:hAnsi="Times New Roman" w:eastAsia="宋体" w:cs="Times New Roman"/>
                <w:color w:val="auto"/>
                <w:sz w:val="24"/>
                <w:highlight w:val="none"/>
                <w:lang w:val="en-US" w:eastAsia="zh-CN"/>
              </w:rPr>
              <w:t>进行回收。</w:t>
            </w:r>
          </w:p>
          <w:p w14:paraId="2045A875">
            <w:pPr>
              <w:numPr>
                <w:ilvl w:val="0"/>
                <w:numId w:val="35"/>
              </w:numPr>
              <w:adjustRightInd w:val="0"/>
              <w:snapToGrid w:val="0"/>
              <w:spacing w:line="360" w:lineRule="auto"/>
              <w:ind w:left="0" w:leftChars="0" w:firstLine="480" w:firstLineChars="200"/>
              <w:rPr>
                <w:rFonts w:hint="default" w:ascii="Times New Roman" w:hAnsi="Times New Roman" w:eastAsia="宋体" w:cs="Times New Roman"/>
                <w:b w:val="0"/>
                <w:bCs/>
                <w:color w:val="auto"/>
                <w:sz w:val="24"/>
                <w:highlight w:val="none"/>
                <w:lang w:eastAsia="zh-CN"/>
              </w:rPr>
            </w:pPr>
            <w:r>
              <w:rPr>
                <w:rFonts w:hint="default" w:ascii="Times New Roman" w:hAnsi="Times New Roman" w:eastAsia="宋体" w:cs="Times New Roman"/>
                <w:b w:val="0"/>
                <w:bCs/>
                <w:color w:val="auto"/>
                <w:sz w:val="24"/>
                <w:highlight w:val="none"/>
                <w:lang w:eastAsia="zh-CN"/>
              </w:rPr>
              <w:t>危险废物</w:t>
            </w:r>
          </w:p>
          <w:p w14:paraId="0BD0A2C7">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项目产生的危险废物主要为实验过程中产生的</w:t>
            </w:r>
            <w:r>
              <w:rPr>
                <w:rFonts w:hint="eastAsia" w:cs="Times New Roman"/>
                <w:color w:val="auto"/>
                <w:sz w:val="24"/>
                <w:highlight w:val="none"/>
                <w:lang w:val="en-US" w:eastAsia="zh-CN"/>
              </w:rPr>
              <w:t>废试剂瓶</w:t>
            </w:r>
            <w:r>
              <w:rPr>
                <w:rFonts w:hint="default"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废试剂、</w:t>
            </w:r>
            <w:r>
              <w:rPr>
                <w:rFonts w:hint="default" w:ascii="Times New Roman" w:hAnsi="Times New Roman" w:eastAsia="宋体" w:cs="Times New Roman"/>
                <w:color w:val="auto"/>
                <w:sz w:val="24"/>
                <w:highlight w:val="none"/>
                <w:lang w:val="en-US" w:eastAsia="zh-CN"/>
              </w:rPr>
              <w:t>废一次性</w:t>
            </w:r>
            <w:r>
              <w:rPr>
                <w:rFonts w:hint="eastAsia" w:cs="Times New Roman"/>
                <w:color w:val="auto"/>
                <w:sz w:val="24"/>
                <w:highlight w:val="none"/>
                <w:lang w:val="en-US" w:eastAsia="zh-CN"/>
              </w:rPr>
              <w:t>实验</w:t>
            </w:r>
            <w:r>
              <w:rPr>
                <w:rFonts w:hint="default" w:ascii="Times New Roman" w:hAnsi="Times New Roman" w:eastAsia="宋体" w:cs="Times New Roman"/>
                <w:color w:val="auto"/>
                <w:sz w:val="24"/>
                <w:highlight w:val="none"/>
                <w:lang w:val="en-US" w:eastAsia="zh-CN"/>
              </w:rPr>
              <w:t>耗材（一次性吸头、一次性乳胶手套、一次性塑料注射器、一次性进样管</w:t>
            </w:r>
            <w:r>
              <w:rPr>
                <w:rFonts w:hint="eastAsia" w:ascii="Times New Roman" w:hAnsi="Times New Roman" w:eastAsia="宋体" w:cs="Times New Roman"/>
                <w:color w:val="auto"/>
                <w:sz w:val="24"/>
                <w:highlight w:val="none"/>
                <w:lang w:val="en-US" w:eastAsia="zh-CN"/>
              </w:rPr>
              <w:t>、称量纸、滤膜等</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废培养基、检测废液、容器清洗废液</w:t>
            </w:r>
            <w:r>
              <w:rPr>
                <w:rFonts w:hint="eastAsia" w:cs="Times New Roman"/>
                <w:color w:val="auto"/>
                <w:sz w:val="24"/>
                <w:highlight w:val="none"/>
                <w:lang w:val="en-US" w:eastAsia="zh-CN"/>
              </w:rPr>
              <w:t>、废样品、废吸附剂、废活性炭</w:t>
            </w:r>
            <w:r>
              <w:rPr>
                <w:rFonts w:hint="default" w:ascii="Times New Roman" w:hAnsi="Times New Roman" w:eastAsia="宋体" w:cs="Times New Roman"/>
                <w:color w:val="auto"/>
                <w:sz w:val="24"/>
                <w:highlight w:val="none"/>
                <w:lang w:val="en-US" w:eastAsia="zh-CN"/>
              </w:rPr>
              <w:t>。</w:t>
            </w:r>
          </w:p>
          <w:p w14:paraId="00D4FE9A">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根据企业提供的</w:t>
            </w:r>
            <w:r>
              <w:rPr>
                <w:rFonts w:hint="eastAsia" w:cs="Times New Roman"/>
                <w:color w:val="auto"/>
                <w:sz w:val="24"/>
                <w:highlight w:val="none"/>
                <w:lang w:val="en-US" w:eastAsia="zh-CN"/>
              </w:rPr>
              <w:t>资料</w:t>
            </w:r>
            <w:r>
              <w:rPr>
                <w:rFonts w:hint="eastAsia" w:eastAsia="宋体" w:cs="Times New Roman"/>
                <w:color w:val="auto"/>
                <w:sz w:val="24"/>
                <w:highlight w:val="none"/>
                <w:lang w:val="en-US" w:eastAsia="zh-CN"/>
              </w:rPr>
              <w:t>、水平衡分析及项目运行情况</w:t>
            </w:r>
            <w:r>
              <w:rPr>
                <w:rFonts w:hint="eastAsia" w:ascii="Times New Roman" w:hAnsi="Times New Roman" w:eastAsia="宋体" w:cs="Times New Roman"/>
                <w:color w:val="auto"/>
                <w:sz w:val="24"/>
                <w:highlight w:val="none"/>
                <w:lang w:val="en-US" w:eastAsia="zh-CN"/>
              </w:rPr>
              <w:t>，</w:t>
            </w:r>
            <w:r>
              <w:rPr>
                <w:rFonts w:hint="eastAsia" w:eastAsia="宋体" w:cs="Times New Roman"/>
                <w:color w:val="auto"/>
                <w:sz w:val="24"/>
                <w:highlight w:val="none"/>
                <w:lang w:val="en-US" w:eastAsia="zh-CN"/>
              </w:rPr>
              <w:t>综合分析</w:t>
            </w:r>
            <w:r>
              <w:rPr>
                <w:rFonts w:hint="eastAsia" w:ascii="Times New Roman" w:hAnsi="Times New Roman" w:eastAsia="宋体" w:cs="Times New Roman"/>
                <w:color w:val="auto"/>
                <w:sz w:val="24"/>
                <w:highlight w:val="none"/>
                <w:lang w:val="en-US" w:eastAsia="zh-CN"/>
              </w:rPr>
              <w:t>核算本项目危险废物产生量：废试剂瓶</w:t>
            </w:r>
            <w:r>
              <w:rPr>
                <w:rFonts w:hint="eastAsia" w:cs="Times New Roman"/>
                <w:color w:val="auto"/>
                <w:sz w:val="24"/>
                <w:highlight w:val="none"/>
                <w:lang w:val="en-US" w:eastAsia="zh-CN"/>
              </w:rPr>
              <w:t>0.5</w:t>
            </w:r>
            <w:r>
              <w:rPr>
                <w:rFonts w:hint="eastAsia"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t/a、</w:t>
            </w:r>
            <w:r>
              <w:rPr>
                <w:rFonts w:hint="eastAsia" w:eastAsia="宋体" w:cs="Times New Roman"/>
                <w:color w:val="auto"/>
                <w:sz w:val="24"/>
                <w:highlight w:val="none"/>
                <w:lang w:val="en-US" w:eastAsia="zh-CN"/>
              </w:rPr>
              <w:t>废试剂0.0</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t/a</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废一次性</w:t>
            </w:r>
            <w:r>
              <w:rPr>
                <w:rFonts w:hint="eastAsia" w:cs="Times New Roman"/>
                <w:color w:val="auto"/>
                <w:sz w:val="24"/>
                <w:highlight w:val="none"/>
                <w:lang w:val="en-US" w:eastAsia="zh-CN"/>
              </w:rPr>
              <w:t>实验</w:t>
            </w:r>
            <w:r>
              <w:rPr>
                <w:rFonts w:hint="default" w:ascii="Times New Roman" w:hAnsi="Times New Roman" w:eastAsia="宋体" w:cs="Times New Roman"/>
                <w:color w:val="auto"/>
                <w:sz w:val="24"/>
                <w:highlight w:val="none"/>
                <w:lang w:val="en-US" w:eastAsia="zh-CN"/>
              </w:rPr>
              <w:t>耗材</w:t>
            </w:r>
            <w:r>
              <w:rPr>
                <w:rFonts w:hint="eastAsia" w:eastAsia="宋体" w:cs="Times New Roman"/>
                <w:color w:val="auto"/>
                <w:sz w:val="24"/>
                <w:highlight w:val="none"/>
                <w:lang w:val="en-US" w:eastAsia="zh-CN"/>
              </w:rPr>
              <w:t>0.05</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废培养基</w:t>
            </w:r>
            <w:r>
              <w:rPr>
                <w:rFonts w:hint="eastAsia" w:eastAsia="宋体" w:cs="Times New Roman"/>
                <w:color w:val="auto"/>
                <w:sz w:val="24"/>
                <w:highlight w:val="none"/>
                <w:lang w:val="en-US" w:eastAsia="zh-CN"/>
              </w:rPr>
              <w:t>0.005</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、检测废液</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45</w:t>
            </w:r>
            <w:r>
              <w:rPr>
                <w:rFonts w:hint="default" w:ascii="Times New Roman" w:hAnsi="Times New Roman" w:eastAsia="宋体" w:cs="Times New Roman"/>
                <w:color w:val="auto"/>
                <w:sz w:val="24"/>
                <w:highlight w:val="none"/>
                <w:lang w:val="en-US" w:eastAsia="zh-CN"/>
              </w:rPr>
              <w:t>t/a</w:t>
            </w:r>
            <w:r>
              <w:rPr>
                <w:rFonts w:hint="eastAsia" w:ascii="Times New Roman" w:hAnsi="Times New Roman" w:eastAsia="宋体" w:cs="Times New Roman"/>
                <w:color w:val="auto"/>
                <w:sz w:val="24"/>
                <w:highlight w:val="none"/>
                <w:lang w:val="en-US" w:eastAsia="zh-CN"/>
              </w:rPr>
              <w:t>、容器清洗废液</w:t>
            </w:r>
            <w:r>
              <w:rPr>
                <w:rFonts w:hint="eastAsia" w:eastAsia="宋体" w:cs="Times New Roman"/>
                <w:color w:val="auto"/>
                <w:sz w:val="24"/>
                <w:highlight w:val="none"/>
                <w:lang w:val="en-US" w:eastAsia="zh-CN"/>
              </w:rPr>
              <w:t>0.</w:t>
            </w:r>
            <w:r>
              <w:rPr>
                <w:rFonts w:hint="eastAsia"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、废样品0.05</w:t>
            </w:r>
            <w:r>
              <w:rPr>
                <w:rFonts w:hint="default" w:ascii="Times New Roman" w:hAnsi="Times New Roman" w:eastAsia="宋体" w:cs="Times New Roman"/>
                <w:color w:val="auto"/>
                <w:sz w:val="24"/>
                <w:highlight w:val="none"/>
                <w:lang w:val="en-US" w:eastAsia="zh-CN"/>
              </w:rPr>
              <w:t>t/a</w:t>
            </w:r>
            <w:r>
              <w:rPr>
                <w:rFonts w:hint="eastAsia" w:cs="Times New Roman"/>
                <w:color w:val="auto"/>
                <w:sz w:val="24"/>
                <w:highlight w:val="none"/>
                <w:lang w:val="en-US" w:eastAsia="zh-CN"/>
              </w:rPr>
              <w:t>、废吸附</w:t>
            </w:r>
            <w:r>
              <w:rPr>
                <w:rFonts w:hint="eastAsia" w:cs="Times New Roman"/>
                <w:color w:val="0000FF"/>
                <w:sz w:val="24"/>
                <w:highlight w:val="none"/>
                <w:lang w:val="en-US" w:eastAsia="zh-CN"/>
              </w:rPr>
              <w:t>剂0.1805</w:t>
            </w:r>
            <w:r>
              <w:rPr>
                <w:rFonts w:hint="default" w:ascii="Times New Roman" w:hAnsi="Times New Roman" w:eastAsia="宋体" w:cs="Times New Roman"/>
                <w:color w:val="0000FF"/>
                <w:sz w:val="24"/>
                <w:highlight w:val="none"/>
                <w:lang w:val="en-US" w:eastAsia="zh-CN"/>
              </w:rPr>
              <w:t>t/a</w:t>
            </w:r>
            <w:r>
              <w:rPr>
                <w:rFonts w:hint="eastAsia" w:cs="Times New Roman"/>
                <w:color w:val="0000FF"/>
                <w:sz w:val="24"/>
                <w:highlight w:val="none"/>
                <w:lang w:val="en-US" w:eastAsia="zh-CN"/>
              </w:rPr>
              <w:t>、废活性炭0.1358</w:t>
            </w:r>
            <w:r>
              <w:rPr>
                <w:rFonts w:hint="default" w:ascii="Times New Roman" w:hAnsi="Times New Roman" w:eastAsia="宋体" w:cs="Times New Roman"/>
                <w:color w:val="0000FF"/>
                <w:sz w:val="24"/>
                <w:highlight w:val="none"/>
                <w:lang w:val="en-US" w:eastAsia="zh-CN"/>
              </w:rPr>
              <w:t>t/a。</w:t>
            </w:r>
          </w:p>
          <w:p w14:paraId="0E593A83">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本项目产生的</w:t>
            </w:r>
            <w:r>
              <w:rPr>
                <w:rFonts w:hint="default" w:ascii="Times New Roman" w:hAnsi="Times New Roman" w:eastAsia="宋体" w:cs="Times New Roman"/>
                <w:color w:val="auto"/>
                <w:sz w:val="24"/>
                <w:highlight w:val="none"/>
                <w:lang w:val="en-US" w:eastAsia="zh-CN"/>
              </w:rPr>
              <w:t>固体</w:t>
            </w:r>
            <w:r>
              <w:rPr>
                <w:rFonts w:hint="default" w:ascii="Times New Roman" w:hAnsi="Times New Roman" w:eastAsia="宋体" w:cs="Times New Roman"/>
                <w:color w:val="auto"/>
                <w:sz w:val="24"/>
                <w:highlight w:val="none"/>
              </w:rPr>
              <w:t>废物</w:t>
            </w:r>
            <w:r>
              <w:rPr>
                <w:rFonts w:hint="eastAsia" w:cs="Times New Roman"/>
                <w:color w:val="auto"/>
                <w:sz w:val="24"/>
                <w:highlight w:val="none"/>
                <w:lang w:val="en-US" w:eastAsia="zh-CN"/>
              </w:rPr>
              <w:t>具体情况</w:t>
            </w:r>
            <w:r>
              <w:rPr>
                <w:rFonts w:hint="default" w:ascii="Times New Roman" w:hAnsi="Times New Roman" w:eastAsia="宋体" w:cs="Times New Roman"/>
                <w:color w:val="auto"/>
                <w:sz w:val="24"/>
                <w:highlight w:val="none"/>
              </w:rPr>
              <w:t>见下表</w:t>
            </w:r>
            <w:r>
              <w:rPr>
                <w:rFonts w:hint="default" w:ascii="Times New Roman" w:hAnsi="Times New Roman" w:eastAsia="宋体" w:cs="Times New Roman"/>
                <w:color w:val="auto"/>
                <w:sz w:val="24"/>
                <w:highlight w:val="none"/>
                <w:lang w:eastAsia="zh-CN"/>
              </w:rPr>
              <w:t>。</w:t>
            </w:r>
          </w:p>
          <w:p w14:paraId="22B600AF">
            <w:pPr>
              <w:numPr>
                <w:ilvl w:val="0"/>
                <w:numId w:val="32"/>
              </w:numPr>
              <w:adjustRightInd w:val="0"/>
              <w:spacing w:line="360" w:lineRule="auto"/>
              <w:ind w:left="425" w:leftChars="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项目</w:t>
            </w:r>
            <w:r>
              <w:rPr>
                <w:rFonts w:hint="default" w:ascii="Times New Roman" w:hAnsi="Times New Roman" w:eastAsia="宋体" w:cs="Times New Roman"/>
                <w:b/>
                <w:color w:val="auto"/>
                <w:sz w:val="24"/>
                <w:highlight w:val="none"/>
                <w:lang w:val="en-US" w:eastAsia="zh-CN"/>
              </w:rPr>
              <w:t>固体</w:t>
            </w:r>
            <w:r>
              <w:rPr>
                <w:rFonts w:hint="eastAsia" w:cs="Times New Roman"/>
                <w:b/>
                <w:color w:val="auto"/>
                <w:sz w:val="24"/>
                <w:highlight w:val="none"/>
                <w:lang w:val="en-US" w:eastAsia="zh-CN"/>
              </w:rPr>
              <w:t>废物</w:t>
            </w:r>
            <w:r>
              <w:rPr>
                <w:rFonts w:hint="default" w:ascii="Times New Roman" w:hAnsi="Times New Roman" w:eastAsia="宋体" w:cs="Times New Roman"/>
                <w:b/>
                <w:color w:val="auto"/>
                <w:sz w:val="24"/>
                <w:highlight w:val="none"/>
              </w:rPr>
              <w:t>产生情况一览表</w:t>
            </w:r>
          </w:p>
          <w:tbl>
            <w:tblPr>
              <w:tblStyle w:val="23"/>
              <w:tblW w:w="4989"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57"/>
              <w:gridCol w:w="867"/>
              <w:gridCol w:w="734"/>
              <w:gridCol w:w="1086"/>
              <w:gridCol w:w="792"/>
              <w:gridCol w:w="840"/>
              <w:gridCol w:w="888"/>
              <w:gridCol w:w="816"/>
              <w:gridCol w:w="972"/>
            </w:tblGrid>
            <w:tr w14:paraId="799191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20" w:hRule="atLeast"/>
                <w:jc w:val="center"/>
              </w:trPr>
              <w:tc>
                <w:tcPr>
                  <w:tcW w:w="368" w:type="pct"/>
                  <w:tcBorders>
                    <w:tl2br w:val="nil"/>
                    <w:tr2bl w:val="nil"/>
                  </w:tcBorders>
                  <w:vAlign w:val="center"/>
                </w:tcPr>
                <w:p w14:paraId="535EC5CD">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574" w:type="pct"/>
                  <w:tcBorders>
                    <w:tl2br w:val="nil"/>
                    <w:tr2bl w:val="nil"/>
                  </w:tcBorders>
                  <w:vAlign w:val="center"/>
                </w:tcPr>
                <w:p w14:paraId="29C9C4FA">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名称</w:t>
                  </w:r>
                </w:p>
              </w:tc>
              <w:tc>
                <w:tcPr>
                  <w:tcW w:w="485" w:type="pct"/>
                  <w:tcBorders>
                    <w:tl2br w:val="nil"/>
                    <w:tr2bl w:val="nil"/>
                  </w:tcBorders>
                  <w:vAlign w:val="center"/>
                </w:tcPr>
                <w:p w14:paraId="0CA5341D">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危险废物类别</w:t>
                  </w:r>
                </w:p>
              </w:tc>
              <w:tc>
                <w:tcPr>
                  <w:tcW w:w="719" w:type="pct"/>
                  <w:tcBorders>
                    <w:tl2br w:val="nil"/>
                    <w:tr2bl w:val="nil"/>
                  </w:tcBorders>
                  <w:vAlign w:val="center"/>
                </w:tcPr>
                <w:p w14:paraId="640231EB">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lang w:val="en-US" w:eastAsia="zh-CN"/>
                    </w:rPr>
                    <w:t>固体</w:t>
                  </w:r>
                  <w:r>
                    <w:rPr>
                      <w:rFonts w:hint="default" w:ascii="Times New Roman" w:hAnsi="Times New Roman" w:eastAsia="宋体" w:cs="Times New Roman"/>
                      <w:b/>
                      <w:color w:val="auto"/>
                      <w:szCs w:val="21"/>
                      <w:highlight w:val="none"/>
                    </w:rPr>
                    <w:t>废物</w:t>
                  </w:r>
                </w:p>
                <w:p w14:paraId="2F9357DB">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代码</w:t>
                  </w:r>
                </w:p>
              </w:tc>
              <w:tc>
                <w:tcPr>
                  <w:tcW w:w="524" w:type="pct"/>
                  <w:tcBorders>
                    <w:tl2br w:val="nil"/>
                    <w:tr2bl w:val="nil"/>
                  </w:tcBorders>
                  <w:vAlign w:val="center"/>
                </w:tcPr>
                <w:p w14:paraId="48DFF4C9">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形态</w:t>
                  </w:r>
                </w:p>
              </w:tc>
              <w:tc>
                <w:tcPr>
                  <w:tcW w:w="556" w:type="pct"/>
                  <w:tcBorders>
                    <w:tl2br w:val="nil"/>
                    <w:tr2bl w:val="nil"/>
                  </w:tcBorders>
                  <w:vAlign w:val="center"/>
                </w:tcPr>
                <w:p w14:paraId="4F27DB7C">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危险</w:t>
                  </w:r>
                </w:p>
                <w:p w14:paraId="624FD84C">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特性</w:t>
                  </w:r>
                </w:p>
              </w:tc>
              <w:tc>
                <w:tcPr>
                  <w:tcW w:w="587" w:type="pct"/>
                  <w:tcBorders>
                    <w:tl2br w:val="nil"/>
                    <w:tr2bl w:val="nil"/>
                  </w:tcBorders>
                  <w:vAlign w:val="center"/>
                </w:tcPr>
                <w:p w14:paraId="5523F599">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产生量</w:t>
                  </w:r>
                </w:p>
                <w:p w14:paraId="4619F67E">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（吨/年）</w:t>
                  </w:r>
                </w:p>
              </w:tc>
              <w:tc>
                <w:tcPr>
                  <w:tcW w:w="540" w:type="pct"/>
                  <w:tcBorders>
                    <w:tl2br w:val="nil"/>
                    <w:tr2bl w:val="nil"/>
                  </w:tcBorders>
                  <w:vAlign w:val="center"/>
                </w:tcPr>
                <w:p w14:paraId="3D60FF9A">
                  <w:pPr>
                    <w:spacing w:line="240" w:lineRule="auto"/>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产废</w:t>
                  </w:r>
                </w:p>
                <w:p w14:paraId="7680B3AF">
                  <w:pPr>
                    <w:spacing w:line="240" w:lineRule="auto"/>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eastAsia="宋体" w:cs="Times New Roman"/>
                      <w:b/>
                      <w:color w:val="auto"/>
                      <w:szCs w:val="21"/>
                      <w:highlight w:val="none"/>
                      <w:lang w:val="en-US" w:eastAsia="zh-CN"/>
                    </w:rPr>
                    <w:t>周期</w:t>
                  </w:r>
                </w:p>
              </w:tc>
              <w:tc>
                <w:tcPr>
                  <w:tcW w:w="643" w:type="pct"/>
                  <w:tcBorders>
                    <w:tl2br w:val="nil"/>
                    <w:tr2bl w:val="nil"/>
                  </w:tcBorders>
                  <w:vAlign w:val="center"/>
                </w:tcPr>
                <w:p w14:paraId="556CFF07">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污染防治</w:t>
                  </w:r>
                </w:p>
                <w:p w14:paraId="60D0AF88">
                  <w:pPr>
                    <w:spacing w:line="240" w:lineRule="auto"/>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措施</w:t>
                  </w:r>
                </w:p>
              </w:tc>
            </w:tr>
            <w:tr w14:paraId="314BE3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3" w:hRule="atLeast"/>
                <w:jc w:val="center"/>
              </w:trPr>
              <w:tc>
                <w:tcPr>
                  <w:tcW w:w="5000" w:type="pct"/>
                  <w:gridSpan w:val="9"/>
                  <w:tcBorders>
                    <w:tl2br w:val="nil"/>
                    <w:tr2bl w:val="nil"/>
                  </w:tcBorders>
                  <w:vAlign w:val="center"/>
                </w:tcPr>
                <w:p w14:paraId="669341F9">
                  <w:pPr>
                    <w:spacing w:line="240" w:lineRule="auto"/>
                    <w:jc w:val="center"/>
                    <w:rPr>
                      <w:rFonts w:hint="eastAsia" w:ascii="Times New Roman" w:hAnsi="Times New Roman" w:eastAsia="宋体" w:cs="Times New Roman"/>
                      <w:b/>
                      <w:color w:val="auto"/>
                      <w:szCs w:val="21"/>
                      <w:highlight w:val="none"/>
                      <w:lang w:val="en-US" w:eastAsia="zh-CN"/>
                    </w:rPr>
                  </w:pPr>
                  <w:r>
                    <w:rPr>
                      <w:rFonts w:hint="eastAsia" w:cs="Times New Roman"/>
                      <w:b w:val="0"/>
                      <w:bCs/>
                      <w:color w:val="auto"/>
                      <w:szCs w:val="21"/>
                      <w:highlight w:val="none"/>
                      <w:lang w:val="en-US" w:eastAsia="zh-CN"/>
                    </w:rPr>
                    <w:t>危险废物</w:t>
                  </w:r>
                </w:p>
              </w:tc>
            </w:tr>
            <w:tr w14:paraId="40B4E0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54859476">
                  <w:pPr>
                    <w:numPr>
                      <w:ilvl w:val="0"/>
                      <w:numId w:val="3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72A3FFBA">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废试剂瓶</w:t>
                  </w:r>
                </w:p>
              </w:tc>
              <w:tc>
                <w:tcPr>
                  <w:tcW w:w="485" w:type="pct"/>
                  <w:tcBorders>
                    <w:tl2br w:val="nil"/>
                    <w:tr2bl w:val="nil"/>
                  </w:tcBorders>
                  <w:vAlign w:val="center"/>
                </w:tcPr>
                <w:p w14:paraId="0C98AB6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329B9D9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-49</w:t>
                  </w:r>
                </w:p>
              </w:tc>
              <w:tc>
                <w:tcPr>
                  <w:tcW w:w="524" w:type="pct"/>
                  <w:tcBorders>
                    <w:tl2br w:val="nil"/>
                    <w:tr2bl w:val="nil"/>
                  </w:tcBorders>
                  <w:vAlign w:val="center"/>
                </w:tcPr>
                <w:p w14:paraId="27872E9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556" w:type="pct"/>
                  <w:tcBorders>
                    <w:tl2br w:val="nil"/>
                    <w:tr2bl w:val="nil"/>
                  </w:tcBorders>
                  <w:vAlign w:val="center"/>
                </w:tcPr>
                <w:p w14:paraId="1231E8B4">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T/In</w:t>
                  </w:r>
                </w:p>
              </w:tc>
              <w:tc>
                <w:tcPr>
                  <w:tcW w:w="587" w:type="pct"/>
                  <w:tcBorders>
                    <w:tl2br w:val="nil"/>
                    <w:tr2bl w:val="nil"/>
                  </w:tcBorders>
                  <w:vAlign w:val="center"/>
                </w:tcPr>
                <w:p w14:paraId="74D96488">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540" w:type="pct"/>
                  <w:tcBorders>
                    <w:tl2br w:val="nil"/>
                    <w:tr2bl w:val="nil"/>
                  </w:tcBorders>
                  <w:vAlign w:val="center"/>
                </w:tcPr>
                <w:p w14:paraId="687AB69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restart"/>
                  <w:tcBorders>
                    <w:tl2br w:val="nil"/>
                    <w:tr2bl w:val="nil"/>
                  </w:tcBorders>
                  <w:vAlign w:val="center"/>
                </w:tcPr>
                <w:p w14:paraId="5BABEA8F">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统一收集后暂存于危险废物暂存间，定期交</w:t>
                  </w:r>
                  <w:r>
                    <w:rPr>
                      <w:rFonts w:hint="eastAsia" w:ascii="Times New Roman" w:hAnsi="Times New Roman" w:cs="Times New Roman"/>
                      <w:color w:val="auto"/>
                      <w:kern w:val="0"/>
                      <w:szCs w:val="21"/>
                      <w:highlight w:val="none"/>
                      <w:lang w:val="en-US" w:eastAsia="zh-CN" w:bidi="ar"/>
                    </w:rPr>
                    <w:t>北京鑫兴众成环境科技有限责任公司</w:t>
                  </w:r>
                  <w:r>
                    <w:rPr>
                      <w:rFonts w:hint="default" w:ascii="Times New Roman" w:hAnsi="Times New Roman" w:eastAsia="宋体" w:cs="Times New Roman"/>
                      <w:color w:val="auto"/>
                      <w:sz w:val="21"/>
                      <w:szCs w:val="21"/>
                      <w:highlight w:val="none"/>
                    </w:rPr>
                    <w:t>处置。</w:t>
                  </w:r>
                </w:p>
              </w:tc>
            </w:tr>
            <w:tr w14:paraId="667FC5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3C5438E2">
                  <w:pPr>
                    <w:numPr>
                      <w:ilvl w:val="0"/>
                      <w:numId w:val="3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06FB5A54">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废试剂</w:t>
                  </w:r>
                </w:p>
              </w:tc>
              <w:tc>
                <w:tcPr>
                  <w:tcW w:w="485" w:type="pct"/>
                  <w:tcBorders>
                    <w:tl2br w:val="nil"/>
                    <w:tr2bl w:val="nil"/>
                  </w:tcBorders>
                  <w:vAlign w:val="center"/>
                </w:tcPr>
                <w:p w14:paraId="7678C84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26400FF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524" w:type="pct"/>
                  <w:tcBorders>
                    <w:tl2br w:val="nil"/>
                    <w:tr2bl w:val="nil"/>
                  </w:tcBorders>
                  <w:vAlign w:val="center"/>
                </w:tcPr>
                <w:p w14:paraId="2B9A394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r>
                    <w:rPr>
                      <w:rFonts w:hint="eastAsia" w:cs="Times New Roman"/>
                      <w:color w:val="auto"/>
                      <w:sz w:val="21"/>
                      <w:szCs w:val="21"/>
                      <w:highlight w:val="none"/>
                      <w:lang w:val="en-US" w:eastAsia="zh-CN"/>
                    </w:rPr>
                    <w:t>/固态</w:t>
                  </w:r>
                </w:p>
              </w:tc>
              <w:tc>
                <w:tcPr>
                  <w:tcW w:w="556" w:type="pct"/>
                  <w:tcBorders>
                    <w:tl2br w:val="nil"/>
                    <w:tr2bl w:val="nil"/>
                  </w:tcBorders>
                  <w:vAlign w:val="center"/>
                </w:tcPr>
                <w:p w14:paraId="7257F35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T/C/I/R</w:t>
                  </w:r>
                </w:p>
              </w:tc>
              <w:tc>
                <w:tcPr>
                  <w:tcW w:w="587" w:type="pct"/>
                  <w:tcBorders>
                    <w:tl2br w:val="nil"/>
                    <w:tr2bl w:val="nil"/>
                  </w:tcBorders>
                  <w:vAlign w:val="center"/>
                </w:tcPr>
                <w:p w14:paraId="76C83ED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540" w:type="pct"/>
                  <w:tcBorders>
                    <w:tl2br w:val="nil"/>
                    <w:tr2bl w:val="nil"/>
                  </w:tcBorders>
                  <w:vAlign w:val="center"/>
                </w:tcPr>
                <w:p w14:paraId="01203FE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每天</w:t>
                  </w:r>
                </w:p>
              </w:tc>
              <w:tc>
                <w:tcPr>
                  <w:tcW w:w="643" w:type="pct"/>
                  <w:vMerge w:val="continue"/>
                  <w:tcBorders>
                    <w:tl2br w:val="nil"/>
                    <w:tr2bl w:val="nil"/>
                  </w:tcBorders>
                  <w:vAlign w:val="center"/>
                </w:tcPr>
                <w:p w14:paraId="5A100323">
                  <w:pPr>
                    <w:widowControl/>
                    <w:spacing w:line="240" w:lineRule="auto"/>
                    <w:jc w:val="center"/>
                    <w:rPr>
                      <w:rFonts w:hint="default" w:ascii="Times New Roman" w:hAnsi="Times New Roman" w:eastAsia="宋体" w:cs="Times New Roman"/>
                      <w:color w:val="auto"/>
                      <w:sz w:val="21"/>
                      <w:szCs w:val="21"/>
                      <w:highlight w:val="none"/>
                    </w:rPr>
                  </w:pPr>
                </w:p>
              </w:tc>
            </w:tr>
            <w:tr w14:paraId="60E99D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68" w:type="pct"/>
                  <w:tcBorders>
                    <w:tl2br w:val="nil"/>
                    <w:tr2bl w:val="nil"/>
                  </w:tcBorders>
                  <w:vAlign w:val="center"/>
                </w:tcPr>
                <w:p w14:paraId="117953F4">
                  <w:pPr>
                    <w:numPr>
                      <w:ilvl w:val="0"/>
                      <w:numId w:val="3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44E1504B">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废一次性实验耗材</w:t>
                  </w:r>
                </w:p>
              </w:tc>
              <w:tc>
                <w:tcPr>
                  <w:tcW w:w="485" w:type="pct"/>
                  <w:tcBorders>
                    <w:tl2br w:val="nil"/>
                    <w:tr2bl w:val="nil"/>
                  </w:tcBorders>
                  <w:vAlign w:val="center"/>
                </w:tcPr>
                <w:p w14:paraId="3EB5865A">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4C3FC48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-49</w:t>
                  </w:r>
                </w:p>
              </w:tc>
              <w:tc>
                <w:tcPr>
                  <w:tcW w:w="524" w:type="pct"/>
                  <w:tcBorders>
                    <w:tl2br w:val="nil"/>
                    <w:tr2bl w:val="nil"/>
                  </w:tcBorders>
                  <w:vAlign w:val="center"/>
                </w:tcPr>
                <w:p w14:paraId="4EDF78A5">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w:t>
                  </w:r>
                  <w:r>
                    <w:rPr>
                      <w:rFonts w:hint="default" w:ascii="Times New Roman" w:hAnsi="Times New Roman" w:eastAsia="宋体" w:cs="Times New Roman"/>
                      <w:color w:val="auto"/>
                      <w:sz w:val="21"/>
                      <w:szCs w:val="21"/>
                      <w:highlight w:val="none"/>
                      <w:lang w:val="en-US" w:eastAsia="zh-CN"/>
                    </w:rPr>
                    <w:t>态</w:t>
                  </w:r>
                </w:p>
              </w:tc>
              <w:tc>
                <w:tcPr>
                  <w:tcW w:w="556" w:type="pct"/>
                  <w:tcBorders>
                    <w:tl2br w:val="nil"/>
                    <w:tr2bl w:val="nil"/>
                  </w:tcBorders>
                  <w:vAlign w:val="center"/>
                </w:tcPr>
                <w:p w14:paraId="7BCE86E2">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T/In</w:t>
                  </w:r>
                </w:p>
              </w:tc>
              <w:tc>
                <w:tcPr>
                  <w:tcW w:w="587" w:type="pct"/>
                  <w:tcBorders>
                    <w:tl2br w:val="nil"/>
                    <w:tr2bl w:val="nil"/>
                  </w:tcBorders>
                  <w:vAlign w:val="center"/>
                </w:tcPr>
                <w:p w14:paraId="335570EC">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w:t>
                  </w:r>
                </w:p>
              </w:tc>
              <w:tc>
                <w:tcPr>
                  <w:tcW w:w="540" w:type="pct"/>
                  <w:tcBorders>
                    <w:tl2br w:val="nil"/>
                    <w:tr2bl w:val="nil"/>
                  </w:tcBorders>
                  <w:vAlign w:val="center"/>
                </w:tcPr>
                <w:p w14:paraId="1E45FC3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650A1FA8">
                  <w:pPr>
                    <w:widowControl/>
                    <w:spacing w:line="240" w:lineRule="auto"/>
                    <w:jc w:val="center"/>
                    <w:rPr>
                      <w:rFonts w:hint="default" w:ascii="Times New Roman" w:hAnsi="Times New Roman" w:eastAsia="宋体" w:cs="Times New Roman"/>
                      <w:color w:val="auto"/>
                      <w:sz w:val="21"/>
                      <w:szCs w:val="21"/>
                      <w:highlight w:val="none"/>
                    </w:rPr>
                  </w:pPr>
                </w:p>
              </w:tc>
            </w:tr>
            <w:tr w14:paraId="2B0FCC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68" w:type="pct"/>
                  <w:tcBorders>
                    <w:tl2br w:val="nil"/>
                    <w:tr2bl w:val="nil"/>
                  </w:tcBorders>
                  <w:vAlign w:val="center"/>
                </w:tcPr>
                <w:p w14:paraId="156A8965">
                  <w:pPr>
                    <w:numPr>
                      <w:ilvl w:val="0"/>
                      <w:numId w:val="3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6CE0E84F">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废培养基</w:t>
                  </w:r>
                </w:p>
              </w:tc>
              <w:tc>
                <w:tcPr>
                  <w:tcW w:w="485" w:type="pct"/>
                  <w:tcBorders>
                    <w:tl2br w:val="nil"/>
                    <w:tr2bl w:val="nil"/>
                  </w:tcBorders>
                  <w:vAlign w:val="center"/>
                </w:tcPr>
                <w:p w14:paraId="0115BFC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6D575AF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-49</w:t>
                  </w:r>
                </w:p>
              </w:tc>
              <w:tc>
                <w:tcPr>
                  <w:tcW w:w="524" w:type="pct"/>
                  <w:tcBorders>
                    <w:tl2br w:val="nil"/>
                    <w:tr2bl w:val="nil"/>
                  </w:tcBorders>
                  <w:vAlign w:val="center"/>
                </w:tcPr>
                <w:p w14:paraId="530FC75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w:t>
                  </w:r>
                  <w:r>
                    <w:rPr>
                      <w:rFonts w:hint="default" w:ascii="Times New Roman" w:hAnsi="Times New Roman" w:eastAsia="宋体" w:cs="Times New Roman"/>
                      <w:color w:val="auto"/>
                      <w:sz w:val="21"/>
                      <w:szCs w:val="21"/>
                      <w:highlight w:val="none"/>
                      <w:lang w:val="en-US" w:eastAsia="zh-CN"/>
                    </w:rPr>
                    <w:t>态</w:t>
                  </w:r>
                </w:p>
              </w:tc>
              <w:tc>
                <w:tcPr>
                  <w:tcW w:w="556" w:type="pct"/>
                  <w:tcBorders>
                    <w:tl2br w:val="nil"/>
                    <w:tr2bl w:val="nil"/>
                  </w:tcBorders>
                  <w:vAlign w:val="center"/>
                </w:tcPr>
                <w:p w14:paraId="1485689B">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T/In</w:t>
                  </w:r>
                </w:p>
              </w:tc>
              <w:tc>
                <w:tcPr>
                  <w:tcW w:w="587" w:type="pct"/>
                  <w:tcBorders>
                    <w:tl2br w:val="nil"/>
                    <w:tr2bl w:val="nil"/>
                  </w:tcBorders>
                  <w:vAlign w:val="center"/>
                </w:tcPr>
                <w:p w14:paraId="4F72E94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w:t>
                  </w:r>
                </w:p>
              </w:tc>
              <w:tc>
                <w:tcPr>
                  <w:tcW w:w="540" w:type="pct"/>
                  <w:tcBorders>
                    <w:tl2br w:val="nil"/>
                    <w:tr2bl w:val="nil"/>
                  </w:tcBorders>
                  <w:vAlign w:val="center"/>
                </w:tcPr>
                <w:p w14:paraId="3A916AA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6896E446">
                  <w:pPr>
                    <w:widowControl/>
                    <w:spacing w:line="240" w:lineRule="auto"/>
                    <w:jc w:val="center"/>
                    <w:rPr>
                      <w:rFonts w:hint="default" w:ascii="Times New Roman" w:hAnsi="Times New Roman" w:eastAsia="宋体" w:cs="Times New Roman"/>
                      <w:color w:val="auto"/>
                      <w:sz w:val="21"/>
                      <w:szCs w:val="21"/>
                      <w:highlight w:val="none"/>
                    </w:rPr>
                  </w:pPr>
                </w:p>
              </w:tc>
            </w:tr>
            <w:tr w14:paraId="5D8249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368" w:type="pct"/>
                  <w:tcBorders>
                    <w:tl2br w:val="nil"/>
                    <w:tr2bl w:val="nil"/>
                  </w:tcBorders>
                  <w:vAlign w:val="center"/>
                </w:tcPr>
                <w:p w14:paraId="13BBFCD1">
                  <w:pPr>
                    <w:numPr>
                      <w:ilvl w:val="0"/>
                      <w:numId w:val="3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5874AA0B">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检测废液</w:t>
                  </w:r>
                </w:p>
              </w:tc>
              <w:tc>
                <w:tcPr>
                  <w:tcW w:w="485" w:type="pct"/>
                  <w:tcBorders>
                    <w:tl2br w:val="nil"/>
                    <w:tr2bl w:val="nil"/>
                  </w:tcBorders>
                  <w:vAlign w:val="center"/>
                </w:tcPr>
                <w:p w14:paraId="0B2BCF1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1A8C5BC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-49</w:t>
                  </w:r>
                </w:p>
              </w:tc>
              <w:tc>
                <w:tcPr>
                  <w:tcW w:w="524" w:type="pct"/>
                  <w:tcBorders>
                    <w:tl2br w:val="nil"/>
                    <w:tr2bl w:val="nil"/>
                  </w:tcBorders>
                  <w:shd w:val="clear" w:color="auto" w:fill="auto"/>
                  <w:vAlign w:val="center"/>
                </w:tcPr>
                <w:p w14:paraId="654A4D2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液</w:t>
                  </w:r>
                  <w:r>
                    <w:rPr>
                      <w:rFonts w:hint="default" w:ascii="Times New Roman" w:hAnsi="Times New Roman" w:eastAsia="宋体" w:cs="Times New Roman"/>
                      <w:color w:val="auto"/>
                      <w:sz w:val="21"/>
                      <w:szCs w:val="21"/>
                      <w:highlight w:val="none"/>
                      <w:lang w:val="en-US" w:eastAsia="zh-CN"/>
                    </w:rPr>
                    <w:t>态</w:t>
                  </w:r>
                </w:p>
              </w:tc>
              <w:tc>
                <w:tcPr>
                  <w:tcW w:w="556" w:type="pct"/>
                  <w:tcBorders>
                    <w:tl2br w:val="nil"/>
                    <w:tr2bl w:val="nil"/>
                  </w:tcBorders>
                  <w:vAlign w:val="center"/>
                </w:tcPr>
                <w:p w14:paraId="7F91D9B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T/C/I/R</w:t>
                  </w:r>
                </w:p>
              </w:tc>
              <w:tc>
                <w:tcPr>
                  <w:tcW w:w="587" w:type="pct"/>
                  <w:tcBorders>
                    <w:tl2br w:val="nil"/>
                    <w:tr2bl w:val="nil"/>
                  </w:tcBorders>
                  <w:vAlign w:val="center"/>
                </w:tcPr>
                <w:p w14:paraId="7DAD4F2D">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0.45</w:t>
                  </w:r>
                </w:p>
              </w:tc>
              <w:tc>
                <w:tcPr>
                  <w:tcW w:w="540" w:type="pct"/>
                  <w:tcBorders>
                    <w:tl2br w:val="nil"/>
                    <w:tr2bl w:val="nil"/>
                  </w:tcBorders>
                  <w:vAlign w:val="center"/>
                </w:tcPr>
                <w:p w14:paraId="61BA719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1E383CE8">
                  <w:pPr>
                    <w:widowControl/>
                    <w:spacing w:line="240" w:lineRule="auto"/>
                    <w:jc w:val="center"/>
                    <w:rPr>
                      <w:rFonts w:hint="default" w:ascii="Times New Roman" w:hAnsi="Times New Roman" w:eastAsia="宋体" w:cs="Times New Roman"/>
                      <w:color w:val="auto"/>
                      <w:sz w:val="21"/>
                      <w:szCs w:val="21"/>
                      <w:highlight w:val="none"/>
                    </w:rPr>
                  </w:pPr>
                </w:p>
              </w:tc>
            </w:tr>
            <w:tr w14:paraId="1304BA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368" w:type="pct"/>
                  <w:tcBorders>
                    <w:tl2br w:val="nil"/>
                    <w:tr2bl w:val="nil"/>
                  </w:tcBorders>
                  <w:vAlign w:val="center"/>
                </w:tcPr>
                <w:p w14:paraId="2CE104C7">
                  <w:pPr>
                    <w:numPr>
                      <w:ilvl w:val="0"/>
                      <w:numId w:val="3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11A1E989">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清洗废液</w:t>
                  </w:r>
                </w:p>
              </w:tc>
              <w:tc>
                <w:tcPr>
                  <w:tcW w:w="485" w:type="pct"/>
                  <w:tcBorders>
                    <w:tl2br w:val="nil"/>
                    <w:tr2bl w:val="nil"/>
                  </w:tcBorders>
                  <w:vAlign w:val="center"/>
                </w:tcPr>
                <w:p w14:paraId="1A8A74E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vAlign w:val="center"/>
                </w:tcPr>
                <w:p w14:paraId="5DE5A0C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524" w:type="pct"/>
                  <w:tcBorders>
                    <w:tl2br w:val="nil"/>
                    <w:tr2bl w:val="nil"/>
                  </w:tcBorders>
                  <w:shd w:val="clear" w:color="auto" w:fill="auto"/>
                  <w:vAlign w:val="center"/>
                </w:tcPr>
                <w:p w14:paraId="42EC17C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液态</w:t>
                  </w:r>
                </w:p>
              </w:tc>
              <w:tc>
                <w:tcPr>
                  <w:tcW w:w="556" w:type="pct"/>
                  <w:tcBorders>
                    <w:tl2br w:val="nil"/>
                    <w:tr2bl w:val="nil"/>
                  </w:tcBorders>
                  <w:vAlign w:val="center"/>
                </w:tcPr>
                <w:p w14:paraId="26790EB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T/C/I/R</w:t>
                  </w:r>
                </w:p>
              </w:tc>
              <w:tc>
                <w:tcPr>
                  <w:tcW w:w="587" w:type="pct"/>
                  <w:tcBorders>
                    <w:tl2br w:val="nil"/>
                    <w:tr2bl w:val="nil"/>
                  </w:tcBorders>
                  <w:vAlign w:val="center"/>
                </w:tcPr>
                <w:p w14:paraId="221C280C">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w:t>
                  </w:r>
                </w:p>
              </w:tc>
              <w:tc>
                <w:tcPr>
                  <w:tcW w:w="540" w:type="pct"/>
                  <w:tcBorders>
                    <w:tl2br w:val="nil"/>
                    <w:tr2bl w:val="nil"/>
                  </w:tcBorders>
                  <w:vAlign w:val="center"/>
                </w:tcPr>
                <w:p w14:paraId="708E445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31AEB7EF">
                  <w:pPr>
                    <w:widowControl/>
                    <w:spacing w:line="240" w:lineRule="auto"/>
                    <w:jc w:val="center"/>
                    <w:rPr>
                      <w:rFonts w:hint="default" w:ascii="Times New Roman" w:hAnsi="Times New Roman" w:eastAsia="宋体" w:cs="Times New Roman"/>
                      <w:color w:val="auto"/>
                      <w:sz w:val="21"/>
                      <w:szCs w:val="21"/>
                      <w:highlight w:val="none"/>
                    </w:rPr>
                  </w:pPr>
                </w:p>
              </w:tc>
            </w:tr>
            <w:tr w14:paraId="50F6D3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368" w:type="pct"/>
                  <w:tcBorders>
                    <w:tl2br w:val="nil"/>
                    <w:tr2bl w:val="nil"/>
                  </w:tcBorders>
                  <w:vAlign w:val="center"/>
                </w:tcPr>
                <w:p w14:paraId="49C5ADE8">
                  <w:pPr>
                    <w:numPr>
                      <w:ilvl w:val="0"/>
                      <w:numId w:val="3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511CB5C8">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废样品</w:t>
                  </w:r>
                </w:p>
              </w:tc>
              <w:tc>
                <w:tcPr>
                  <w:tcW w:w="485" w:type="pct"/>
                  <w:tcBorders>
                    <w:tl2br w:val="nil"/>
                    <w:tr2bl w:val="nil"/>
                  </w:tcBorders>
                  <w:shd w:val="clear" w:color="auto" w:fill="auto"/>
                  <w:vAlign w:val="center"/>
                </w:tcPr>
                <w:p w14:paraId="2923F33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shd w:val="clear" w:color="auto" w:fill="auto"/>
                  <w:vAlign w:val="center"/>
                </w:tcPr>
                <w:p w14:paraId="29AF9C2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900-047-49</w:t>
                  </w:r>
                </w:p>
              </w:tc>
              <w:tc>
                <w:tcPr>
                  <w:tcW w:w="524" w:type="pct"/>
                  <w:tcBorders>
                    <w:tl2br w:val="nil"/>
                    <w:tr2bl w:val="nil"/>
                  </w:tcBorders>
                  <w:shd w:val="clear" w:color="auto" w:fill="auto"/>
                  <w:vAlign w:val="center"/>
                </w:tcPr>
                <w:p w14:paraId="557E41B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液态</w:t>
                  </w:r>
                  <w:r>
                    <w:rPr>
                      <w:rFonts w:hint="eastAsia" w:cs="Times New Roman"/>
                      <w:color w:val="auto"/>
                      <w:sz w:val="21"/>
                      <w:szCs w:val="21"/>
                      <w:highlight w:val="none"/>
                      <w:lang w:val="en-US" w:eastAsia="zh-CN"/>
                    </w:rPr>
                    <w:t>/固态</w:t>
                  </w:r>
                </w:p>
              </w:tc>
              <w:tc>
                <w:tcPr>
                  <w:tcW w:w="556" w:type="pct"/>
                  <w:tcBorders>
                    <w:tl2br w:val="nil"/>
                    <w:tr2bl w:val="nil"/>
                  </w:tcBorders>
                  <w:shd w:val="clear" w:color="auto" w:fill="auto"/>
                  <w:vAlign w:val="center"/>
                </w:tcPr>
                <w:p w14:paraId="2DD41B0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T/C/I/R</w:t>
                  </w:r>
                </w:p>
              </w:tc>
              <w:tc>
                <w:tcPr>
                  <w:tcW w:w="587" w:type="pct"/>
                  <w:tcBorders>
                    <w:tl2br w:val="nil"/>
                    <w:tr2bl w:val="nil"/>
                  </w:tcBorders>
                  <w:shd w:val="clear" w:color="auto" w:fill="auto"/>
                  <w:vAlign w:val="center"/>
                </w:tcPr>
                <w:p w14:paraId="132B2B6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0.05</w:t>
                  </w:r>
                </w:p>
              </w:tc>
              <w:tc>
                <w:tcPr>
                  <w:tcW w:w="540" w:type="pct"/>
                  <w:tcBorders>
                    <w:tl2br w:val="nil"/>
                    <w:tr2bl w:val="nil"/>
                  </w:tcBorders>
                  <w:shd w:val="clear" w:color="auto" w:fill="auto"/>
                  <w:vAlign w:val="center"/>
                </w:tcPr>
                <w:p w14:paraId="75B0A56C">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w:t>
                  </w:r>
                </w:p>
              </w:tc>
              <w:tc>
                <w:tcPr>
                  <w:tcW w:w="643" w:type="pct"/>
                  <w:vMerge w:val="continue"/>
                  <w:tcBorders>
                    <w:tl2br w:val="nil"/>
                    <w:tr2bl w:val="nil"/>
                  </w:tcBorders>
                  <w:vAlign w:val="center"/>
                </w:tcPr>
                <w:p w14:paraId="34127B06">
                  <w:pPr>
                    <w:widowControl/>
                    <w:spacing w:line="240" w:lineRule="auto"/>
                    <w:jc w:val="center"/>
                    <w:rPr>
                      <w:rFonts w:hint="default" w:ascii="Times New Roman" w:hAnsi="Times New Roman" w:eastAsia="宋体" w:cs="Times New Roman"/>
                      <w:color w:val="auto"/>
                      <w:sz w:val="21"/>
                      <w:szCs w:val="21"/>
                      <w:highlight w:val="none"/>
                    </w:rPr>
                  </w:pPr>
                </w:p>
              </w:tc>
            </w:tr>
            <w:tr w14:paraId="422D7E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368" w:type="pct"/>
                  <w:tcBorders>
                    <w:tl2br w:val="nil"/>
                    <w:tr2bl w:val="nil"/>
                  </w:tcBorders>
                  <w:vAlign w:val="center"/>
                </w:tcPr>
                <w:p w14:paraId="47D922E7">
                  <w:pPr>
                    <w:numPr>
                      <w:ilvl w:val="0"/>
                      <w:numId w:val="3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193DA581">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废活性炭</w:t>
                  </w:r>
                </w:p>
              </w:tc>
              <w:tc>
                <w:tcPr>
                  <w:tcW w:w="485" w:type="pct"/>
                  <w:tcBorders>
                    <w:tl2br w:val="nil"/>
                    <w:tr2bl w:val="nil"/>
                  </w:tcBorders>
                  <w:shd w:val="clear" w:color="auto" w:fill="auto"/>
                  <w:vAlign w:val="center"/>
                </w:tcPr>
                <w:p w14:paraId="24EF69A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shd w:val="clear" w:color="auto" w:fill="auto"/>
                  <w:vAlign w:val="center"/>
                </w:tcPr>
                <w:p w14:paraId="31AB392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w:t>
                  </w:r>
                  <w:r>
                    <w:rPr>
                      <w:rFonts w:hint="eastAsia"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lang w:val="en-US" w:eastAsia="zh-CN"/>
                    </w:rPr>
                    <w:t>- 49</w:t>
                  </w:r>
                </w:p>
              </w:tc>
              <w:tc>
                <w:tcPr>
                  <w:tcW w:w="524" w:type="pct"/>
                  <w:tcBorders>
                    <w:tl2br w:val="nil"/>
                    <w:tr2bl w:val="nil"/>
                  </w:tcBorders>
                  <w:shd w:val="clear" w:color="auto" w:fill="auto"/>
                  <w:vAlign w:val="center"/>
                </w:tcPr>
                <w:p w14:paraId="4FA75764">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w:t>
                  </w:r>
                  <w:r>
                    <w:rPr>
                      <w:rFonts w:hint="default" w:ascii="Times New Roman" w:hAnsi="Times New Roman" w:eastAsia="宋体" w:cs="Times New Roman"/>
                      <w:color w:val="auto"/>
                      <w:sz w:val="21"/>
                      <w:szCs w:val="21"/>
                      <w:highlight w:val="none"/>
                      <w:lang w:val="en-US" w:eastAsia="zh-CN"/>
                    </w:rPr>
                    <w:t>态</w:t>
                  </w:r>
                </w:p>
              </w:tc>
              <w:tc>
                <w:tcPr>
                  <w:tcW w:w="556" w:type="pct"/>
                  <w:tcBorders>
                    <w:tl2br w:val="nil"/>
                    <w:tr2bl w:val="nil"/>
                  </w:tcBorders>
                  <w:shd w:val="clear" w:color="auto" w:fill="auto"/>
                  <w:vAlign w:val="center"/>
                </w:tcPr>
                <w:p w14:paraId="667A165E">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w:t>
                  </w:r>
                </w:p>
              </w:tc>
              <w:tc>
                <w:tcPr>
                  <w:tcW w:w="587" w:type="pct"/>
                  <w:tcBorders>
                    <w:tl2br w:val="nil"/>
                    <w:tr2bl w:val="nil"/>
                  </w:tcBorders>
                  <w:shd w:val="clear" w:color="auto" w:fill="auto"/>
                  <w:vAlign w:val="center"/>
                </w:tcPr>
                <w:p w14:paraId="5C55DFAB">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0.1358</w:t>
                  </w:r>
                </w:p>
              </w:tc>
              <w:tc>
                <w:tcPr>
                  <w:tcW w:w="540" w:type="pct"/>
                  <w:tcBorders>
                    <w:tl2br w:val="nil"/>
                    <w:tr2bl w:val="nil"/>
                  </w:tcBorders>
                  <w:shd w:val="clear" w:color="auto" w:fill="auto"/>
                  <w:vAlign w:val="center"/>
                </w:tcPr>
                <w:p w14:paraId="332A7BB5">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每半年</w:t>
                  </w:r>
                </w:p>
              </w:tc>
              <w:tc>
                <w:tcPr>
                  <w:tcW w:w="643" w:type="pct"/>
                  <w:vMerge w:val="continue"/>
                  <w:tcBorders>
                    <w:tl2br w:val="nil"/>
                    <w:tr2bl w:val="nil"/>
                  </w:tcBorders>
                  <w:vAlign w:val="center"/>
                </w:tcPr>
                <w:p w14:paraId="3EB24393">
                  <w:pPr>
                    <w:widowControl/>
                    <w:spacing w:line="240" w:lineRule="auto"/>
                    <w:jc w:val="center"/>
                    <w:rPr>
                      <w:rFonts w:hint="default" w:ascii="Times New Roman" w:hAnsi="Times New Roman" w:eastAsia="宋体" w:cs="Times New Roman"/>
                      <w:color w:val="auto"/>
                      <w:sz w:val="21"/>
                      <w:szCs w:val="21"/>
                      <w:highlight w:val="none"/>
                    </w:rPr>
                  </w:pPr>
                </w:p>
              </w:tc>
            </w:tr>
            <w:tr w14:paraId="2B4BD9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368" w:type="pct"/>
                  <w:tcBorders>
                    <w:tl2br w:val="nil"/>
                    <w:tr2bl w:val="nil"/>
                  </w:tcBorders>
                  <w:vAlign w:val="center"/>
                </w:tcPr>
                <w:p w14:paraId="260BEB4A">
                  <w:pPr>
                    <w:numPr>
                      <w:ilvl w:val="0"/>
                      <w:numId w:val="3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3796CE2C">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废吸附剂</w:t>
                  </w:r>
                </w:p>
              </w:tc>
              <w:tc>
                <w:tcPr>
                  <w:tcW w:w="485" w:type="pct"/>
                  <w:tcBorders>
                    <w:tl2br w:val="nil"/>
                    <w:tr2bl w:val="nil"/>
                  </w:tcBorders>
                  <w:shd w:val="clear" w:color="auto" w:fill="auto"/>
                  <w:vAlign w:val="center"/>
                </w:tcPr>
                <w:p w14:paraId="6370FEE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HW49</w:t>
                  </w:r>
                </w:p>
              </w:tc>
              <w:tc>
                <w:tcPr>
                  <w:tcW w:w="719" w:type="pct"/>
                  <w:tcBorders>
                    <w:tl2br w:val="nil"/>
                    <w:tr2bl w:val="nil"/>
                  </w:tcBorders>
                  <w:shd w:val="clear" w:color="auto" w:fill="auto"/>
                  <w:vAlign w:val="center"/>
                </w:tcPr>
                <w:p w14:paraId="287B68F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900-041- 49</w:t>
                  </w:r>
                </w:p>
              </w:tc>
              <w:tc>
                <w:tcPr>
                  <w:tcW w:w="524" w:type="pct"/>
                  <w:tcBorders>
                    <w:tl2br w:val="nil"/>
                    <w:tr2bl w:val="nil"/>
                  </w:tcBorders>
                  <w:shd w:val="clear" w:color="auto" w:fill="auto"/>
                  <w:vAlign w:val="center"/>
                </w:tcPr>
                <w:p w14:paraId="2B6E3615">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固</w:t>
                  </w:r>
                  <w:r>
                    <w:rPr>
                      <w:rFonts w:hint="default" w:ascii="Times New Roman" w:hAnsi="Times New Roman" w:eastAsia="宋体" w:cs="Times New Roman"/>
                      <w:color w:val="auto"/>
                      <w:sz w:val="21"/>
                      <w:szCs w:val="21"/>
                      <w:highlight w:val="none"/>
                      <w:lang w:val="en-US" w:eastAsia="zh-CN"/>
                    </w:rPr>
                    <w:t>态</w:t>
                  </w:r>
                </w:p>
              </w:tc>
              <w:tc>
                <w:tcPr>
                  <w:tcW w:w="556" w:type="pct"/>
                  <w:tcBorders>
                    <w:tl2br w:val="nil"/>
                    <w:tr2bl w:val="nil"/>
                  </w:tcBorders>
                  <w:shd w:val="clear" w:color="auto" w:fill="auto"/>
                  <w:vAlign w:val="center"/>
                </w:tcPr>
                <w:p w14:paraId="7342C6E1">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T/In</w:t>
                  </w:r>
                </w:p>
              </w:tc>
              <w:tc>
                <w:tcPr>
                  <w:tcW w:w="587" w:type="pct"/>
                  <w:tcBorders>
                    <w:tl2br w:val="nil"/>
                    <w:tr2bl w:val="nil"/>
                  </w:tcBorders>
                  <w:shd w:val="clear" w:color="auto" w:fill="auto"/>
                  <w:vAlign w:val="center"/>
                </w:tcPr>
                <w:p w14:paraId="6CE20DE5">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0.1805</w:t>
                  </w:r>
                </w:p>
              </w:tc>
              <w:tc>
                <w:tcPr>
                  <w:tcW w:w="540" w:type="pct"/>
                  <w:tcBorders>
                    <w:tl2br w:val="nil"/>
                    <w:tr2bl w:val="nil"/>
                  </w:tcBorders>
                  <w:shd w:val="clear" w:color="auto" w:fill="auto"/>
                  <w:vAlign w:val="center"/>
                </w:tcPr>
                <w:p w14:paraId="751DB79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每半年</w:t>
                  </w:r>
                </w:p>
              </w:tc>
              <w:tc>
                <w:tcPr>
                  <w:tcW w:w="643" w:type="pct"/>
                  <w:vMerge w:val="continue"/>
                  <w:tcBorders>
                    <w:tl2br w:val="nil"/>
                    <w:tr2bl w:val="nil"/>
                  </w:tcBorders>
                  <w:vAlign w:val="center"/>
                </w:tcPr>
                <w:p w14:paraId="23755041">
                  <w:pPr>
                    <w:widowControl/>
                    <w:spacing w:line="240" w:lineRule="auto"/>
                    <w:jc w:val="center"/>
                    <w:rPr>
                      <w:rFonts w:hint="default" w:ascii="Times New Roman" w:hAnsi="Times New Roman" w:eastAsia="宋体" w:cs="Times New Roman"/>
                      <w:color w:val="auto"/>
                      <w:sz w:val="21"/>
                      <w:szCs w:val="21"/>
                      <w:highlight w:val="none"/>
                    </w:rPr>
                  </w:pPr>
                </w:p>
              </w:tc>
            </w:tr>
            <w:tr w14:paraId="06D7DA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368" w:type="pct"/>
                  <w:tcBorders>
                    <w:tl2br w:val="nil"/>
                    <w:tr2bl w:val="nil"/>
                  </w:tcBorders>
                  <w:vAlign w:val="center"/>
                </w:tcPr>
                <w:p w14:paraId="086A301E">
                  <w:pPr>
                    <w:numPr>
                      <w:ilvl w:val="0"/>
                      <w:numId w:val="36"/>
                    </w:numPr>
                    <w:spacing w:line="240" w:lineRule="auto"/>
                    <w:ind w:left="210"/>
                    <w:jc w:val="center"/>
                    <w:rPr>
                      <w:rFonts w:hint="default" w:ascii="Times New Roman" w:hAnsi="Times New Roman" w:eastAsia="宋体" w:cs="Times New Roman"/>
                      <w:color w:val="auto"/>
                      <w:sz w:val="21"/>
                      <w:szCs w:val="21"/>
                      <w:highlight w:val="none"/>
                    </w:rPr>
                  </w:pPr>
                </w:p>
              </w:tc>
              <w:tc>
                <w:tcPr>
                  <w:tcW w:w="574" w:type="pct"/>
                  <w:tcBorders>
                    <w:tl2br w:val="nil"/>
                    <w:tr2bl w:val="nil"/>
                  </w:tcBorders>
                  <w:vAlign w:val="center"/>
                </w:tcPr>
                <w:p w14:paraId="1AB8E195">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小计</w:t>
                  </w:r>
                </w:p>
              </w:tc>
              <w:tc>
                <w:tcPr>
                  <w:tcW w:w="485" w:type="pct"/>
                  <w:tcBorders>
                    <w:tl2br w:val="nil"/>
                    <w:tr2bl w:val="nil"/>
                  </w:tcBorders>
                  <w:shd w:val="clear" w:color="auto" w:fill="auto"/>
                  <w:vAlign w:val="center"/>
                </w:tcPr>
                <w:p w14:paraId="1AE4629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719" w:type="pct"/>
                  <w:tcBorders>
                    <w:tl2br w:val="nil"/>
                    <w:tr2bl w:val="nil"/>
                  </w:tcBorders>
                  <w:shd w:val="clear" w:color="auto" w:fill="auto"/>
                  <w:vAlign w:val="center"/>
                </w:tcPr>
                <w:p w14:paraId="1B6FCB44">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24" w:type="pct"/>
                  <w:tcBorders>
                    <w:tl2br w:val="nil"/>
                    <w:tr2bl w:val="nil"/>
                  </w:tcBorders>
                  <w:shd w:val="clear" w:color="auto" w:fill="auto"/>
                  <w:vAlign w:val="center"/>
                </w:tcPr>
                <w:p w14:paraId="1BBCF12A">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56" w:type="pct"/>
                  <w:tcBorders>
                    <w:tl2br w:val="nil"/>
                    <w:tr2bl w:val="nil"/>
                  </w:tcBorders>
                  <w:shd w:val="clear" w:color="auto" w:fill="auto"/>
                  <w:vAlign w:val="center"/>
                </w:tcPr>
                <w:p w14:paraId="354FA4AF">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87" w:type="pct"/>
                  <w:tcBorders>
                    <w:tl2br w:val="nil"/>
                    <w:tr2bl w:val="nil"/>
                  </w:tcBorders>
                  <w:shd w:val="clear" w:color="auto" w:fill="auto"/>
                  <w:vAlign w:val="center"/>
                </w:tcPr>
                <w:p w14:paraId="4C59BBE2">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2.2913</w:t>
                  </w:r>
                </w:p>
              </w:tc>
              <w:tc>
                <w:tcPr>
                  <w:tcW w:w="540" w:type="pct"/>
                  <w:tcBorders>
                    <w:tl2br w:val="nil"/>
                    <w:tr2bl w:val="nil"/>
                  </w:tcBorders>
                  <w:shd w:val="clear" w:color="auto" w:fill="auto"/>
                  <w:vAlign w:val="center"/>
                </w:tcPr>
                <w:p w14:paraId="6565F77D">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43" w:type="pct"/>
                  <w:tcBorders>
                    <w:tl2br w:val="nil"/>
                    <w:tr2bl w:val="nil"/>
                  </w:tcBorders>
                  <w:vAlign w:val="center"/>
                </w:tcPr>
                <w:p w14:paraId="52C341A8">
                  <w:pPr>
                    <w:spacing w:line="240" w:lineRule="auto"/>
                    <w:jc w:val="center"/>
                    <w:rPr>
                      <w:rFonts w:hint="default" w:ascii="Times New Roman" w:hAnsi="Times New Roman" w:eastAsia="宋体" w:cs="Times New Roman"/>
                      <w:color w:val="auto"/>
                      <w:sz w:val="21"/>
                      <w:szCs w:val="21"/>
                      <w:highlight w:val="none"/>
                      <w:lang w:val="en-US" w:eastAsia="zh-CN"/>
                    </w:rPr>
                  </w:pPr>
                </w:p>
              </w:tc>
            </w:tr>
            <w:tr w14:paraId="67E4C9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5000" w:type="pct"/>
                  <w:gridSpan w:val="9"/>
                  <w:tcBorders>
                    <w:tl2br w:val="nil"/>
                    <w:tr2bl w:val="nil"/>
                  </w:tcBorders>
                  <w:vAlign w:val="center"/>
                </w:tcPr>
                <w:p w14:paraId="31D707D4">
                  <w:pPr>
                    <w:widowControl/>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一般固废</w:t>
                  </w:r>
                </w:p>
              </w:tc>
            </w:tr>
            <w:tr w14:paraId="4CB132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368" w:type="pct"/>
                  <w:tcBorders>
                    <w:tl2br w:val="nil"/>
                    <w:tr2bl w:val="nil"/>
                  </w:tcBorders>
                  <w:vAlign w:val="center"/>
                </w:tcPr>
                <w:p w14:paraId="26AA904F">
                  <w:pPr>
                    <w:numPr>
                      <w:ilvl w:val="0"/>
                      <w:numId w:val="36"/>
                    </w:numPr>
                    <w:spacing w:line="240" w:lineRule="auto"/>
                    <w:ind w:left="210"/>
                    <w:jc w:val="center"/>
                    <w:rPr>
                      <w:rFonts w:hint="default" w:ascii="Times New Roman" w:hAnsi="Times New Roman" w:eastAsia="宋体" w:cs="Times New Roman"/>
                      <w:color w:val="auto"/>
                      <w:sz w:val="21"/>
                      <w:szCs w:val="21"/>
                      <w:highlight w:val="none"/>
                      <w:lang w:val="en-US" w:eastAsia="zh-CN"/>
                    </w:rPr>
                  </w:pPr>
                </w:p>
              </w:tc>
              <w:tc>
                <w:tcPr>
                  <w:tcW w:w="574" w:type="pct"/>
                  <w:tcBorders>
                    <w:tl2br w:val="nil"/>
                    <w:tr2bl w:val="nil"/>
                  </w:tcBorders>
                  <w:shd w:val="clear" w:color="auto" w:fill="auto"/>
                  <w:vAlign w:val="center"/>
                </w:tcPr>
                <w:p w14:paraId="3D1430AC">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未沾染化学试剂的废包装物</w:t>
                  </w:r>
                </w:p>
              </w:tc>
              <w:tc>
                <w:tcPr>
                  <w:tcW w:w="485" w:type="pct"/>
                  <w:tcBorders>
                    <w:tl2br w:val="nil"/>
                    <w:tr2bl w:val="nil"/>
                  </w:tcBorders>
                  <w:shd w:val="clear" w:color="auto" w:fill="auto"/>
                  <w:vAlign w:val="center"/>
                </w:tcPr>
                <w:p w14:paraId="1A37974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19" w:type="pct"/>
                  <w:tcBorders>
                    <w:tl2br w:val="nil"/>
                    <w:tr2bl w:val="nil"/>
                  </w:tcBorders>
                  <w:shd w:val="clear" w:color="auto" w:fill="auto"/>
                  <w:vAlign w:val="center"/>
                </w:tcPr>
                <w:p w14:paraId="6BE1818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900-999-99</w:t>
                  </w:r>
                </w:p>
              </w:tc>
              <w:tc>
                <w:tcPr>
                  <w:tcW w:w="524" w:type="pct"/>
                  <w:tcBorders>
                    <w:tl2br w:val="nil"/>
                    <w:tr2bl w:val="nil"/>
                  </w:tcBorders>
                  <w:shd w:val="clear" w:color="auto" w:fill="auto"/>
                  <w:vAlign w:val="center"/>
                </w:tcPr>
                <w:p w14:paraId="3A6A5D90">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556" w:type="pct"/>
                  <w:tcBorders>
                    <w:tl2br w:val="nil"/>
                    <w:tr2bl w:val="nil"/>
                  </w:tcBorders>
                  <w:shd w:val="clear" w:color="auto" w:fill="auto"/>
                  <w:vAlign w:val="center"/>
                </w:tcPr>
                <w:p w14:paraId="3E9ADE1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7" w:type="pct"/>
                  <w:tcBorders>
                    <w:tl2br w:val="nil"/>
                    <w:tr2bl w:val="nil"/>
                  </w:tcBorders>
                  <w:shd w:val="clear" w:color="auto" w:fill="auto"/>
                  <w:vAlign w:val="center"/>
                </w:tcPr>
                <w:p w14:paraId="6320BE61">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1.5</w:t>
                  </w:r>
                </w:p>
              </w:tc>
              <w:tc>
                <w:tcPr>
                  <w:tcW w:w="540" w:type="pct"/>
                  <w:tcBorders>
                    <w:tl2br w:val="nil"/>
                    <w:tr2bl w:val="nil"/>
                  </w:tcBorders>
                  <w:shd w:val="clear" w:color="auto" w:fill="auto"/>
                  <w:vAlign w:val="center"/>
                </w:tcPr>
                <w:p w14:paraId="2E8B5CF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w:t>
                  </w:r>
                </w:p>
              </w:tc>
              <w:tc>
                <w:tcPr>
                  <w:tcW w:w="643" w:type="pct"/>
                  <w:tcBorders>
                    <w:tl2br w:val="nil"/>
                    <w:tr2bl w:val="nil"/>
                  </w:tcBorders>
                  <w:vAlign w:val="center"/>
                </w:tcPr>
                <w:p w14:paraId="0A222ED7">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物资回收</w:t>
                  </w:r>
                  <w:r>
                    <w:rPr>
                      <w:rFonts w:hint="eastAsia" w:cs="Times New Roman"/>
                      <w:color w:val="auto"/>
                      <w:sz w:val="21"/>
                      <w:szCs w:val="21"/>
                      <w:highlight w:val="none"/>
                      <w:lang w:val="en-US" w:eastAsia="zh-CN"/>
                    </w:rPr>
                    <w:t>单位</w:t>
                  </w:r>
                  <w:r>
                    <w:rPr>
                      <w:rFonts w:hint="default" w:ascii="Times New Roman" w:hAnsi="Times New Roman" w:eastAsia="宋体" w:cs="Times New Roman"/>
                      <w:color w:val="auto"/>
                      <w:sz w:val="21"/>
                      <w:szCs w:val="21"/>
                      <w:highlight w:val="none"/>
                      <w:lang w:val="en-US" w:eastAsia="zh-CN"/>
                    </w:rPr>
                    <w:t>回收</w:t>
                  </w:r>
                </w:p>
              </w:tc>
            </w:tr>
            <w:tr w14:paraId="28EBAD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7" w:hRule="atLeast"/>
                <w:jc w:val="center"/>
              </w:trPr>
              <w:tc>
                <w:tcPr>
                  <w:tcW w:w="368" w:type="pct"/>
                  <w:tcBorders>
                    <w:tl2br w:val="nil"/>
                    <w:tr2bl w:val="nil"/>
                  </w:tcBorders>
                  <w:vAlign w:val="center"/>
                </w:tcPr>
                <w:p w14:paraId="47F9CCCE">
                  <w:pPr>
                    <w:numPr>
                      <w:ilvl w:val="0"/>
                      <w:numId w:val="36"/>
                    </w:numPr>
                    <w:spacing w:line="240" w:lineRule="auto"/>
                    <w:ind w:left="210"/>
                    <w:jc w:val="center"/>
                    <w:rPr>
                      <w:rFonts w:hint="default" w:ascii="Times New Roman" w:hAnsi="Times New Roman" w:eastAsia="宋体" w:cs="Times New Roman"/>
                      <w:color w:val="auto"/>
                      <w:sz w:val="21"/>
                      <w:szCs w:val="21"/>
                      <w:highlight w:val="none"/>
                      <w:lang w:val="en-US" w:eastAsia="zh-CN"/>
                    </w:rPr>
                  </w:pPr>
                </w:p>
              </w:tc>
              <w:tc>
                <w:tcPr>
                  <w:tcW w:w="574" w:type="pct"/>
                  <w:tcBorders>
                    <w:tl2br w:val="nil"/>
                    <w:tr2bl w:val="nil"/>
                  </w:tcBorders>
                  <w:shd w:val="clear" w:color="auto" w:fill="auto"/>
                  <w:vAlign w:val="center"/>
                </w:tcPr>
                <w:p w14:paraId="024BAA8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生活垃圾</w:t>
                  </w:r>
                </w:p>
              </w:tc>
              <w:tc>
                <w:tcPr>
                  <w:tcW w:w="485" w:type="pct"/>
                  <w:tcBorders>
                    <w:tl2br w:val="nil"/>
                    <w:tr2bl w:val="nil"/>
                  </w:tcBorders>
                  <w:shd w:val="clear" w:color="auto" w:fill="auto"/>
                  <w:vAlign w:val="center"/>
                </w:tcPr>
                <w:p w14:paraId="30E7956A">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719" w:type="pct"/>
                  <w:tcBorders>
                    <w:tl2br w:val="nil"/>
                    <w:tr2bl w:val="nil"/>
                  </w:tcBorders>
                  <w:shd w:val="clear" w:color="auto" w:fill="auto"/>
                  <w:vAlign w:val="center"/>
                </w:tcPr>
                <w:p w14:paraId="67EABFC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900-999-99</w:t>
                  </w:r>
                </w:p>
              </w:tc>
              <w:tc>
                <w:tcPr>
                  <w:tcW w:w="524" w:type="pct"/>
                  <w:tcBorders>
                    <w:tl2br w:val="nil"/>
                    <w:tr2bl w:val="nil"/>
                  </w:tcBorders>
                  <w:shd w:val="clear" w:color="auto" w:fill="auto"/>
                  <w:vAlign w:val="center"/>
                </w:tcPr>
                <w:p w14:paraId="0CD73813">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固态</w:t>
                  </w:r>
                </w:p>
              </w:tc>
              <w:tc>
                <w:tcPr>
                  <w:tcW w:w="556" w:type="pct"/>
                  <w:tcBorders>
                    <w:tl2br w:val="nil"/>
                    <w:tr2bl w:val="nil"/>
                  </w:tcBorders>
                  <w:shd w:val="clear" w:color="auto" w:fill="auto"/>
                  <w:vAlign w:val="center"/>
                </w:tcPr>
                <w:p w14:paraId="39EB7AF8">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587" w:type="pct"/>
                  <w:tcBorders>
                    <w:tl2br w:val="nil"/>
                    <w:tr2bl w:val="nil"/>
                  </w:tcBorders>
                  <w:shd w:val="clear" w:color="auto" w:fill="auto"/>
                  <w:vAlign w:val="center"/>
                </w:tcPr>
                <w:p w14:paraId="65732965">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4.68</w:t>
                  </w:r>
                </w:p>
              </w:tc>
              <w:tc>
                <w:tcPr>
                  <w:tcW w:w="540" w:type="pct"/>
                  <w:tcBorders>
                    <w:tl2br w:val="nil"/>
                    <w:tr2bl w:val="nil"/>
                  </w:tcBorders>
                  <w:shd w:val="clear" w:color="auto" w:fill="auto"/>
                  <w:vAlign w:val="center"/>
                </w:tcPr>
                <w:p w14:paraId="3849B119">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每天</w:t>
                  </w:r>
                </w:p>
              </w:tc>
              <w:tc>
                <w:tcPr>
                  <w:tcW w:w="643" w:type="pct"/>
                  <w:tcBorders>
                    <w:tl2br w:val="nil"/>
                    <w:tr2bl w:val="nil"/>
                  </w:tcBorders>
                  <w:shd w:val="clear" w:color="auto" w:fill="auto"/>
                  <w:vAlign w:val="center"/>
                </w:tcPr>
                <w:p w14:paraId="0836C9C9">
                  <w:pPr>
                    <w:widowControl/>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环卫清运</w:t>
                  </w:r>
                </w:p>
              </w:tc>
            </w:tr>
          </w:tbl>
          <w:p w14:paraId="5F027FBC">
            <w:pPr>
              <w:adjustRightInd w:val="0"/>
              <w:spacing w:line="360" w:lineRule="auto"/>
              <w:ind w:firstLine="480" w:firstLineChars="200"/>
              <w:rPr>
                <w:rFonts w:hint="default" w:ascii="Times New Roman" w:hAnsi="Times New Roman" w:eastAsia="宋体" w:cs="Times New Roman"/>
                <w:color w:val="auto"/>
                <w:sz w:val="24"/>
                <w:highlight w:val="none"/>
                <w:vertAlign w:val="baseline"/>
                <w:lang w:val="en-US" w:eastAsia="zh-CN"/>
              </w:rPr>
            </w:pPr>
            <w:r>
              <w:rPr>
                <w:rFonts w:hint="eastAsia" w:cs="Times New Roman"/>
                <w:color w:val="auto"/>
                <w:sz w:val="24"/>
                <w:highlight w:val="none"/>
                <w:lang w:val="en-US" w:eastAsia="zh-CN"/>
              </w:rPr>
              <w:t>本</w:t>
            </w:r>
            <w:r>
              <w:rPr>
                <w:rFonts w:hint="default" w:ascii="Times New Roman" w:hAnsi="Times New Roman" w:eastAsia="宋体" w:cs="Times New Roman"/>
                <w:color w:val="auto"/>
                <w:sz w:val="24"/>
                <w:highlight w:val="none"/>
                <w:lang w:val="en-US" w:eastAsia="zh-CN"/>
              </w:rPr>
              <w:t>项目在</w:t>
            </w:r>
            <w:r>
              <w:rPr>
                <w:rFonts w:hint="eastAsia" w:cs="Times New Roman"/>
                <w:color w:val="auto"/>
                <w:sz w:val="24"/>
                <w:highlight w:val="none"/>
                <w:lang w:val="en-US" w:eastAsia="zh-CN"/>
              </w:rPr>
              <w:t>3层东侧</w:t>
            </w:r>
            <w:r>
              <w:rPr>
                <w:rFonts w:hint="default" w:ascii="Times New Roman" w:hAnsi="Times New Roman" w:eastAsia="宋体" w:cs="Times New Roman"/>
                <w:color w:val="auto"/>
                <w:sz w:val="24"/>
                <w:highlight w:val="none"/>
                <w:lang w:val="en-US" w:eastAsia="zh-CN"/>
              </w:rPr>
              <w:t>建设</w:t>
            </w:r>
            <w:r>
              <w:rPr>
                <w:rFonts w:hint="eastAsia" w:cs="Times New Roman"/>
                <w:color w:val="auto"/>
                <w:sz w:val="24"/>
                <w:highlight w:val="none"/>
                <w:lang w:val="en-US" w:eastAsia="zh-CN"/>
              </w:rPr>
              <w:t>一</w:t>
            </w:r>
            <w:r>
              <w:rPr>
                <w:rFonts w:hint="default" w:ascii="Times New Roman" w:hAnsi="Times New Roman" w:eastAsia="宋体" w:cs="Times New Roman"/>
                <w:color w:val="auto"/>
                <w:sz w:val="24"/>
                <w:highlight w:val="none"/>
                <w:lang w:val="en-US" w:eastAsia="zh-CN"/>
              </w:rPr>
              <w:t>间</w:t>
            </w:r>
            <w:r>
              <w:rPr>
                <w:rFonts w:hint="eastAsia" w:cs="Times New Roman"/>
                <w:color w:val="auto"/>
                <w:sz w:val="24"/>
                <w:highlight w:val="none"/>
                <w:lang w:val="en-US" w:eastAsia="zh-CN"/>
              </w:rPr>
              <w:t>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vertAlign w:val="baseline"/>
                <w:lang w:val="en-US" w:eastAsia="zh-CN"/>
              </w:rPr>
              <w:t>一般</w:t>
            </w:r>
            <w:r>
              <w:rPr>
                <w:rFonts w:hint="eastAsia" w:cs="Times New Roman"/>
                <w:color w:val="auto"/>
                <w:sz w:val="24"/>
                <w:highlight w:val="none"/>
                <w:vertAlign w:val="baseline"/>
                <w:lang w:val="en-US" w:eastAsia="zh-CN"/>
              </w:rPr>
              <w:t>工业固体废物</w:t>
            </w:r>
            <w:r>
              <w:rPr>
                <w:rFonts w:hint="default" w:ascii="Times New Roman" w:hAnsi="Times New Roman" w:eastAsia="宋体" w:cs="Times New Roman"/>
                <w:color w:val="auto"/>
                <w:sz w:val="24"/>
                <w:highlight w:val="none"/>
                <w:vertAlign w:val="baseline"/>
                <w:lang w:val="en-US" w:eastAsia="zh-CN"/>
              </w:rPr>
              <w:t>暂存间，</w:t>
            </w:r>
            <w:r>
              <w:rPr>
                <w:rFonts w:hint="default" w:ascii="Times New Roman" w:hAnsi="Times New Roman" w:eastAsia="宋体" w:cs="Times New Roman"/>
                <w:color w:val="auto"/>
                <w:sz w:val="24"/>
                <w:highlight w:val="none"/>
                <w:lang w:val="en-US" w:eastAsia="zh-CN"/>
              </w:rPr>
              <w:t>未沾染化学试剂的废包装物产生量约</w:t>
            </w:r>
            <w:r>
              <w:rPr>
                <w:rFonts w:hint="eastAsia" w:cs="Times New Roman"/>
                <w:color w:val="auto"/>
                <w:sz w:val="24"/>
                <w:highlight w:val="none"/>
                <w:lang w:val="en-US" w:eastAsia="zh-CN"/>
              </w:rPr>
              <w:t>1.5</w:t>
            </w:r>
            <w:r>
              <w:rPr>
                <w:rFonts w:hint="default" w:ascii="Times New Roman" w:hAnsi="Times New Roman" w:eastAsia="宋体" w:cs="Times New Roman"/>
                <w:color w:val="auto"/>
                <w:sz w:val="24"/>
                <w:highlight w:val="none"/>
                <w:lang w:val="en-US" w:eastAsia="zh-CN"/>
              </w:rPr>
              <w:t>t/a</w:t>
            </w:r>
            <w:r>
              <w:rPr>
                <w:rFonts w:hint="eastAsia"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废包装物</w:t>
            </w:r>
            <w:r>
              <w:rPr>
                <w:rFonts w:hint="eastAsia" w:cs="Times New Roman"/>
                <w:color w:val="auto"/>
                <w:sz w:val="24"/>
                <w:highlight w:val="none"/>
                <w:lang w:val="en-US" w:eastAsia="zh-CN"/>
              </w:rPr>
              <w:t>每周处理一次，</w:t>
            </w:r>
            <w:r>
              <w:rPr>
                <w:rFonts w:hint="default" w:ascii="Times New Roman" w:hAnsi="Times New Roman" w:eastAsia="宋体" w:cs="Times New Roman"/>
                <w:color w:val="auto"/>
                <w:sz w:val="24"/>
                <w:highlight w:val="none"/>
                <w:vertAlign w:val="baseline"/>
                <w:lang w:val="en-US" w:eastAsia="zh-CN"/>
              </w:rPr>
              <w:t>一般</w:t>
            </w:r>
            <w:r>
              <w:rPr>
                <w:rFonts w:hint="eastAsia" w:cs="Times New Roman"/>
                <w:color w:val="auto"/>
                <w:sz w:val="24"/>
                <w:highlight w:val="none"/>
                <w:vertAlign w:val="baseline"/>
                <w:lang w:val="en-US" w:eastAsia="zh-CN"/>
              </w:rPr>
              <w:t>工业固体废物</w:t>
            </w:r>
            <w:r>
              <w:rPr>
                <w:rFonts w:hint="default" w:ascii="Times New Roman" w:hAnsi="Times New Roman" w:eastAsia="宋体" w:cs="Times New Roman"/>
                <w:color w:val="auto"/>
                <w:sz w:val="24"/>
                <w:highlight w:val="none"/>
                <w:vertAlign w:val="baseline"/>
                <w:lang w:val="en-US" w:eastAsia="zh-CN"/>
              </w:rPr>
              <w:t>暂存间能满足本项目的贮存要求。</w:t>
            </w:r>
          </w:p>
          <w:p w14:paraId="314384B7">
            <w:pPr>
              <w:adjustRightIn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本项目在三层东侧</w:t>
            </w:r>
            <w:r>
              <w:rPr>
                <w:rFonts w:hint="default" w:ascii="Times New Roman" w:hAnsi="Times New Roman" w:eastAsia="宋体" w:cs="Times New Roman"/>
                <w:color w:val="auto"/>
                <w:sz w:val="24"/>
                <w:highlight w:val="none"/>
              </w:rPr>
              <w:t>按照《危险废物贮存污染控制标准》（GB18597-2023）要求</w:t>
            </w:r>
            <w:r>
              <w:rPr>
                <w:rFonts w:hint="default" w:ascii="Times New Roman" w:hAnsi="Times New Roman" w:eastAsia="宋体" w:cs="Times New Roman"/>
                <w:color w:val="auto"/>
                <w:sz w:val="24"/>
                <w:highlight w:val="none"/>
                <w:lang w:val="en-US" w:eastAsia="zh-CN"/>
              </w:rPr>
              <w:t>建设</w:t>
            </w:r>
            <w:r>
              <w:rPr>
                <w:rFonts w:hint="eastAsia" w:cs="Times New Roman"/>
                <w:color w:val="auto"/>
                <w:sz w:val="24"/>
                <w:highlight w:val="none"/>
                <w:lang w:val="en-US" w:eastAsia="zh-CN"/>
              </w:rPr>
              <w:t>1间3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2</w:t>
            </w:r>
            <w:r>
              <w:rPr>
                <w:rFonts w:hint="default" w:ascii="Times New Roman" w:hAnsi="Times New Roman" w:eastAsia="宋体" w:cs="Times New Roman"/>
                <w:color w:val="auto"/>
                <w:sz w:val="24"/>
                <w:highlight w:val="none"/>
                <w:lang w:val="en-US" w:eastAsia="zh-CN"/>
              </w:rPr>
              <w:t>的危险废物暂存间，危险废物暂存间</w:t>
            </w:r>
            <w:r>
              <w:rPr>
                <w:rFonts w:hint="eastAsia" w:cs="Times New Roman"/>
                <w:color w:val="auto"/>
                <w:sz w:val="24"/>
                <w:highlight w:val="none"/>
                <w:lang w:val="en-US" w:eastAsia="zh-CN"/>
              </w:rPr>
              <w:t>及其贮存</w:t>
            </w:r>
            <w:r>
              <w:rPr>
                <w:rFonts w:hint="default" w:ascii="Times New Roman" w:hAnsi="Times New Roman" w:eastAsia="宋体" w:cs="Times New Roman"/>
                <w:color w:val="auto"/>
                <w:sz w:val="24"/>
                <w:highlight w:val="none"/>
                <w:lang w:val="en-US" w:eastAsia="zh-CN"/>
              </w:rPr>
              <w:t>情况见下表。</w:t>
            </w:r>
          </w:p>
          <w:p w14:paraId="446E9471">
            <w:pPr>
              <w:numPr>
                <w:ilvl w:val="0"/>
                <w:numId w:val="32"/>
              </w:numPr>
              <w:adjustRightInd w:val="0"/>
              <w:spacing w:line="360" w:lineRule="auto"/>
              <w:ind w:left="425" w:leftChars="0" w:hanging="425" w:firstLineChars="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项目</w:t>
            </w:r>
            <w:r>
              <w:rPr>
                <w:rFonts w:hint="default" w:ascii="Times New Roman" w:hAnsi="Times New Roman" w:eastAsia="宋体" w:cs="Times New Roman"/>
                <w:b/>
                <w:color w:val="auto"/>
                <w:sz w:val="24"/>
                <w:highlight w:val="none"/>
                <w:lang w:val="en-US" w:eastAsia="zh-CN"/>
              </w:rPr>
              <w:t>危险废物暂存间</w:t>
            </w:r>
            <w:r>
              <w:rPr>
                <w:rFonts w:hint="default" w:ascii="Times New Roman" w:hAnsi="Times New Roman" w:eastAsia="宋体" w:cs="Times New Roman"/>
                <w:b/>
                <w:color w:val="auto"/>
                <w:sz w:val="24"/>
                <w:highlight w:val="none"/>
              </w:rPr>
              <w:t>情况一览表</w:t>
            </w:r>
          </w:p>
          <w:tbl>
            <w:tblPr>
              <w:tblStyle w:val="24"/>
              <w:tblW w:w="745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484"/>
              <w:gridCol w:w="1321"/>
              <w:gridCol w:w="999"/>
              <w:gridCol w:w="732"/>
              <w:gridCol w:w="768"/>
              <w:gridCol w:w="768"/>
              <w:gridCol w:w="924"/>
            </w:tblGrid>
            <w:tr w14:paraId="2F2E56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63" w:type="dxa"/>
                  <w:tcBorders>
                    <w:tl2br w:val="nil"/>
                    <w:tr2bl w:val="nil"/>
                  </w:tcBorders>
                  <w:vAlign w:val="center"/>
                </w:tcPr>
                <w:p w14:paraId="5D839C6B">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序号</w:t>
                  </w:r>
                </w:p>
              </w:tc>
              <w:tc>
                <w:tcPr>
                  <w:tcW w:w="1484" w:type="dxa"/>
                  <w:tcBorders>
                    <w:tl2br w:val="nil"/>
                    <w:tr2bl w:val="nil"/>
                  </w:tcBorders>
                  <w:vAlign w:val="center"/>
                </w:tcPr>
                <w:p w14:paraId="3E7ED30A">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危险废物名称</w:t>
                  </w:r>
                </w:p>
              </w:tc>
              <w:tc>
                <w:tcPr>
                  <w:tcW w:w="1321" w:type="dxa"/>
                  <w:tcBorders>
                    <w:tl2br w:val="nil"/>
                    <w:tr2bl w:val="nil"/>
                  </w:tcBorders>
                  <w:vAlign w:val="center"/>
                </w:tcPr>
                <w:p w14:paraId="2C123496">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危险废物代码</w:t>
                  </w:r>
                </w:p>
              </w:tc>
              <w:tc>
                <w:tcPr>
                  <w:tcW w:w="999" w:type="dxa"/>
                  <w:tcBorders>
                    <w:tl2br w:val="nil"/>
                    <w:tr2bl w:val="nil"/>
                  </w:tcBorders>
                  <w:vAlign w:val="center"/>
                </w:tcPr>
                <w:p w14:paraId="27993DBB">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贮存方式</w:t>
                  </w:r>
                </w:p>
              </w:tc>
              <w:tc>
                <w:tcPr>
                  <w:tcW w:w="732" w:type="dxa"/>
                  <w:tcBorders>
                    <w:tl2br w:val="nil"/>
                    <w:tr2bl w:val="nil"/>
                  </w:tcBorders>
                  <w:vAlign w:val="center"/>
                </w:tcPr>
                <w:p w14:paraId="4589BC40">
                  <w:pPr>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年产生量</w:t>
                  </w:r>
                </w:p>
              </w:tc>
              <w:tc>
                <w:tcPr>
                  <w:tcW w:w="768" w:type="dxa"/>
                  <w:tcBorders>
                    <w:tl2br w:val="nil"/>
                    <w:tr2bl w:val="nil"/>
                  </w:tcBorders>
                  <w:vAlign w:val="center"/>
                </w:tcPr>
                <w:p w14:paraId="079598C1">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面积</w:t>
                  </w:r>
                </w:p>
                <w:p w14:paraId="1DE59271">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2</w:t>
                  </w:r>
                </w:p>
              </w:tc>
              <w:tc>
                <w:tcPr>
                  <w:tcW w:w="768" w:type="dxa"/>
                  <w:tcBorders>
                    <w:tl2br w:val="nil"/>
                    <w:tr2bl w:val="nil"/>
                  </w:tcBorders>
                  <w:vAlign w:val="center"/>
                </w:tcPr>
                <w:p w14:paraId="3CA36F29">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贮存能力</w:t>
                  </w:r>
                </w:p>
              </w:tc>
              <w:tc>
                <w:tcPr>
                  <w:tcW w:w="924" w:type="dxa"/>
                  <w:tcBorders>
                    <w:tl2br w:val="nil"/>
                    <w:tr2bl w:val="nil"/>
                  </w:tcBorders>
                  <w:vAlign w:val="center"/>
                </w:tcPr>
                <w:p w14:paraId="43BCAC61">
                  <w:pPr>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贮存周期</w:t>
                  </w:r>
                </w:p>
              </w:tc>
            </w:tr>
            <w:tr w14:paraId="6D87B8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6C594E38">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484" w:type="dxa"/>
                  <w:tcBorders>
                    <w:tl2br w:val="nil"/>
                    <w:tr2bl w:val="nil"/>
                  </w:tcBorders>
                  <w:shd w:val="clear" w:color="auto" w:fill="auto"/>
                  <w:vAlign w:val="center"/>
                </w:tcPr>
                <w:p w14:paraId="53E1D0A1">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废试剂瓶</w:t>
                  </w:r>
                </w:p>
              </w:tc>
              <w:tc>
                <w:tcPr>
                  <w:tcW w:w="1321" w:type="dxa"/>
                  <w:tcBorders>
                    <w:tl2br w:val="nil"/>
                    <w:tr2bl w:val="nil"/>
                  </w:tcBorders>
                  <w:shd w:val="clear" w:color="auto" w:fill="auto"/>
                  <w:vAlign w:val="center"/>
                </w:tcPr>
                <w:p w14:paraId="763C811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999" w:type="dxa"/>
                  <w:tcBorders>
                    <w:tl2br w:val="nil"/>
                    <w:tr2bl w:val="nil"/>
                  </w:tcBorders>
                  <w:vAlign w:val="center"/>
                </w:tcPr>
                <w:p w14:paraId="5C641B4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732" w:type="dxa"/>
                  <w:vMerge w:val="restart"/>
                  <w:tcBorders>
                    <w:tl2br w:val="nil"/>
                    <w:tr2bl w:val="nil"/>
                  </w:tcBorders>
                  <w:vAlign w:val="center"/>
                </w:tcPr>
                <w:p w14:paraId="0B47570B">
                  <w:pPr>
                    <w:jc w:val="center"/>
                    <w:rPr>
                      <w:rFonts w:hint="default" w:cs="Times New Roman"/>
                      <w:color w:val="auto"/>
                      <w:sz w:val="21"/>
                      <w:szCs w:val="21"/>
                      <w:highlight w:val="none"/>
                      <w:lang w:val="en-US" w:eastAsia="zh-CN"/>
                    </w:rPr>
                  </w:pPr>
                  <w:r>
                    <w:rPr>
                      <w:rFonts w:hint="eastAsia" w:cs="Times New Roman"/>
                      <w:color w:val="auto"/>
                      <w:sz w:val="21"/>
                      <w:szCs w:val="21"/>
                      <w:highlight w:val="none"/>
                      <w:vertAlign w:val="baseline"/>
                      <w:lang w:val="en-US" w:eastAsia="zh-CN"/>
                    </w:rPr>
                    <w:t>2.2913</w:t>
                  </w:r>
                  <w:r>
                    <w:rPr>
                      <w:rFonts w:hint="eastAsia" w:cs="Times New Roman"/>
                      <w:color w:val="auto"/>
                      <w:sz w:val="21"/>
                      <w:szCs w:val="21"/>
                      <w:highlight w:val="none"/>
                      <w:lang w:val="en-US" w:eastAsia="zh-CN"/>
                    </w:rPr>
                    <w:t>吨</w:t>
                  </w:r>
                </w:p>
              </w:tc>
              <w:tc>
                <w:tcPr>
                  <w:tcW w:w="768" w:type="dxa"/>
                  <w:vMerge w:val="restart"/>
                  <w:tcBorders>
                    <w:tl2br w:val="nil"/>
                    <w:tr2bl w:val="nil"/>
                  </w:tcBorders>
                  <w:vAlign w:val="center"/>
                </w:tcPr>
                <w:p w14:paraId="11BAB6E1">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768" w:type="dxa"/>
                  <w:vMerge w:val="restart"/>
                  <w:tcBorders>
                    <w:tl2br w:val="nil"/>
                    <w:tr2bl w:val="nil"/>
                  </w:tcBorders>
                  <w:vAlign w:val="center"/>
                </w:tcPr>
                <w:p w14:paraId="4028105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2吨</w:t>
                  </w:r>
                </w:p>
              </w:tc>
              <w:tc>
                <w:tcPr>
                  <w:tcW w:w="924" w:type="dxa"/>
                  <w:vMerge w:val="restart"/>
                  <w:tcBorders>
                    <w:tl2br w:val="nil"/>
                    <w:tr2bl w:val="nil"/>
                  </w:tcBorders>
                  <w:vAlign w:val="center"/>
                </w:tcPr>
                <w:p w14:paraId="233ABAC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val="en-US" w:eastAsia="zh-CN"/>
                    </w:rPr>
                    <w:t>个月</w:t>
                  </w:r>
                </w:p>
              </w:tc>
            </w:tr>
            <w:tr w14:paraId="5987D9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32B32C7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484" w:type="dxa"/>
                  <w:tcBorders>
                    <w:tl2br w:val="nil"/>
                    <w:tr2bl w:val="nil"/>
                  </w:tcBorders>
                  <w:shd w:val="clear" w:color="auto" w:fill="auto"/>
                  <w:vAlign w:val="center"/>
                </w:tcPr>
                <w:p w14:paraId="4E116741">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废试剂</w:t>
                  </w:r>
                </w:p>
              </w:tc>
              <w:tc>
                <w:tcPr>
                  <w:tcW w:w="1321" w:type="dxa"/>
                  <w:tcBorders>
                    <w:tl2br w:val="nil"/>
                    <w:tr2bl w:val="nil"/>
                  </w:tcBorders>
                  <w:shd w:val="clear" w:color="auto" w:fill="auto"/>
                  <w:vAlign w:val="center"/>
                </w:tcPr>
                <w:p w14:paraId="022F884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-49</w:t>
                  </w:r>
                </w:p>
              </w:tc>
              <w:tc>
                <w:tcPr>
                  <w:tcW w:w="999" w:type="dxa"/>
                  <w:tcBorders>
                    <w:tl2br w:val="nil"/>
                    <w:tr2bl w:val="nil"/>
                  </w:tcBorders>
                  <w:vAlign w:val="center"/>
                </w:tcPr>
                <w:p w14:paraId="50FC90D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桶装</w:t>
                  </w:r>
                  <w:r>
                    <w:rPr>
                      <w:rFonts w:hint="eastAsia" w:cs="Times New Roman"/>
                      <w:color w:val="auto"/>
                      <w:sz w:val="21"/>
                      <w:szCs w:val="21"/>
                      <w:highlight w:val="none"/>
                      <w:lang w:val="en-US" w:eastAsia="zh-CN"/>
                    </w:rPr>
                    <w:t>/桶装</w:t>
                  </w:r>
                </w:p>
              </w:tc>
              <w:tc>
                <w:tcPr>
                  <w:tcW w:w="732" w:type="dxa"/>
                  <w:vMerge w:val="continue"/>
                  <w:tcBorders>
                    <w:tl2br w:val="nil"/>
                    <w:tr2bl w:val="nil"/>
                  </w:tcBorders>
                  <w:vAlign w:val="center"/>
                </w:tcPr>
                <w:p w14:paraId="20A47BFB">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572F13E">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6EDF7A86">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0FA44BBB">
                  <w:pPr>
                    <w:jc w:val="center"/>
                    <w:rPr>
                      <w:rFonts w:hint="default" w:ascii="Times New Roman" w:hAnsi="Times New Roman" w:eastAsia="宋体" w:cs="Times New Roman"/>
                      <w:color w:val="auto"/>
                      <w:sz w:val="21"/>
                      <w:szCs w:val="21"/>
                      <w:highlight w:val="none"/>
                      <w:lang w:val="en-US" w:eastAsia="zh-CN"/>
                    </w:rPr>
                  </w:pPr>
                </w:p>
              </w:tc>
            </w:tr>
            <w:tr w14:paraId="4D8D75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307677A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484" w:type="dxa"/>
                  <w:tcBorders>
                    <w:tl2br w:val="nil"/>
                    <w:tr2bl w:val="nil"/>
                  </w:tcBorders>
                  <w:shd w:val="clear" w:color="auto" w:fill="auto"/>
                  <w:vAlign w:val="center"/>
                </w:tcPr>
                <w:p w14:paraId="660F2E5C">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废一次性实验耗材</w:t>
                  </w:r>
                </w:p>
              </w:tc>
              <w:tc>
                <w:tcPr>
                  <w:tcW w:w="1321" w:type="dxa"/>
                  <w:tcBorders>
                    <w:tl2br w:val="nil"/>
                    <w:tr2bl w:val="nil"/>
                  </w:tcBorders>
                  <w:shd w:val="clear" w:color="auto" w:fill="auto"/>
                  <w:vAlign w:val="center"/>
                </w:tcPr>
                <w:p w14:paraId="753D3AE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-49</w:t>
                  </w:r>
                </w:p>
              </w:tc>
              <w:tc>
                <w:tcPr>
                  <w:tcW w:w="999" w:type="dxa"/>
                  <w:tcBorders>
                    <w:tl2br w:val="nil"/>
                    <w:tr2bl w:val="nil"/>
                  </w:tcBorders>
                  <w:vAlign w:val="center"/>
                </w:tcPr>
                <w:p w14:paraId="0AA00EC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732" w:type="dxa"/>
                  <w:vMerge w:val="continue"/>
                  <w:tcBorders>
                    <w:tl2br w:val="nil"/>
                    <w:tr2bl w:val="nil"/>
                  </w:tcBorders>
                  <w:vAlign w:val="center"/>
                </w:tcPr>
                <w:p w14:paraId="73724145">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9C85DEC">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00D14378">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53BBD3B0">
                  <w:pPr>
                    <w:jc w:val="center"/>
                    <w:rPr>
                      <w:rFonts w:hint="default" w:ascii="Times New Roman" w:hAnsi="Times New Roman" w:eastAsia="宋体" w:cs="Times New Roman"/>
                      <w:color w:val="auto"/>
                      <w:sz w:val="21"/>
                      <w:szCs w:val="21"/>
                      <w:highlight w:val="none"/>
                      <w:lang w:val="en-US" w:eastAsia="zh-CN"/>
                    </w:rPr>
                  </w:pPr>
                </w:p>
              </w:tc>
            </w:tr>
            <w:tr w14:paraId="4628FF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0478F9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484" w:type="dxa"/>
                  <w:tcBorders>
                    <w:tl2br w:val="nil"/>
                    <w:tr2bl w:val="nil"/>
                  </w:tcBorders>
                  <w:shd w:val="clear" w:color="auto" w:fill="auto"/>
                  <w:vAlign w:val="center"/>
                </w:tcPr>
                <w:p w14:paraId="2733699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废培养基</w:t>
                  </w:r>
                </w:p>
              </w:tc>
              <w:tc>
                <w:tcPr>
                  <w:tcW w:w="1321" w:type="dxa"/>
                  <w:tcBorders>
                    <w:tl2br w:val="nil"/>
                    <w:tr2bl w:val="nil"/>
                  </w:tcBorders>
                  <w:shd w:val="clear" w:color="auto" w:fill="auto"/>
                  <w:vAlign w:val="center"/>
                </w:tcPr>
                <w:p w14:paraId="15AC82C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w:t>
                  </w:r>
                  <w:r>
                    <w:rPr>
                      <w:rFonts w:hint="eastAsia"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val="en-US" w:eastAsia="zh-CN"/>
                    </w:rPr>
                    <w:t>-49</w:t>
                  </w:r>
                </w:p>
              </w:tc>
              <w:tc>
                <w:tcPr>
                  <w:tcW w:w="999" w:type="dxa"/>
                  <w:tcBorders>
                    <w:tl2br w:val="nil"/>
                    <w:tr2bl w:val="nil"/>
                  </w:tcBorders>
                  <w:vAlign w:val="center"/>
                </w:tcPr>
                <w:p w14:paraId="5C92270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桶装</w:t>
                  </w:r>
                </w:p>
              </w:tc>
              <w:tc>
                <w:tcPr>
                  <w:tcW w:w="732" w:type="dxa"/>
                  <w:vMerge w:val="continue"/>
                  <w:tcBorders>
                    <w:tl2br w:val="nil"/>
                    <w:tr2bl w:val="nil"/>
                  </w:tcBorders>
                  <w:vAlign w:val="center"/>
                </w:tcPr>
                <w:p w14:paraId="40584036">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5455F812">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41C63DC9">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2D5AB1F7">
                  <w:pPr>
                    <w:jc w:val="center"/>
                    <w:rPr>
                      <w:rFonts w:hint="default" w:ascii="Times New Roman" w:hAnsi="Times New Roman" w:eastAsia="宋体" w:cs="Times New Roman"/>
                      <w:color w:val="auto"/>
                      <w:sz w:val="21"/>
                      <w:szCs w:val="21"/>
                      <w:highlight w:val="none"/>
                      <w:lang w:val="en-US" w:eastAsia="zh-CN"/>
                    </w:rPr>
                  </w:pPr>
                </w:p>
              </w:tc>
            </w:tr>
            <w:tr w14:paraId="26D0C4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63ACB830">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484" w:type="dxa"/>
                  <w:tcBorders>
                    <w:tl2br w:val="nil"/>
                    <w:tr2bl w:val="nil"/>
                  </w:tcBorders>
                  <w:shd w:val="clear" w:color="auto" w:fill="auto"/>
                  <w:vAlign w:val="center"/>
                </w:tcPr>
                <w:p w14:paraId="2FDDBC53">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检测废液</w:t>
                  </w:r>
                </w:p>
              </w:tc>
              <w:tc>
                <w:tcPr>
                  <w:tcW w:w="1321" w:type="dxa"/>
                  <w:tcBorders>
                    <w:tl2br w:val="nil"/>
                    <w:tr2bl w:val="nil"/>
                  </w:tcBorders>
                  <w:shd w:val="clear" w:color="auto" w:fill="auto"/>
                  <w:vAlign w:val="center"/>
                </w:tcPr>
                <w:p w14:paraId="0F8144E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999" w:type="dxa"/>
                  <w:tcBorders>
                    <w:tl2br w:val="nil"/>
                    <w:tr2bl w:val="nil"/>
                  </w:tcBorders>
                  <w:vAlign w:val="center"/>
                </w:tcPr>
                <w:p w14:paraId="4496C890">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桶</w:t>
                  </w:r>
                  <w:r>
                    <w:rPr>
                      <w:rFonts w:hint="default" w:ascii="Times New Roman" w:hAnsi="Times New Roman" w:eastAsia="宋体" w:cs="Times New Roman"/>
                      <w:color w:val="auto"/>
                      <w:sz w:val="21"/>
                      <w:szCs w:val="21"/>
                      <w:highlight w:val="none"/>
                      <w:lang w:val="en-US" w:eastAsia="zh-CN"/>
                    </w:rPr>
                    <w:t>装</w:t>
                  </w:r>
                </w:p>
              </w:tc>
              <w:tc>
                <w:tcPr>
                  <w:tcW w:w="732" w:type="dxa"/>
                  <w:vMerge w:val="continue"/>
                  <w:tcBorders>
                    <w:tl2br w:val="nil"/>
                    <w:tr2bl w:val="nil"/>
                  </w:tcBorders>
                  <w:vAlign w:val="center"/>
                </w:tcPr>
                <w:p w14:paraId="78063627">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0C8C32DC">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2D5A0E64">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7BCBB342">
                  <w:pPr>
                    <w:jc w:val="center"/>
                    <w:rPr>
                      <w:rFonts w:hint="default" w:ascii="Times New Roman" w:hAnsi="Times New Roman" w:eastAsia="宋体" w:cs="Times New Roman"/>
                      <w:color w:val="auto"/>
                      <w:sz w:val="21"/>
                      <w:szCs w:val="21"/>
                      <w:highlight w:val="none"/>
                      <w:lang w:val="en-US" w:eastAsia="zh-CN"/>
                    </w:rPr>
                  </w:pPr>
                </w:p>
              </w:tc>
            </w:tr>
            <w:tr w14:paraId="4E8750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67BEEDD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484" w:type="dxa"/>
                  <w:tcBorders>
                    <w:tl2br w:val="nil"/>
                    <w:tr2bl w:val="nil"/>
                  </w:tcBorders>
                  <w:shd w:val="clear" w:color="auto" w:fill="auto"/>
                  <w:vAlign w:val="center"/>
                </w:tcPr>
                <w:p w14:paraId="1EFC2787">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清洗废液</w:t>
                  </w:r>
                </w:p>
              </w:tc>
              <w:tc>
                <w:tcPr>
                  <w:tcW w:w="1321" w:type="dxa"/>
                  <w:tcBorders>
                    <w:tl2br w:val="nil"/>
                    <w:tr2bl w:val="nil"/>
                  </w:tcBorders>
                  <w:shd w:val="clear" w:color="auto" w:fill="auto"/>
                  <w:vAlign w:val="center"/>
                </w:tcPr>
                <w:p w14:paraId="2E93DD6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999" w:type="dxa"/>
                  <w:tcBorders>
                    <w:tl2br w:val="nil"/>
                    <w:tr2bl w:val="nil"/>
                  </w:tcBorders>
                  <w:vAlign w:val="center"/>
                </w:tcPr>
                <w:p w14:paraId="7F480639">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桶装</w:t>
                  </w:r>
                </w:p>
              </w:tc>
              <w:tc>
                <w:tcPr>
                  <w:tcW w:w="732" w:type="dxa"/>
                  <w:vMerge w:val="continue"/>
                  <w:tcBorders>
                    <w:tl2br w:val="nil"/>
                    <w:tr2bl w:val="nil"/>
                  </w:tcBorders>
                  <w:vAlign w:val="center"/>
                </w:tcPr>
                <w:p w14:paraId="398A35BD">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4DE2401">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5CB858AE">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68E6CAB0">
                  <w:pPr>
                    <w:jc w:val="center"/>
                    <w:rPr>
                      <w:rFonts w:hint="default" w:ascii="Times New Roman" w:hAnsi="Times New Roman" w:eastAsia="宋体" w:cs="Times New Roman"/>
                      <w:color w:val="auto"/>
                      <w:sz w:val="21"/>
                      <w:szCs w:val="21"/>
                      <w:highlight w:val="none"/>
                      <w:lang w:val="en-US" w:eastAsia="zh-CN"/>
                    </w:rPr>
                  </w:pPr>
                </w:p>
              </w:tc>
            </w:tr>
            <w:tr w14:paraId="5962AC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61F3CD66">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w:t>
                  </w:r>
                </w:p>
              </w:tc>
              <w:tc>
                <w:tcPr>
                  <w:tcW w:w="1484" w:type="dxa"/>
                  <w:tcBorders>
                    <w:tl2br w:val="nil"/>
                    <w:tr2bl w:val="nil"/>
                  </w:tcBorders>
                  <w:shd w:val="clear" w:color="auto" w:fill="auto"/>
                  <w:vAlign w:val="center"/>
                </w:tcPr>
                <w:p w14:paraId="58182AB4">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废样品</w:t>
                  </w:r>
                </w:p>
              </w:tc>
              <w:tc>
                <w:tcPr>
                  <w:tcW w:w="1321" w:type="dxa"/>
                  <w:tcBorders>
                    <w:tl2br w:val="nil"/>
                    <w:tr2bl w:val="nil"/>
                  </w:tcBorders>
                  <w:shd w:val="clear" w:color="auto" w:fill="auto"/>
                  <w:vAlign w:val="center"/>
                </w:tcPr>
                <w:p w14:paraId="4B2B17D0">
                  <w:pPr>
                    <w:spacing w:line="240" w:lineRule="auto"/>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w:t>
                  </w:r>
                  <w:r>
                    <w:rPr>
                      <w:rFonts w:hint="eastAsia" w:cs="Times New Roman"/>
                      <w:color w:val="auto"/>
                      <w:sz w:val="21"/>
                      <w:szCs w:val="21"/>
                      <w:highlight w:val="none"/>
                      <w:lang w:val="en-US" w:eastAsia="zh-CN"/>
                    </w:rPr>
                    <w:t>39</w:t>
                  </w:r>
                  <w:r>
                    <w:rPr>
                      <w:rFonts w:hint="default" w:ascii="Times New Roman" w:hAnsi="Times New Roman" w:eastAsia="宋体" w:cs="Times New Roman"/>
                      <w:color w:val="auto"/>
                      <w:sz w:val="21"/>
                      <w:szCs w:val="21"/>
                      <w:highlight w:val="none"/>
                      <w:lang w:val="en-US" w:eastAsia="zh-CN"/>
                    </w:rPr>
                    <w:t>- 49</w:t>
                  </w:r>
                </w:p>
              </w:tc>
              <w:tc>
                <w:tcPr>
                  <w:tcW w:w="999" w:type="dxa"/>
                  <w:tcBorders>
                    <w:tl2br w:val="nil"/>
                    <w:tr2bl w:val="nil"/>
                  </w:tcBorders>
                  <w:vAlign w:val="center"/>
                </w:tcPr>
                <w:p w14:paraId="0A82648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袋装</w:t>
                  </w:r>
                </w:p>
              </w:tc>
              <w:tc>
                <w:tcPr>
                  <w:tcW w:w="732" w:type="dxa"/>
                  <w:vMerge w:val="continue"/>
                  <w:tcBorders>
                    <w:tl2br w:val="nil"/>
                    <w:tr2bl w:val="nil"/>
                  </w:tcBorders>
                  <w:vAlign w:val="center"/>
                </w:tcPr>
                <w:p w14:paraId="1F118E0B">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80B10AE">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61982D14">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606DDA26">
                  <w:pPr>
                    <w:jc w:val="center"/>
                    <w:rPr>
                      <w:rFonts w:hint="eastAsia" w:cs="Times New Roman"/>
                      <w:color w:val="auto"/>
                      <w:sz w:val="21"/>
                      <w:szCs w:val="21"/>
                      <w:highlight w:val="none"/>
                      <w:lang w:val="en-US" w:eastAsia="zh-CN"/>
                    </w:rPr>
                  </w:pPr>
                </w:p>
              </w:tc>
            </w:tr>
            <w:tr w14:paraId="51D7DC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3" w:type="dxa"/>
                  <w:tcBorders>
                    <w:tl2br w:val="nil"/>
                    <w:tr2bl w:val="nil"/>
                  </w:tcBorders>
                  <w:vAlign w:val="center"/>
                </w:tcPr>
                <w:p w14:paraId="545495A8">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484" w:type="dxa"/>
                  <w:tcBorders>
                    <w:tl2br w:val="nil"/>
                    <w:tr2bl w:val="nil"/>
                  </w:tcBorders>
                  <w:shd w:val="clear" w:color="auto" w:fill="auto"/>
                  <w:vAlign w:val="center"/>
                </w:tcPr>
                <w:p w14:paraId="5F9CEC10">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废活性炭</w:t>
                  </w:r>
                </w:p>
              </w:tc>
              <w:tc>
                <w:tcPr>
                  <w:tcW w:w="1321" w:type="dxa"/>
                  <w:tcBorders>
                    <w:tl2br w:val="nil"/>
                    <w:tr2bl w:val="nil"/>
                  </w:tcBorders>
                  <w:shd w:val="clear" w:color="auto" w:fill="auto"/>
                  <w:vAlign w:val="center"/>
                </w:tcPr>
                <w:p w14:paraId="4693BA0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900-041- 49</w:t>
                  </w:r>
                </w:p>
              </w:tc>
              <w:tc>
                <w:tcPr>
                  <w:tcW w:w="999" w:type="dxa"/>
                  <w:tcBorders>
                    <w:tl2br w:val="nil"/>
                    <w:tr2bl w:val="nil"/>
                  </w:tcBorders>
                  <w:vAlign w:val="center"/>
                </w:tcPr>
                <w:p w14:paraId="709860AA">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箱装</w:t>
                  </w:r>
                </w:p>
              </w:tc>
              <w:tc>
                <w:tcPr>
                  <w:tcW w:w="732" w:type="dxa"/>
                  <w:vMerge w:val="continue"/>
                  <w:tcBorders>
                    <w:tl2br w:val="nil"/>
                    <w:tr2bl w:val="nil"/>
                  </w:tcBorders>
                  <w:vAlign w:val="center"/>
                </w:tcPr>
                <w:p w14:paraId="6D94F20A">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34DC982D">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6A4DEBB3">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76047FB9">
                  <w:pPr>
                    <w:jc w:val="center"/>
                    <w:rPr>
                      <w:rFonts w:hint="eastAsia" w:cs="Times New Roman"/>
                      <w:color w:val="auto"/>
                      <w:sz w:val="21"/>
                      <w:szCs w:val="21"/>
                      <w:highlight w:val="none"/>
                      <w:lang w:val="en-US" w:eastAsia="zh-CN"/>
                    </w:rPr>
                  </w:pPr>
                </w:p>
              </w:tc>
            </w:tr>
            <w:tr w14:paraId="36AB41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3" w:type="dxa"/>
                  <w:tcBorders>
                    <w:tl2br w:val="nil"/>
                    <w:tr2bl w:val="nil"/>
                  </w:tcBorders>
                  <w:vAlign w:val="center"/>
                </w:tcPr>
                <w:p w14:paraId="08AE1DD6">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1484" w:type="dxa"/>
                  <w:tcBorders>
                    <w:tl2br w:val="nil"/>
                    <w:tr2bl w:val="nil"/>
                  </w:tcBorders>
                  <w:shd w:val="clear" w:color="auto" w:fill="auto"/>
                  <w:vAlign w:val="center"/>
                </w:tcPr>
                <w:p w14:paraId="7A9E39CA">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废吸附剂</w:t>
                  </w:r>
                </w:p>
              </w:tc>
              <w:tc>
                <w:tcPr>
                  <w:tcW w:w="1321" w:type="dxa"/>
                  <w:tcBorders>
                    <w:tl2br w:val="nil"/>
                    <w:tr2bl w:val="nil"/>
                  </w:tcBorders>
                  <w:shd w:val="clear" w:color="auto" w:fill="auto"/>
                  <w:vAlign w:val="center"/>
                </w:tcPr>
                <w:p w14:paraId="5EEE887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900-047-49</w:t>
                  </w:r>
                </w:p>
              </w:tc>
              <w:tc>
                <w:tcPr>
                  <w:tcW w:w="999" w:type="dxa"/>
                  <w:tcBorders>
                    <w:tl2br w:val="nil"/>
                    <w:tr2bl w:val="nil"/>
                  </w:tcBorders>
                  <w:vAlign w:val="center"/>
                </w:tcPr>
                <w:p w14:paraId="0FC43588">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箱装</w:t>
                  </w:r>
                </w:p>
              </w:tc>
              <w:tc>
                <w:tcPr>
                  <w:tcW w:w="732" w:type="dxa"/>
                  <w:vMerge w:val="continue"/>
                  <w:tcBorders>
                    <w:tl2br w:val="nil"/>
                    <w:tr2bl w:val="nil"/>
                  </w:tcBorders>
                  <w:vAlign w:val="center"/>
                </w:tcPr>
                <w:p w14:paraId="7FEC2B3C">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9970B38">
                  <w:pPr>
                    <w:jc w:val="center"/>
                    <w:rPr>
                      <w:rFonts w:hint="default" w:ascii="Times New Roman" w:hAnsi="Times New Roman" w:eastAsia="宋体" w:cs="Times New Roman"/>
                      <w:color w:val="auto"/>
                      <w:sz w:val="21"/>
                      <w:szCs w:val="21"/>
                      <w:highlight w:val="none"/>
                      <w:lang w:val="en-US" w:eastAsia="zh-CN"/>
                    </w:rPr>
                  </w:pPr>
                </w:p>
              </w:tc>
              <w:tc>
                <w:tcPr>
                  <w:tcW w:w="768" w:type="dxa"/>
                  <w:vMerge w:val="continue"/>
                  <w:tcBorders>
                    <w:tl2br w:val="nil"/>
                    <w:tr2bl w:val="nil"/>
                  </w:tcBorders>
                  <w:vAlign w:val="center"/>
                </w:tcPr>
                <w:p w14:paraId="75C29DDF">
                  <w:pPr>
                    <w:jc w:val="center"/>
                    <w:rPr>
                      <w:rFonts w:hint="default" w:ascii="Times New Roman" w:hAnsi="Times New Roman" w:eastAsia="宋体" w:cs="Times New Roman"/>
                      <w:color w:val="auto"/>
                      <w:sz w:val="21"/>
                      <w:szCs w:val="21"/>
                      <w:highlight w:val="none"/>
                      <w:lang w:val="en-US" w:eastAsia="zh-CN"/>
                    </w:rPr>
                  </w:pPr>
                </w:p>
              </w:tc>
              <w:tc>
                <w:tcPr>
                  <w:tcW w:w="924" w:type="dxa"/>
                  <w:vMerge w:val="continue"/>
                  <w:tcBorders>
                    <w:tl2br w:val="nil"/>
                    <w:tr2bl w:val="nil"/>
                  </w:tcBorders>
                  <w:vAlign w:val="center"/>
                </w:tcPr>
                <w:p w14:paraId="26905B71">
                  <w:pPr>
                    <w:jc w:val="center"/>
                    <w:rPr>
                      <w:rFonts w:hint="eastAsia" w:cs="Times New Roman"/>
                      <w:color w:val="auto"/>
                      <w:sz w:val="21"/>
                      <w:szCs w:val="21"/>
                      <w:highlight w:val="none"/>
                      <w:lang w:val="en-US" w:eastAsia="zh-CN"/>
                    </w:rPr>
                  </w:pPr>
                </w:p>
              </w:tc>
            </w:tr>
          </w:tbl>
          <w:p w14:paraId="4E3B48B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cs="Times New Roman"/>
                <w:color w:val="auto"/>
                <w:sz w:val="24"/>
                <w:highlight w:val="none"/>
                <w:lang w:val="en-US" w:eastAsia="zh-CN"/>
              </w:rPr>
              <w:t>本</w:t>
            </w:r>
            <w:r>
              <w:rPr>
                <w:rFonts w:hint="eastAsia" w:ascii="Times New Roman" w:hAnsi="Times New Roman" w:eastAsia="宋体" w:cs="Times New Roman"/>
                <w:color w:val="auto"/>
                <w:sz w:val="24"/>
                <w:highlight w:val="none"/>
                <w:lang w:val="en-US" w:eastAsia="zh-CN"/>
              </w:rPr>
              <w:t>项目危险废物的</w:t>
            </w:r>
            <w:r>
              <w:rPr>
                <w:rFonts w:hint="default" w:ascii="Times New Roman" w:hAnsi="Times New Roman" w:eastAsia="宋体" w:cs="Times New Roman"/>
                <w:color w:val="auto"/>
                <w:sz w:val="24"/>
                <w:highlight w:val="none"/>
                <w:lang w:val="en-US" w:eastAsia="zh-CN"/>
              </w:rPr>
              <w:t>产生量</w:t>
            </w:r>
            <w:r>
              <w:rPr>
                <w:rFonts w:hint="default" w:ascii="Times New Roman" w:hAnsi="Times New Roman" w:cs="Times New Roman"/>
                <w:color w:val="auto"/>
                <w:sz w:val="24"/>
                <w:highlight w:val="none"/>
                <w:lang w:val="en-US" w:eastAsia="zh-CN"/>
              </w:rPr>
              <w:t>2.2913</w:t>
            </w:r>
            <w:r>
              <w:rPr>
                <w:rFonts w:hint="default" w:ascii="Times New Roman" w:hAnsi="Times New Roman" w:eastAsia="宋体" w:cs="Times New Roman"/>
                <w:color w:val="auto"/>
                <w:sz w:val="24"/>
                <w:highlight w:val="none"/>
                <w:lang w:val="en-US" w:eastAsia="zh-CN"/>
              </w:rPr>
              <w:t>t/a，危险废物暂存间面积为</w:t>
            </w:r>
            <w:r>
              <w:rPr>
                <w:rFonts w:hint="default"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2</w:t>
            </w:r>
            <w:r>
              <w:rPr>
                <w:rFonts w:hint="default" w:ascii="Times New Roman" w:hAnsi="Times New Roman" w:eastAsia="宋体" w:cs="Times New Roman"/>
                <w:color w:val="auto"/>
                <w:sz w:val="24"/>
                <w:highlight w:val="none"/>
                <w:lang w:val="en-US" w:eastAsia="zh-CN"/>
              </w:rPr>
              <w:t>，贮存周期</w:t>
            </w:r>
            <w:r>
              <w:rPr>
                <w:rFonts w:hint="default"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lang w:val="en-US" w:eastAsia="zh-CN"/>
              </w:rPr>
              <w:t>个月，贮存量</w:t>
            </w:r>
            <w:r>
              <w:rPr>
                <w:rFonts w:hint="eastAsia" w:ascii="Times New Roman" w:hAnsi="Times New Roman" w:cs="Times New Roman"/>
                <w:color w:val="auto"/>
                <w:sz w:val="24"/>
                <w:highlight w:val="none"/>
                <w:lang w:val="en-US" w:eastAsia="zh-CN"/>
              </w:rPr>
              <w:t>1.1457</w:t>
            </w:r>
            <w:r>
              <w:rPr>
                <w:rFonts w:hint="default" w:ascii="Times New Roman" w:hAnsi="Times New Roman"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val="en-US" w:eastAsia="zh-CN"/>
              </w:rPr>
              <w:t>t，</w:t>
            </w:r>
            <w:r>
              <w:rPr>
                <w:rFonts w:hint="default" w:ascii="Times New Roman" w:hAnsi="Times New Roman" w:cs="Times New Roman"/>
                <w:color w:val="auto"/>
                <w:sz w:val="24"/>
                <w:highlight w:val="none"/>
                <w:lang w:val="en-US" w:eastAsia="zh-CN"/>
              </w:rPr>
              <w:t>危险废</w:t>
            </w:r>
            <w:r>
              <w:rPr>
                <w:rFonts w:hint="eastAsia" w:cs="Times New Roman"/>
                <w:color w:val="auto"/>
                <w:sz w:val="24"/>
                <w:highlight w:val="none"/>
                <w:lang w:val="en-US" w:eastAsia="zh-CN"/>
              </w:rPr>
              <w:t>物暂存间</w:t>
            </w:r>
            <w:r>
              <w:rPr>
                <w:rFonts w:hint="default" w:ascii="Times New Roman" w:hAnsi="Times New Roman" w:eastAsia="宋体" w:cs="Times New Roman"/>
                <w:color w:val="auto"/>
                <w:sz w:val="24"/>
                <w:highlight w:val="none"/>
                <w:lang w:val="en-US" w:eastAsia="zh-CN"/>
              </w:rPr>
              <w:t>贮存能力2t</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可以满足本项目产生危险废物的暂存</w:t>
            </w:r>
            <w:r>
              <w:rPr>
                <w:rFonts w:hint="default" w:ascii="Times New Roman" w:hAnsi="Times New Roman" w:eastAsia="宋体" w:cs="Times New Roman"/>
                <w:color w:val="auto"/>
                <w:sz w:val="24"/>
                <w:highlight w:val="none"/>
              </w:rPr>
              <w:t>。</w:t>
            </w:r>
          </w:p>
          <w:p w14:paraId="376ACD31">
            <w:pPr>
              <w:numPr>
                <w:ilvl w:val="0"/>
                <w:numId w:val="0"/>
              </w:numPr>
              <w:adjustRightInd w:val="0"/>
              <w:snapToGrid w:val="0"/>
              <w:spacing w:line="360" w:lineRule="auto"/>
              <w:ind w:leftChars="0"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lang w:val="en-US" w:eastAsia="zh-CN"/>
              </w:rPr>
              <w:t>（2）</w:t>
            </w:r>
            <w:r>
              <w:rPr>
                <w:rFonts w:hint="default" w:ascii="Times New Roman" w:hAnsi="Times New Roman" w:eastAsia="宋体" w:cs="Times New Roman"/>
                <w:b w:val="0"/>
                <w:bCs/>
                <w:color w:val="auto"/>
                <w:sz w:val="24"/>
                <w:highlight w:val="none"/>
              </w:rPr>
              <w:t>环境管理要求</w:t>
            </w:r>
          </w:p>
          <w:p w14:paraId="37AEBD55">
            <w:pPr>
              <w:numPr>
                <w:ilvl w:val="0"/>
                <w:numId w:val="0"/>
              </w:numPr>
              <w:adjustRightInd w:val="0"/>
              <w:spacing w:line="360" w:lineRule="auto"/>
              <w:ind w:leftChars="200"/>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1）</w:t>
            </w:r>
            <w:r>
              <w:rPr>
                <w:rFonts w:hint="default" w:ascii="Times New Roman" w:hAnsi="Times New Roman" w:eastAsia="宋体" w:cs="Times New Roman"/>
                <w:b w:val="0"/>
                <w:bCs w:val="0"/>
                <w:color w:val="auto"/>
                <w:sz w:val="24"/>
                <w:highlight w:val="none"/>
              </w:rPr>
              <w:t>生活垃圾环境管理要求</w:t>
            </w:r>
          </w:p>
          <w:p w14:paraId="1A6E041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本项目产生的生活垃圾应按照《中华人民共和国固体废物污染环境防治法》（2020年9月1日起施行）及《北京市生活垃圾管理条例》（2020年5月1日施行）的相关规定，进行</w:t>
            </w:r>
            <w:r>
              <w:rPr>
                <w:rFonts w:hint="eastAsia" w:cs="Times New Roman"/>
                <w:color w:val="auto"/>
                <w:sz w:val="24"/>
                <w:highlight w:val="none"/>
                <w:lang w:val="en-US" w:eastAsia="zh-CN"/>
              </w:rPr>
              <w:t>分类</w:t>
            </w:r>
            <w:r>
              <w:rPr>
                <w:rFonts w:hint="default" w:ascii="Times New Roman" w:hAnsi="Times New Roman" w:eastAsia="宋体" w:cs="Times New Roman"/>
                <w:color w:val="auto"/>
                <w:sz w:val="24"/>
                <w:highlight w:val="none"/>
              </w:rPr>
              <w:t>收集、管理、运输及处置：</w:t>
            </w:r>
          </w:p>
          <w:p w14:paraId="707554BD">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应当使用经市环境保护行政主管部门认证登记，并符合市容环境行政主管部门规定的规格、厚度、颜色等要求的可降解专用垃圾袋盛装、分类收集生活垃圾，并由环卫部门及时清运；</w:t>
            </w:r>
          </w:p>
          <w:p w14:paraId="5186005A">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生活垃圾袋应当扎紧袋口，不能混入危险废物，存放到指定地点；</w:t>
            </w:r>
          </w:p>
          <w:p w14:paraId="5CF1AF2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不能使用破损袋盛装生活垃圾。对有可能造成垃圾袋破损的物品应单独存放；</w:t>
            </w:r>
          </w:p>
          <w:p w14:paraId="3C7AD46D">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产生生活废弃物的单位不得随意倾倒、抛撒和堆放生活废弃物。</w:t>
            </w:r>
          </w:p>
          <w:p w14:paraId="4CA5271F">
            <w:pPr>
              <w:numPr>
                <w:ilvl w:val="0"/>
                <w:numId w:val="0"/>
              </w:numPr>
              <w:adjustRightInd w:val="0"/>
              <w:spacing w:line="360" w:lineRule="auto"/>
              <w:ind w:leftChars="200"/>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一般工业固体废物环境管理要求</w:t>
            </w:r>
          </w:p>
          <w:p w14:paraId="0111C643">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按照《中华人民共和国固体废物污染环境防治法》（2020年9月1日起施行）、《一般工业固体废物贮存和填埋污染控制标准》（GB18599-2020）及北京市相关规定，</w:t>
            </w:r>
            <w:r>
              <w:rPr>
                <w:rFonts w:hint="default" w:ascii="Times New Roman" w:hAnsi="Times New Roman" w:eastAsia="宋体" w:cs="Times New Roman"/>
                <w:color w:val="auto"/>
                <w:sz w:val="24"/>
                <w:highlight w:val="none"/>
                <w:lang w:val="en-US" w:eastAsia="zh-CN"/>
              </w:rPr>
              <w:t>建设一般固废暂存间</w:t>
            </w:r>
            <w:r>
              <w:rPr>
                <w:rFonts w:hint="default" w:ascii="Times New Roman" w:hAnsi="Times New Roman" w:eastAsia="宋体" w:cs="Times New Roman"/>
                <w:color w:val="auto"/>
                <w:sz w:val="24"/>
                <w:highlight w:val="none"/>
              </w:rPr>
              <w:t>，做到防雨淋、防流失、防渗漏，避免产生二次污染。</w:t>
            </w:r>
          </w:p>
          <w:p w14:paraId="5EF0B726">
            <w:pPr>
              <w:numPr>
                <w:ilvl w:val="0"/>
                <w:numId w:val="0"/>
              </w:numPr>
              <w:adjustRightInd w:val="0"/>
              <w:spacing w:line="360" w:lineRule="auto"/>
              <w:ind w:leftChars="200"/>
              <w:rPr>
                <w:rFonts w:hint="default" w:ascii="Times New Roman" w:hAnsi="Times New Roman" w:eastAsia="宋体" w:cs="Times New Roman"/>
                <w:b w:val="0"/>
                <w:bCs w:val="0"/>
                <w:color w:val="auto"/>
                <w:sz w:val="24"/>
                <w:highlight w:val="none"/>
              </w:rPr>
            </w:pPr>
            <w:r>
              <w:rPr>
                <w:rFonts w:hint="eastAsia" w:cs="Times New Roman"/>
                <w:b w:val="0"/>
                <w:bCs w:val="0"/>
                <w:color w:val="auto"/>
                <w:sz w:val="24"/>
                <w:highlight w:val="none"/>
                <w:lang w:val="en-US" w:eastAsia="zh-CN"/>
              </w:rPr>
              <w:t>3）</w:t>
            </w:r>
            <w:r>
              <w:rPr>
                <w:rFonts w:hint="default" w:ascii="Times New Roman" w:hAnsi="Times New Roman" w:eastAsia="宋体" w:cs="Times New Roman"/>
                <w:b w:val="0"/>
                <w:bCs w:val="0"/>
                <w:color w:val="auto"/>
                <w:sz w:val="24"/>
                <w:highlight w:val="none"/>
              </w:rPr>
              <w:t>危险废物管理要求</w:t>
            </w:r>
          </w:p>
          <w:p w14:paraId="0BFBCECF">
            <w:pPr>
              <w:numPr>
                <w:ilvl w:val="0"/>
                <w:numId w:val="37"/>
              </w:numPr>
              <w:adjustRightInd w:val="0"/>
              <w:spacing w:line="360" w:lineRule="auto"/>
              <w:ind w:left="0" w:leftChars="0"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贮存和管理要求</w:t>
            </w:r>
          </w:p>
          <w:p w14:paraId="7C44C076">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按照</w:t>
            </w:r>
            <w:r>
              <w:rPr>
                <w:rFonts w:hint="default" w:ascii="Times New Roman" w:hAnsi="Times New Roman" w:eastAsia="宋体" w:cs="Times New Roman"/>
                <w:color w:val="auto"/>
                <w:sz w:val="24"/>
                <w:highlight w:val="none"/>
              </w:rPr>
              <w:t>《危险废物贮存污染控制标准》（GB18597-2023）</w:t>
            </w:r>
            <w:r>
              <w:rPr>
                <w:rFonts w:hint="default" w:ascii="Times New Roman" w:hAnsi="Times New Roman" w:eastAsia="宋体" w:cs="Times New Roman"/>
                <w:color w:val="auto"/>
                <w:sz w:val="24"/>
                <w:highlight w:val="none"/>
                <w:lang w:val="en-US" w:eastAsia="zh-CN"/>
              </w:rPr>
              <w:t>要求建设危险废物暂存间</w:t>
            </w:r>
            <w:r>
              <w:rPr>
                <w:rFonts w:hint="default" w:ascii="Times New Roman" w:hAnsi="Times New Roman" w:eastAsia="宋体" w:cs="Times New Roman"/>
                <w:color w:val="auto"/>
                <w:sz w:val="24"/>
                <w:highlight w:val="none"/>
              </w:rPr>
              <w:t>，地面及储存间裙角采用防渗处理，防渗系数小于1×10</w:t>
            </w:r>
            <w:r>
              <w:rPr>
                <w:rFonts w:hint="default" w:ascii="Times New Roman" w:hAnsi="Times New Roman" w:eastAsia="宋体" w:cs="Times New Roman"/>
                <w:color w:val="auto"/>
                <w:sz w:val="24"/>
                <w:highlight w:val="none"/>
                <w:vertAlign w:val="superscript"/>
              </w:rPr>
              <w:t>-1</w:t>
            </w:r>
            <w:r>
              <w:rPr>
                <w:rFonts w:hint="eastAsia" w:cs="Times New Roman"/>
                <w:color w:val="auto"/>
                <w:sz w:val="24"/>
                <w:highlight w:val="none"/>
                <w:vertAlign w:val="superscript"/>
                <w:lang w:val="en-US" w:eastAsia="zh-CN"/>
              </w:rPr>
              <w:t>0</w:t>
            </w:r>
            <w:r>
              <w:rPr>
                <w:rFonts w:hint="default" w:ascii="Times New Roman" w:hAnsi="Times New Roman" w:eastAsia="宋体" w:cs="Times New Roman"/>
                <w:color w:val="auto"/>
                <w:sz w:val="24"/>
                <w:highlight w:val="none"/>
              </w:rPr>
              <w:t>cm/s</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危险废物暂存</w:t>
            </w:r>
            <w:r>
              <w:rPr>
                <w:rFonts w:hint="default" w:ascii="Times New Roman" w:hAnsi="Times New Roman" w:eastAsia="宋体" w:cs="Times New Roman"/>
                <w:color w:val="auto"/>
                <w:sz w:val="24"/>
                <w:highlight w:val="none"/>
              </w:rPr>
              <w:t>间按</w:t>
            </w:r>
            <w:r>
              <w:rPr>
                <w:rFonts w:hint="default" w:ascii="Times New Roman" w:hAnsi="Times New Roman" w:eastAsia="宋体" w:cs="Times New Roman"/>
                <w:color w:val="auto"/>
                <w:sz w:val="24"/>
                <w:highlight w:val="none"/>
                <w:lang w:val="en-US" w:eastAsia="zh-CN"/>
              </w:rPr>
              <w:t>危险废物性质</w:t>
            </w:r>
            <w:r>
              <w:rPr>
                <w:rFonts w:hint="default" w:ascii="Times New Roman" w:hAnsi="Times New Roman" w:eastAsia="宋体" w:cs="Times New Roman"/>
                <w:color w:val="auto"/>
                <w:sz w:val="24"/>
                <w:highlight w:val="none"/>
              </w:rPr>
              <w:t>分区</w:t>
            </w:r>
            <w:r>
              <w:rPr>
                <w:rFonts w:hint="default" w:ascii="Times New Roman" w:hAnsi="Times New Roman" w:eastAsia="宋体" w:cs="Times New Roman"/>
                <w:color w:val="auto"/>
                <w:sz w:val="24"/>
                <w:highlight w:val="none"/>
                <w:lang w:val="en-US" w:eastAsia="zh-CN"/>
              </w:rPr>
              <w:t>存放</w:t>
            </w:r>
            <w:r>
              <w:rPr>
                <w:rFonts w:hint="default" w:ascii="Times New Roman" w:hAnsi="Times New Roman" w:eastAsia="宋体" w:cs="Times New Roman"/>
                <w:color w:val="auto"/>
                <w:sz w:val="24"/>
                <w:highlight w:val="none"/>
              </w:rPr>
              <w:t>，不同危废之间设有隔断，并粘贴危险废物</w:t>
            </w:r>
            <w:r>
              <w:rPr>
                <w:rFonts w:hint="default" w:ascii="Times New Roman" w:hAnsi="Times New Roman" w:eastAsia="宋体" w:cs="Times New Roman"/>
                <w:color w:val="auto"/>
                <w:sz w:val="24"/>
                <w:highlight w:val="none"/>
                <w:lang w:val="en-US" w:eastAsia="zh-CN"/>
              </w:rPr>
              <w:t>标志</w:t>
            </w:r>
            <w:r>
              <w:rPr>
                <w:rFonts w:hint="default" w:ascii="Times New Roman" w:hAnsi="Times New Roman" w:eastAsia="宋体" w:cs="Times New Roman"/>
                <w:color w:val="auto"/>
                <w:sz w:val="24"/>
                <w:highlight w:val="none"/>
              </w:rPr>
              <w:t>。</w:t>
            </w:r>
          </w:p>
          <w:p w14:paraId="4EA7F34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危险废物暂存间应</w:t>
            </w:r>
            <w:r>
              <w:rPr>
                <w:rFonts w:hint="default" w:ascii="Times New Roman" w:hAnsi="Times New Roman" w:eastAsia="宋体" w:cs="Times New Roman"/>
                <w:color w:val="auto"/>
                <w:sz w:val="24"/>
                <w:highlight w:val="none"/>
              </w:rPr>
              <w:t>配备</w:t>
            </w:r>
            <w:r>
              <w:rPr>
                <w:rFonts w:hint="default" w:ascii="Times New Roman" w:hAnsi="Times New Roman" w:eastAsia="宋体" w:cs="Times New Roman"/>
                <w:color w:val="auto"/>
                <w:sz w:val="24"/>
                <w:highlight w:val="none"/>
                <w:lang w:val="en-US" w:eastAsia="zh-CN"/>
              </w:rPr>
              <w:t>安全</w:t>
            </w:r>
            <w:r>
              <w:rPr>
                <w:rFonts w:hint="default" w:ascii="Times New Roman" w:hAnsi="Times New Roman" w:eastAsia="宋体" w:cs="Times New Roman"/>
                <w:color w:val="auto"/>
                <w:sz w:val="24"/>
                <w:highlight w:val="none"/>
              </w:rPr>
              <w:t>照明设施、安全防护服装</w:t>
            </w:r>
            <w:r>
              <w:rPr>
                <w:rFonts w:hint="default" w:ascii="Times New Roman" w:hAnsi="Times New Roman" w:eastAsia="宋体" w:cs="Times New Roman"/>
                <w:color w:val="auto"/>
                <w:sz w:val="24"/>
                <w:highlight w:val="none"/>
                <w:lang w:val="en-US" w:eastAsia="zh-CN"/>
              </w:rPr>
              <w:t>及</w:t>
            </w:r>
            <w:r>
              <w:rPr>
                <w:rFonts w:hint="default" w:ascii="Times New Roman" w:hAnsi="Times New Roman" w:eastAsia="宋体" w:cs="Times New Roman"/>
                <w:color w:val="auto"/>
                <w:sz w:val="24"/>
                <w:highlight w:val="none"/>
              </w:rPr>
              <w:t>应急防护设施，地面与裙脚所围建的容积不低于最大容器的最大储量或总储量的五分之一，并设置警示标志。</w:t>
            </w:r>
          </w:p>
          <w:p w14:paraId="27687EE2">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贮存设施应根据危险废物的类别、数量、形态、物理化学性质和污染防治等要求设置必要的贮存分区，避免不相容的危险废物接触、混合。</w:t>
            </w:r>
          </w:p>
          <w:p w14:paraId="39136A60">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危险废物</w:t>
            </w:r>
            <w:r>
              <w:rPr>
                <w:rFonts w:hint="default" w:ascii="Times New Roman" w:hAnsi="Times New Roman" w:eastAsia="宋体" w:cs="Times New Roman"/>
                <w:color w:val="auto"/>
                <w:sz w:val="24"/>
                <w:highlight w:val="none"/>
              </w:rPr>
              <w:t>由专人进行管理，做好危险废物</w:t>
            </w:r>
            <w:r>
              <w:rPr>
                <w:rFonts w:hint="default" w:ascii="Times New Roman" w:hAnsi="Times New Roman" w:eastAsia="宋体" w:cs="Times New Roman"/>
                <w:color w:val="auto"/>
                <w:sz w:val="24"/>
                <w:highlight w:val="none"/>
                <w:lang w:val="en-US" w:eastAsia="zh-CN"/>
              </w:rPr>
              <w:t>贮存</w:t>
            </w:r>
            <w:r>
              <w:rPr>
                <w:rFonts w:hint="default" w:ascii="Times New Roman" w:hAnsi="Times New Roman" w:eastAsia="宋体" w:cs="Times New Roman"/>
                <w:color w:val="auto"/>
                <w:sz w:val="24"/>
                <w:highlight w:val="none"/>
              </w:rPr>
              <w:t>量</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转移</w:t>
            </w:r>
            <w:r>
              <w:rPr>
                <w:rFonts w:hint="default" w:ascii="Times New Roman" w:hAnsi="Times New Roman" w:eastAsia="宋体" w:cs="Times New Roman"/>
                <w:color w:val="auto"/>
                <w:sz w:val="24"/>
                <w:highlight w:val="none"/>
              </w:rPr>
              <w:t>及处置记录，建立危废台账并在危险废物转移管理过程中严格执行《危险废物转移联单管理办法》，委</w:t>
            </w:r>
            <w:r>
              <w:rPr>
                <w:rFonts w:hint="default" w:ascii="Times New Roman" w:hAnsi="Times New Roman" w:eastAsia="宋体" w:cs="Times New Roman"/>
                <w:color w:val="auto"/>
                <w:sz w:val="24"/>
                <w:highlight w:val="none"/>
                <w:lang w:val="en-US" w:eastAsia="zh-CN"/>
              </w:rPr>
              <w:t>托</w:t>
            </w:r>
            <w:r>
              <w:rPr>
                <w:rFonts w:hint="eastAsia" w:ascii="Times New Roman" w:hAnsi="Times New Roman" w:eastAsia="宋体" w:cs="Times New Roman"/>
                <w:color w:val="auto"/>
                <w:sz w:val="24"/>
                <w:highlight w:val="none"/>
                <w:lang w:val="en-US" w:eastAsia="zh-CN"/>
              </w:rPr>
              <w:t>北京鑫兴众成环境科技有限责任公司</w:t>
            </w:r>
            <w:r>
              <w:rPr>
                <w:rFonts w:hint="default" w:ascii="Times New Roman" w:hAnsi="Times New Roman" w:eastAsia="宋体" w:cs="Times New Roman"/>
                <w:color w:val="auto"/>
                <w:sz w:val="24"/>
                <w:highlight w:val="none"/>
                <w:lang w:val="en-US" w:eastAsia="zh-CN"/>
              </w:rPr>
              <w:t>处理，</w:t>
            </w:r>
            <w:r>
              <w:rPr>
                <w:rFonts w:hint="default" w:ascii="Times New Roman" w:hAnsi="Times New Roman" w:eastAsia="宋体" w:cs="Times New Roman"/>
                <w:color w:val="auto"/>
                <w:sz w:val="24"/>
                <w:highlight w:val="none"/>
              </w:rPr>
              <w:t>不得随意倾倒或非法转移危险固废。</w:t>
            </w:r>
          </w:p>
          <w:p w14:paraId="61A834A7">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装载危险废物的容器及材质要满足相应的强度要求，</w:t>
            </w:r>
            <w:r>
              <w:rPr>
                <w:rFonts w:hint="eastAsia" w:ascii="Times New Roman" w:hAnsi="Times New Roman" w:eastAsia="宋体" w:cs="Times New Roman"/>
                <w:color w:val="auto"/>
                <w:sz w:val="24"/>
                <w:highlight w:val="none"/>
                <w:lang w:val="en-US" w:eastAsia="zh-CN"/>
              </w:rPr>
              <w:t>容器和包装物材质、内衬应与盛装的危险废物相容，</w:t>
            </w:r>
            <w:r>
              <w:rPr>
                <w:rFonts w:hint="default" w:ascii="Times New Roman" w:hAnsi="Times New Roman" w:eastAsia="宋体" w:cs="Times New Roman"/>
                <w:color w:val="auto"/>
                <w:sz w:val="24"/>
                <w:highlight w:val="none"/>
              </w:rPr>
              <w:t>装载危险废物的容器必须完好无损。</w:t>
            </w:r>
          </w:p>
          <w:p w14:paraId="338A67C1">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做好危险废物情况的记录，记录上须注明危险废物的名称、来源、数量、特性和包装容器的类别、入库日期、存放库位、废物出库日期及接收单位名称。危险废物的记录和货单在危险废物回取后应继续保留五年。</w:t>
            </w:r>
          </w:p>
          <w:p w14:paraId="4E37207B">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定期对所贮存的危险废物包装容器及贮存设施进行检查，发现破损，应及时采取措施。</w:t>
            </w:r>
          </w:p>
          <w:p w14:paraId="37EBF569">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按照《危险废物贮存污染控制标准》（GB18597-2023）相关规定要求，危废</w:t>
            </w:r>
            <w:r>
              <w:rPr>
                <w:rFonts w:hint="default" w:ascii="Times New Roman" w:hAnsi="Times New Roman" w:eastAsia="宋体" w:cs="Times New Roman"/>
                <w:color w:val="auto"/>
                <w:sz w:val="24"/>
                <w:highlight w:val="none"/>
                <w:lang w:val="en-US" w:eastAsia="zh-CN"/>
              </w:rPr>
              <w:t>暂存</w:t>
            </w:r>
            <w:r>
              <w:rPr>
                <w:rFonts w:hint="default" w:ascii="Times New Roman" w:hAnsi="Times New Roman" w:eastAsia="宋体" w:cs="Times New Roman"/>
                <w:color w:val="auto"/>
                <w:sz w:val="24"/>
                <w:highlight w:val="none"/>
              </w:rPr>
              <w:t>间及危险废物储存容器上需要张贴标签，具体要求如下：</w:t>
            </w:r>
          </w:p>
          <w:p w14:paraId="5443B04B">
            <w:pPr>
              <w:numPr>
                <w:ilvl w:val="0"/>
                <w:numId w:val="32"/>
              </w:numPr>
              <w:adjustRightInd w:val="0"/>
              <w:spacing w:line="360" w:lineRule="auto"/>
              <w:ind w:left="425" w:leftChars="0" w:hanging="425" w:firstLine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pacing w:val="6"/>
                <w:sz w:val="24"/>
                <w:highlight w:val="none"/>
              </w:rPr>
              <w:t>危废间及储存容器标签示例</w:t>
            </w:r>
          </w:p>
          <w:tbl>
            <w:tblPr>
              <w:tblStyle w:val="50"/>
              <w:tblW w:w="7745" w:type="dxa"/>
              <w:jc w:val="center"/>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90"/>
              <w:gridCol w:w="2618"/>
              <w:gridCol w:w="4037"/>
            </w:tblGrid>
            <w:tr w14:paraId="00B4408B">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1090" w:type="dxa"/>
                  <w:tcBorders>
                    <w:tl2br w:val="nil"/>
                    <w:tr2bl w:val="nil"/>
                  </w:tcBorders>
                  <w:vAlign w:val="center"/>
                </w:tcPr>
                <w:p w14:paraId="0F94142E">
                  <w:pPr>
                    <w:widowControl/>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场合</w:t>
                  </w:r>
                </w:p>
              </w:tc>
              <w:tc>
                <w:tcPr>
                  <w:tcW w:w="2618" w:type="dxa"/>
                  <w:tcBorders>
                    <w:tl2br w:val="nil"/>
                    <w:tr2bl w:val="nil"/>
                  </w:tcBorders>
                  <w:vAlign w:val="center"/>
                </w:tcPr>
                <w:p w14:paraId="17E42E94">
                  <w:pPr>
                    <w:widowControl/>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样式</w:t>
                  </w:r>
                </w:p>
              </w:tc>
              <w:tc>
                <w:tcPr>
                  <w:tcW w:w="4037" w:type="dxa"/>
                  <w:tcBorders>
                    <w:tl2br w:val="nil"/>
                    <w:tr2bl w:val="nil"/>
                  </w:tcBorders>
                  <w:vAlign w:val="center"/>
                </w:tcPr>
                <w:p w14:paraId="4C9FF467">
                  <w:pPr>
                    <w:widowControl/>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要求</w:t>
                  </w:r>
                </w:p>
              </w:tc>
            </w:tr>
            <w:tr w14:paraId="55995BC5">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908" w:hRule="atLeast"/>
                <w:jc w:val="center"/>
              </w:trPr>
              <w:tc>
                <w:tcPr>
                  <w:tcW w:w="1090" w:type="dxa"/>
                  <w:tcBorders>
                    <w:tl2br w:val="nil"/>
                    <w:tr2bl w:val="nil"/>
                  </w:tcBorders>
                  <w:vAlign w:val="center"/>
                </w:tcPr>
                <w:p w14:paraId="4930C626">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室外</w:t>
                  </w:r>
                </w:p>
                <w:p w14:paraId="3234FF5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（粘贴于门上或悬</w:t>
                  </w:r>
                </w:p>
                <w:p w14:paraId="34F366C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挂）</w:t>
                  </w:r>
                </w:p>
              </w:tc>
              <w:tc>
                <w:tcPr>
                  <w:tcW w:w="2618" w:type="dxa"/>
                  <w:tcBorders>
                    <w:tl2br w:val="nil"/>
                    <w:tr2bl w:val="nil"/>
                  </w:tcBorders>
                  <w:vAlign w:val="center"/>
                </w:tcPr>
                <w:p w14:paraId="6EC15D4A">
                  <w:pPr>
                    <w:spacing w:before="188" w:line="1519" w:lineRule="exact"/>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32"/>
                      <w:highlight w:val="none"/>
                    </w:rPr>
                    <w:drawing>
                      <wp:inline distT="0" distB="0" distL="0" distR="0">
                        <wp:extent cx="1625600" cy="1104900"/>
                        <wp:effectExtent l="0" t="0" r="5080" b="7620"/>
                        <wp:docPr id="39" name="IM 134"/>
                        <wp:cNvGraphicFramePr/>
                        <a:graphic xmlns:a="http://schemas.openxmlformats.org/drawingml/2006/main">
                          <a:graphicData uri="http://schemas.openxmlformats.org/drawingml/2006/picture">
                            <pic:pic xmlns:pic="http://schemas.openxmlformats.org/drawingml/2006/picture">
                              <pic:nvPicPr>
                                <pic:cNvPr id="39" name="IM 134"/>
                                <pic:cNvPicPr/>
                              </pic:nvPicPr>
                              <pic:blipFill>
                                <a:blip r:embed="rId31"/>
                                <a:stretch>
                                  <a:fillRect/>
                                </a:stretch>
                              </pic:blipFill>
                              <pic:spPr>
                                <a:xfrm>
                                  <a:off x="0" y="0"/>
                                  <a:ext cx="1625600" cy="1104900"/>
                                </a:xfrm>
                                <a:prstGeom prst="rect">
                                  <a:avLst/>
                                </a:prstGeom>
                              </pic:spPr>
                            </pic:pic>
                          </a:graphicData>
                        </a:graphic>
                      </wp:inline>
                    </w:drawing>
                  </w:r>
                </w:p>
              </w:tc>
              <w:tc>
                <w:tcPr>
                  <w:tcW w:w="4037" w:type="dxa"/>
                  <w:tcBorders>
                    <w:tl2br w:val="nil"/>
                    <w:tr2bl w:val="nil"/>
                  </w:tcBorders>
                  <w:vAlign w:val="center"/>
                </w:tcPr>
                <w:p w14:paraId="08F65A3D">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1、危险废物标签尺寸颜色：尺寸：40×40cm；</w:t>
                  </w:r>
                </w:p>
                <w:p w14:paraId="34548A6F">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颜色：背景为黄色，图形为黑色。</w:t>
                  </w:r>
                </w:p>
                <w:p w14:paraId="30A4B741">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2、警告标志外檐2.5cm。</w:t>
                  </w:r>
                </w:p>
                <w:p w14:paraId="37EC30A2">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3、适用于：危险废物贮存设施为房屋的，建有围墙或防护栅栏，且高度高于100cm时；部分危险废物利用、处置场所。</w:t>
                  </w:r>
                </w:p>
              </w:tc>
            </w:tr>
            <w:tr w14:paraId="76752541">
              <w:tblPrEx>
                <w:tblBorders>
                  <w:top w:val="single" w:color="000000" w:sz="8" w:space="0"/>
                  <w:left w:val="none" w:color="auto" w:sz="0" w:space="0"/>
                  <w:bottom w:val="single" w:color="000000" w:sz="8"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65" w:hRule="atLeast"/>
                <w:jc w:val="center"/>
              </w:trPr>
              <w:tc>
                <w:tcPr>
                  <w:tcW w:w="1090" w:type="dxa"/>
                  <w:tcBorders>
                    <w:tl2br w:val="nil"/>
                    <w:tr2bl w:val="nil"/>
                  </w:tcBorders>
                  <w:vAlign w:val="center"/>
                </w:tcPr>
                <w:p w14:paraId="63820EC3">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粘贴于危</w:t>
                  </w:r>
                </w:p>
                <w:p w14:paraId="0A99319A">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险废物储</w:t>
                  </w:r>
                </w:p>
                <w:p w14:paraId="57F47E40">
                  <w:pPr>
                    <w:widowControl/>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存容器</w:t>
                  </w:r>
                </w:p>
              </w:tc>
              <w:tc>
                <w:tcPr>
                  <w:tcW w:w="2618" w:type="dxa"/>
                  <w:tcBorders>
                    <w:tl2br w:val="nil"/>
                    <w:tr2bl w:val="nil"/>
                  </w:tcBorders>
                  <w:vAlign w:val="center"/>
                </w:tcPr>
                <w:p w14:paraId="61E6C82F">
                  <w:pPr>
                    <w:spacing w:before="8" w:line="1620" w:lineRule="exact"/>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anchor distT="0" distB="0" distL="114300" distR="114300" simplePos="0" relativeHeight="251664384" behindDoc="0" locked="0" layoutInCell="1" allowOverlap="1">
                        <wp:simplePos x="0" y="0"/>
                        <wp:positionH relativeFrom="column">
                          <wp:posOffset>29845</wp:posOffset>
                        </wp:positionH>
                        <wp:positionV relativeFrom="page">
                          <wp:posOffset>-635</wp:posOffset>
                        </wp:positionV>
                        <wp:extent cx="1620520" cy="1568450"/>
                        <wp:effectExtent l="0" t="0" r="10160" b="1270"/>
                        <wp:wrapNone/>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32"/>
                                <a:stretch>
                                  <a:fillRect/>
                                </a:stretch>
                              </pic:blipFill>
                              <pic:spPr>
                                <a:xfrm>
                                  <a:off x="0" y="0"/>
                                  <a:ext cx="1620520" cy="1568450"/>
                                </a:xfrm>
                                <a:prstGeom prst="rect">
                                  <a:avLst/>
                                </a:prstGeom>
                                <a:noFill/>
                                <a:ln>
                                  <a:noFill/>
                                </a:ln>
                              </pic:spPr>
                            </pic:pic>
                          </a:graphicData>
                        </a:graphic>
                      </wp:anchor>
                    </w:drawing>
                  </w:r>
                </w:p>
              </w:tc>
              <w:tc>
                <w:tcPr>
                  <w:tcW w:w="4037" w:type="dxa"/>
                  <w:tcBorders>
                    <w:tl2br w:val="nil"/>
                    <w:tr2bl w:val="nil"/>
                  </w:tcBorders>
                  <w:vAlign w:val="center"/>
                </w:tcPr>
                <w:p w14:paraId="6E7681E5">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1、危险废物标签尺寸颜色：尺寸：20×20cm；</w:t>
                  </w:r>
                </w:p>
                <w:p w14:paraId="44342361">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底色：醒目的橘黄色。字体：黑体字；</w:t>
                  </w:r>
                </w:p>
                <w:p w14:paraId="3C31EDC4">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字体颜色：黑色。</w:t>
                  </w:r>
                </w:p>
                <w:p w14:paraId="7BDB60E7">
                  <w:pPr>
                    <w:widowControl/>
                    <w:jc w:val="left"/>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2、危险类别：按危险废物种类选择。</w:t>
                  </w:r>
                </w:p>
              </w:tc>
            </w:tr>
          </w:tbl>
          <w:p w14:paraId="02975DE9">
            <w:pPr>
              <w:numPr>
                <w:ilvl w:val="0"/>
                <w:numId w:val="37"/>
              </w:numPr>
              <w:adjustRightInd w:val="0"/>
              <w:spacing w:line="360" w:lineRule="auto"/>
              <w:ind w:left="0" w:leftChars="0"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转移及运输过程的环境影响分析及污染防治措施</w:t>
            </w:r>
          </w:p>
          <w:p w14:paraId="2A0F0AE7">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本项目危险废物及时转运，按照确定的内部危险废物运送时间、路线，将危险废物收集、运送至危险废物暂存间，再定期由</w:t>
            </w:r>
            <w:r>
              <w:rPr>
                <w:rFonts w:hint="eastAsia" w:ascii="Times New Roman" w:hAnsi="Times New Roman" w:eastAsia="宋体" w:cs="Times New Roman"/>
                <w:color w:val="auto"/>
                <w:sz w:val="24"/>
                <w:highlight w:val="none"/>
                <w:lang w:val="en-US" w:eastAsia="zh-CN"/>
              </w:rPr>
              <w:t>北京鑫兴众成环境科技有限责任公司</w:t>
            </w:r>
            <w:r>
              <w:rPr>
                <w:rFonts w:hint="default" w:ascii="Times New Roman" w:hAnsi="Times New Roman" w:eastAsia="宋体" w:cs="Times New Roman"/>
                <w:color w:val="auto"/>
                <w:sz w:val="24"/>
                <w:highlight w:val="none"/>
              </w:rPr>
              <w:t>处理，做好转运记录，填写危废转移联单，转运危险废物的车辆便于装卸、防止外溢，加盖便于密闭转运，转运车辆每日清洗与消毒，转运及运输过程执行《危险废物转移管理办法》（2022年1月1日起施行）相关要求。</w:t>
            </w:r>
          </w:p>
          <w:p w14:paraId="449BD0BB">
            <w:pPr>
              <w:numPr>
                <w:ilvl w:val="0"/>
                <w:numId w:val="0"/>
              </w:numPr>
              <w:adjustRightInd w:val="0"/>
              <w:snapToGrid w:val="0"/>
              <w:spacing w:line="360" w:lineRule="auto"/>
              <w:ind w:leftChars="0" w:firstLine="480" w:firstLineChars="200"/>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（3）固体废物环境影响结论</w:t>
            </w:r>
          </w:p>
          <w:p w14:paraId="02C9843A">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项目运营期间产生的固体废物的处置符合《中华人民共和国固体废物污染环境防治法》（2020年版）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北京市生活垃圾管理条例》（2020年5月1日起施行，2020年9月25日第二次修正）、《一般工业固体废物贮存和填埋污染控制标准》（GB18599-2020）、《北京市危险废物污染环境防治条例》、（2020年9月1日实施）、《危险废物收集贮存运输技术规范》（HJ2025-2012）、《危险废物贮存污染控制标准》（GB18597-2023）、《危险废物污染防治技术政策》（环发[2021]199号）</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《危险废物转移管理办法》（2022年1月1日起施行）、《实验室危险废物污染防治技术规范》（DB11/T1368—2016）等相关规定，固体废物去向明确，处置措施合理，本项目固体废物</w:t>
            </w:r>
            <w:r>
              <w:rPr>
                <w:rFonts w:hint="eastAsia" w:cs="Times New Roman"/>
                <w:color w:val="auto"/>
                <w:sz w:val="24"/>
                <w:highlight w:val="none"/>
                <w:lang w:val="en-US" w:eastAsia="zh-CN"/>
              </w:rPr>
              <w:t>对</w:t>
            </w:r>
            <w:r>
              <w:rPr>
                <w:rFonts w:hint="default" w:ascii="Times New Roman" w:hAnsi="Times New Roman" w:eastAsia="宋体" w:cs="Times New Roman"/>
                <w:color w:val="auto"/>
                <w:sz w:val="24"/>
                <w:highlight w:val="none"/>
              </w:rPr>
              <w:t>环境</w:t>
            </w:r>
            <w:r>
              <w:rPr>
                <w:rFonts w:hint="eastAsia" w:cs="Times New Roman"/>
                <w:color w:val="auto"/>
                <w:sz w:val="24"/>
                <w:highlight w:val="none"/>
                <w:lang w:val="en-US" w:eastAsia="zh-CN"/>
              </w:rPr>
              <w:t>的</w:t>
            </w:r>
            <w:r>
              <w:rPr>
                <w:rFonts w:hint="default" w:ascii="Times New Roman" w:hAnsi="Times New Roman" w:eastAsia="宋体" w:cs="Times New Roman"/>
                <w:color w:val="auto"/>
                <w:sz w:val="24"/>
                <w:highlight w:val="none"/>
              </w:rPr>
              <w:t>影响可以接受。</w:t>
            </w:r>
          </w:p>
          <w:p w14:paraId="047C58AB">
            <w:pPr>
              <w:numPr>
                <w:ilvl w:val="0"/>
                <w:numId w:val="30"/>
              </w:numPr>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地下水、土壤</w:t>
            </w:r>
          </w:p>
          <w:p w14:paraId="1F27F2D0">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val="en-US" w:eastAsia="zh-CN"/>
              </w:rPr>
              <w:t>位于所在建</w:t>
            </w:r>
            <w:r>
              <w:rPr>
                <w:rFonts w:hint="eastAsia" w:ascii="Times New Roman" w:hAnsi="Times New Roman" w:eastAsia="宋体" w:cs="Times New Roman"/>
                <w:color w:val="auto"/>
                <w:sz w:val="24"/>
                <w:highlight w:val="none"/>
                <w:lang w:val="en-US" w:eastAsia="zh-CN"/>
              </w:rPr>
              <w:t>筑1-5层，一层以办公为主，试剂室、易制毒制爆室、实验室、危险废物暂存间等风险源分布于2-5层，与地下水和土壤存在空间阻隔，室内</w:t>
            </w:r>
            <w:r>
              <w:rPr>
                <w:rFonts w:hint="default" w:ascii="Times New Roman" w:hAnsi="Times New Roman" w:eastAsia="宋体" w:cs="Times New Roman"/>
                <w:color w:val="auto"/>
                <w:sz w:val="24"/>
                <w:highlight w:val="none"/>
                <w:lang w:val="en-US" w:eastAsia="zh-CN"/>
              </w:rPr>
              <w:t>地面硬化，</w:t>
            </w:r>
            <w:r>
              <w:rPr>
                <w:rFonts w:hint="eastAsia" w:ascii="Times New Roman" w:hAnsi="Times New Roman" w:eastAsia="宋体" w:cs="Times New Roman"/>
                <w:color w:val="auto"/>
                <w:sz w:val="24"/>
                <w:highlight w:val="none"/>
                <w:lang w:val="en-US" w:eastAsia="zh-CN"/>
              </w:rPr>
              <w:t>不同分区按要求做好防渗</w:t>
            </w:r>
            <w:r>
              <w:rPr>
                <w:rFonts w:hint="default" w:ascii="Times New Roman" w:hAnsi="Times New Roman" w:eastAsia="宋体" w:cs="Times New Roman"/>
                <w:color w:val="auto"/>
                <w:sz w:val="24"/>
                <w:highlight w:val="none"/>
              </w:rPr>
              <w:t>。本项目</w:t>
            </w:r>
            <w:r>
              <w:rPr>
                <w:rFonts w:hint="eastAsia" w:cs="Times New Roman"/>
                <w:color w:val="auto"/>
                <w:sz w:val="24"/>
                <w:highlight w:val="none"/>
                <w:lang w:val="en-US" w:eastAsia="zh-CN"/>
              </w:rPr>
              <w:t>外排污水排入园区化粪池</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最后经</w:t>
            </w:r>
            <w:r>
              <w:rPr>
                <w:rFonts w:hint="default" w:ascii="Times New Roman" w:hAnsi="Times New Roman" w:eastAsia="宋体" w:cs="Times New Roman"/>
                <w:color w:val="auto"/>
                <w:sz w:val="24"/>
                <w:highlight w:val="none"/>
              </w:rPr>
              <w:t>市政污水管网</w:t>
            </w:r>
            <w:r>
              <w:rPr>
                <w:rFonts w:hint="eastAsia" w:cs="Times New Roman"/>
                <w:color w:val="auto"/>
                <w:sz w:val="24"/>
                <w:highlight w:val="none"/>
                <w:lang w:val="en-US" w:eastAsia="zh-CN"/>
              </w:rPr>
              <w:t>进入公共污水处理厂。</w:t>
            </w:r>
            <w:r>
              <w:rPr>
                <w:rFonts w:hint="default" w:ascii="Times New Roman" w:hAnsi="Times New Roman" w:eastAsia="宋体" w:cs="Times New Roman"/>
                <w:color w:val="auto"/>
                <w:sz w:val="24"/>
                <w:highlight w:val="none"/>
              </w:rPr>
              <w:t>正常排放情况下不会进入</w:t>
            </w:r>
            <w:r>
              <w:rPr>
                <w:rFonts w:hint="eastAsia" w:cs="Times New Roman"/>
                <w:color w:val="auto"/>
                <w:sz w:val="24"/>
                <w:highlight w:val="none"/>
                <w:lang w:val="en-US" w:eastAsia="zh-CN"/>
              </w:rPr>
              <w:t>土壤和</w:t>
            </w:r>
            <w:r>
              <w:rPr>
                <w:rFonts w:hint="default" w:ascii="Times New Roman" w:hAnsi="Times New Roman" w:eastAsia="宋体" w:cs="Times New Roman"/>
                <w:color w:val="auto"/>
                <w:sz w:val="24"/>
                <w:highlight w:val="none"/>
              </w:rPr>
              <w:t>地下水。根据本项目实际情况，为防止非正常状况下污染土壤和地下水的环境风险，将本项目区域划分为重点防渗区、一般防渗区</w:t>
            </w:r>
            <w:r>
              <w:rPr>
                <w:rFonts w:hint="default" w:ascii="Times New Roman" w:hAnsi="Times New Roman" w:eastAsia="宋体" w:cs="Times New Roman"/>
                <w:color w:val="auto"/>
                <w:sz w:val="24"/>
                <w:highlight w:val="none"/>
                <w:lang w:val="en-US" w:eastAsia="zh-CN"/>
              </w:rPr>
              <w:t>和简单防渗区</w:t>
            </w:r>
            <w:r>
              <w:rPr>
                <w:rFonts w:hint="default" w:ascii="Times New Roman" w:hAnsi="Times New Roman" w:eastAsia="宋体" w:cs="Times New Roman"/>
                <w:color w:val="auto"/>
                <w:sz w:val="24"/>
                <w:highlight w:val="none"/>
              </w:rPr>
              <w:t>。</w:t>
            </w:r>
          </w:p>
          <w:p w14:paraId="6E8711EF">
            <w:pPr>
              <w:numPr>
                <w:ilvl w:val="0"/>
                <w:numId w:val="32"/>
              </w:numPr>
              <w:adjustRightInd w:val="0"/>
              <w:spacing w:line="360" w:lineRule="auto"/>
              <w:ind w:left="425" w:leftChars="0" w:hanging="425" w:firstLineChars="0"/>
              <w:jc w:val="center"/>
              <w:rPr>
                <w:rFonts w:hint="default" w:ascii="Times New Roman" w:hAnsi="Times New Roman" w:eastAsia="宋体" w:cs="Times New Roman"/>
                <w:b/>
                <w:bCs/>
                <w:color w:val="auto"/>
                <w:spacing w:val="6"/>
                <w:sz w:val="24"/>
                <w:highlight w:val="none"/>
              </w:rPr>
            </w:pPr>
            <w:r>
              <w:rPr>
                <w:rFonts w:hint="default" w:ascii="Times New Roman" w:hAnsi="Times New Roman" w:eastAsia="宋体" w:cs="Times New Roman"/>
                <w:b/>
                <w:bCs/>
                <w:color w:val="auto"/>
                <w:spacing w:val="6"/>
                <w:sz w:val="24"/>
                <w:highlight w:val="none"/>
              </w:rPr>
              <w:t>项目相关区域防渗划分表</w:t>
            </w:r>
          </w:p>
          <w:tbl>
            <w:tblPr>
              <w:tblStyle w:val="24"/>
              <w:tblW w:w="49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2"/>
              <w:gridCol w:w="680"/>
              <w:gridCol w:w="2541"/>
              <w:gridCol w:w="2332"/>
              <w:gridCol w:w="1002"/>
            </w:tblGrid>
            <w:tr w14:paraId="46AC4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dxa"/>
                  <w:tcBorders>
                    <w:tl2br w:val="nil"/>
                    <w:tr2bl w:val="nil"/>
                  </w:tcBorders>
                  <w:vAlign w:val="center"/>
                </w:tcPr>
                <w:p w14:paraId="0EC2B776">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工程单元</w:t>
                  </w:r>
                </w:p>
              </w:tc>
              <w:tc>
                <w:tcPr>
                  <w:tcW w:w="680" w:type="dxa"/>
                  <w:tcBorders>
                    <w:tl2br w:val="nil"/>
                    <w:tr2bl w:val="nil"/>
                  </w:tcBorders>
                  <w:vAlign w:val="center"/>
                </w:tcPr>
                <w:p w14:paraId="3CCA088D">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位置</w:t>
                  </w:r>
                </w:p>
              </w:tc>
              <w:tc>
                <w:tcPr>
                  <w:tcW w:w="2541" w:type="dxa"/>
                  <w:tcBorders>
                    <w:tl2br w:val="nil"/>
                    <w:tr2bl w:val="nil"/>
                  </w:tcBorders>
                  <w:vAlign w:val="center"/>
                </w:tcPr>
                <w:p w14:paraId="527300A3">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防渗技术要求</w:t>
                  </w:r>
                </w:p>
              </w:tc>
              <w:tc>
                <w:tcPr>
                  <w:tcW w:w="2332" w:type="dxa"/>
                  <w:tcBorders>
                    <w:tl2br w:val="nil"/>
                    <w:tr2bl w:val="nil"/>
                  </w:tcBorders>
                  <w:vAlign w:val="center"/>
                </w:tcPr>
                <w:p w14:paraId="2E0DA629">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标准</w:t>
                  </w:r>
                </w:p>
              </w:tc>
              <w:tc>
                <w:tcPr>
                  <w:tcW w:w="1002" w:type="dxa"/>
                  <w:tcBorders>
                    <w:tl2br w:val="nil"/>
                    <w:tr2bl w:val="nil"/>
                  </w:tcBorders>
                  <w:vAlign w:val="center"/>
                </w:tcPr>
                <w:p w14:paraId="59A11FE5">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防渗分区</w:t>
                  </w:r>
                </w:p>
              </w:tc>
            </w:tr>
            <w:tr w14:paraId="158E27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dxa"/>
                  <w:tcBorders>
                    <w:tl2br w:val="nil"/>
                    <w:tr2bl w:val="nil"/>
                  </w:tcBorders>
                  <w:vAlign w:val="center"/>
                </w:tcPr>
                <w:p w14:paraId="70E4850F">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危险废物暂存间</w:t>
                  </w:r>
                </w:p>
              </w:tc>
              <w:tc>
                <w:tcPr>
                  <w:tcW w:w="680" w:type="dxa"/>
                  <w:tcBorders>
                    <w:tl2br w:val="nil"/>
                    <w:tr2bl w:val="nil"/>
                  </w:tcBorders>
                  <w:vAlign w:val="center"/>
                </w:tcPr>
                <w:p w14:paraId="7A9DEB52">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3层</w:t>
                  </w:r>
                </w:p>
              </w:tc>
              <w:tc>
                <w:tcPr>
                  <w:tcW w:w="2541" w:type="dxa"/>
                  <w:tcBorders>
                    <w:tl2br w:val="nil"/>
                    <w:tr2bl w:val="nil"/>
                  </w:tcBorders>
                  <w:vAlign w:val="center"/>
                </w:tcPr>
                <w:p w14:paraId="77B60065">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采用2mm厚高密度聚乙烯或防渗效果等的其他防渗材料进行防渗，渗透系数≤10</w:t>
                  </w:r>
                  <w:r>
                    <w:rPr>
                      <w:rFonts w:hint="default" w:ascii="Times New Roman" w:hAnsi="Times New Roman" w:eastAsia="宋体" w:cs="Times New Roman"/>
                      <w:color w:val="auto"/>
                      <w:sz w:val="21"/>
                      <w:szCs w:val="21"/>
                      <w:highlight w:val="none"/>
                      <w:vertAlign w:val="superscript"/>
                    </w:rPr>
                    <w:t>-1</w:t>
                  </w:r>
                  <w:r>
                    <w:rPr>
                      <w:rFonts w:hint="eastAsia" w:cs="Times New Roman"/>
                      <w:color w:val="auto"/>
                      <w:sz w:val="21"/>
                      <w:szCs w:val="21"/>
                      <w:highlight w:val="none"/>
                      <w:vertAlign w:val="superscript"/>
                      <w:lang w:val="en-US" w:eastAsia="zh-CN"/>
                    </w:rPr>
                    <w:t>0</w:t>
                  </w:r>
                  <w:r>
                    <w:rPr>
                      <w:rFonts w:hint="default" w:ascii="Times New Roman" w:hAnsi="Times New Roman" w:eastAsia="宋体" w:cs="Times New Roman"/>
                      <w:color w:val="auto"/>
                      <w:sz w:val="21"/>
                      <w:szCs w:val="21"/>
                      <w:highlight w:val="none"/>
                      <w:vertAlign w:val="baseline"/>
                    </w:rPr>
                    <w:t>cm/s</w:t>
                  </w:r>
                </w:p>
              </w:tc>
              <w:tc>
                <w:tcPr>
                  <w:tcW w:w="2332" w:type="dxa"/>
                  <w:tcBorders>
                    <w:tl2br w:val="nil"/>
                    <w:tr2bl w:val="nil"/>
                  </w:tcBorders>
                  <w:vAlign w:val="center"/>
                </w:tcPr>
                <w:p w14:paraId="38F75DA7">
                  <w:pPr>
                    <w:numPr>
                      <w:ilvl w:val="0"/>
                      <w:numId w:val="0"/>
                    </w:numPr>
                    <w:autoSpaceDE w:val="0"/>
                    <w:autoSpaceDN w:val="0"/>
                    <w:adjustRightInd w:val="0"/>
                    <w:snapToGrid w:val="0"/>
                    <w:spacing w:line="240" w:lineRule="auto"/>
                    <w:jc w:val="both"/>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满足《危险废物贮存污染控制标准》(GB18597-2023）的相关防渗要求</w:t>
                  </w:r>
                </w:p>
              </w:tc>
              <w:tc>
                <w:tcPr>
                  <w:tcW w:w="1002" w:type="dxa"/>
                  <w:tcBorders>
                    <w:tl2br w:val="nil"/>
                    <w:tr2bl w:val="nil"/>
                  </w:tcBorders>
                  <w:vAlign w:val="center"/>
                </w:tcPr>
                <w:p w14:paraId="14AF6C5A">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重点防渗区</w:t>
                  </w:r>
                </w:p>
              </w:tc>
            </w:tr>
            <w:tr w14:paraId="0177A1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62" w:type="dxa"/>
                  <w:tcBorders>
                    <w:tl2br w:val="nil"/>
                    <w:tr2bl w:val="nil"/>
                  </w:tcBorders>
                  <w:vAlign w:val="center"/>
                </w:tcPr>
                <w:p w14:paraId="0E633B36">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试剂室、易制毒制爆室</w:t>
                  </w:r>
                </w:p>
              </w:tc>
              <w:tc>
                <w:tcPr>
                  <w:tcW w:w="680" w:type="dxa"/>
                  <w:tcBorders>
                    <w:tl2br w:val="nil"/>
                    <w:tr2bl w:val="nil"/>
                  </w:tcBorders>
                  <w:vAlign w:val="center"/>
                </w:tcPr>
                <w:p w14:paraId="2DA1B919">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5层</w:t>
                  </w:r>
                </w:p>
              </w:tc>
              <w:tc>
                <w:tcPr>
                  <w:tcW w:w="2541" w:type="dxa"/>
                  <w:tcBorders>
                    <w:tl2br w:val="nil"/>
                    <w:tr2bl w:val="nil"/>
                  </w:tcBorders>
                  <w:shd w:val="clear" w:color="auto" w:fill="auto"/>
                  <w:vAlign w:val="center"/>
                </w:tcPr>
                <w:p w14:paraId="2064797E">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采用2mm厚高密度聚乙烯或防渗效果等的其他防渗材料进行防渗，渗透系数≤10</w:t>
                  </w:r>
                  <w:r>
                    <w:rPr>
                      <w:rFonts w:hint="default" w:ascii="Times New Roman" w:hAnsi="Times New Roman" w:eastAsia="宋体" w:cs="Times New Roman"/>
                      <w:color w:val="auto"/>
                      <w:sz w:val="21"/>
                      <w:szCs w:val="21"/>
                      <w:highlight w:val="none"/>
                      <w:vertAlign w:val="superscript"/>
                    </w:rPr>
                    <w:t>-1</w:t>
                  </w:r>
                  <w:r>
                    <w:rPr>
                      <w:rFonts w:hint="eastAsia" w:cs="Times New Roman"/>
                      <w:color w:val="auto"/>
                      <w:sz w:val="21"/>
                      <w:szCs w:val="21"/>
                      <w:highlight w:val="none"/>
                      <w:vertAlign w:val="superscript"/>
                      <w:lang w:val="en-US" w:eastAsia="zh-CN"/>
                    </w:rPr>
                    <w:t>0</w:t>
                  </w:r>
                  <w:r>
                    <w:rPr>
                      <w:rFonts w:hint="default" w:ascii="Times New Roman" w:hAnsi="Times New Roman" w:eastAsia="宋体" w:cs="Times New Roman"/>
                      <w:color w:val="auto"/>
                      <w:sz w:val="21"/>
                      <w:szCs w:val="21"/>
                      <w:highlight w:val="none"/>
                      <w:vertAlign w:val="baseline"/>
                    </w:rPr>
                    <w:t>cm/s</w:t>
                  </w:r>
                </w:p>
              </w:tc>
              <w:tc>
                <w:tcPr>
                  <w:tcW w:w="2332" w:type="dxa"/>
                  <w:tcBorders>
                    <w:tl2br w:val="nil"/>
                    <w:tr2bl w:val="nil"/>
                  </w:tcBorders>
                  <w:shd w:val="clear" w:color="auto" w:fill="auto"/>
                  <w:vAlign w:val="center"/>
                </w:tcPr>
                <w:p w14:paraId="6F73362C">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满足《危险废物贮存污染控制标准》(GB18597-2023）的相关防渗要求</w:t>
                  </w:r>
                </w:p>
              </w:tc>
              <w:tc>
                <w:tcPr>
                  <w:tcW w:w="1002" w:type="dxa"/>
                  <w:tcBorders>
                    <w:tl2br w:val="nil"/>
                    <w:tr2bl w:val="nil"/>
                  </w:tcBorders>
                  <w:shd w:val="clear" w:color="auto" w:fill="auto"/>
                  <w:vAlign w:val="center"/>
                </w:tcPr>
                <w:p w14:paraId="59FFAF13">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重点防渗区</w:t>
                  </w:r>
                </w:p>
              </w:tc>
            </w:tr>
            <w:tr w14:paraId="060B08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dxa"/>
                  <w:tcBorders>
                    <w:tl2br w:val="nil"/>
                    <w:tr2bl w:val="nil"/>
                  </w:tcBorders>
                  <w:vAlign w:val="center"/>
                </w:tcPr>
                <w:p w14:paraId="4493657A">
                  <w:pPr>
                    <w:numPr>
                      <w:ilvl w:val="0"/>
                      <w:numId w:val="0"/>
                    </w:numPr>
                    <w:autoSpaceDE w:val="0"/>
                    <w:autoSpaceDN w:val="0"/>
                    <w:adjustRightInd w:val="0"/>
                    <w:snapToGrid w:val="0"/>
                    <w:spacing w:line="240" w:lineRule="auto"/>
                    <w:jc w:val="center"/>
                    <w:rPr>
                      <w:rFonts w:hint="eastAsia" w:ascii="Times New Roman" w:hAnsi="Times New Roman" w:eastAsia="宋体" w:cs="Times New Roman"/>
                      <w:color w:val="auto"/>
                      <w:sz w:val="21"/>
                      <w:szCs w:val="21"/>
                      <w:highlight w:val="none"/>
                      <w:vertAlign w:val="baseline"/>
                      <w:lang w:eastAsia="zh-CN"/>
                    </w:rPr>
                  </w:pPr>
                  <w:r>
                    <w:rPr>
                      <w:rFonts w:hint="eastAsia" w:cs="Times New Roman"/>
                      <w:color w:val="auto"/>
                      <w:sz w:val="21"/>
                      <w:szCs w:val="21"/>
                      <w:highlight w:val="none"/>
                      <w:vertAlign w:val="baseline"/>
                      <w:lang w:val="en-US" w:eastAsia="zh-CN"/>
                    </w:rPr>
                    <w:t>实验室</w:t>
                  </w:r>
                </w:p>
              </w:tc>
              <w:tc>
                <w:tcPr>
                  <w:tcW w:w="680" w:type="dxa"/>
                  <w:tcBorders>
                    <w:tl2br w:val="nil"/>
                    <w:tr2bl w:val="nil"/>
                  </w:tcBorders>
                  <w:vAlign w:val="center"/>
                </w:tcPr>
                <w:p w14:paraId="41A093F7">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2-4层</w:t>
                  </w:r>
                </w:p>
              </w:tc>
              <w:tc>
                <w:tcPr>
                  <w:tcW w:w="2541" w:type="dxa"/>
                  <w:tcBorders>
                    <w:tl2br w:val="nil"/>
                    <w:tr2bl w:val="nil"/>
                  </w:tcBorders>
                  <w:shd w:val="clear" w:color="auto" w:fill="auto"/>
                  <w:vAlign w:val="center"/>
                </w:tcPr>
                <w:p w14:paraId="588CD391">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采用2mm厚高密度聚乙烯或防渗效果等的其他防渗材料进行防渗，渗透系数≤10</w:t>
                  </w:r>
                  <w:r>
                    <w:rPr>
                      <w:rFonts w:hint="default" w:ascii="Times New Roman" w:hAnsi="Times New Roman" w:eastAsia="宋体" w:cs="Times New Roman"/>
                      <w:color w:val="auto"/>
                      <w:sz w:val="21"/>
                      <w:szCs w:val="21"/>
                      <w:highlight w:val="none"/>
                      <w:vertAlign w:val="superscript"/>
                    </w:rPr>
                    <w:t>-1</w:t>
                  </w:r>
                  <w:r>
                    <w:rPr>
                      <w:rFonts w:hint="eastAsia" w:cs="Times New Roman"/>
                      <w:color w:val="auto"/>
                      <w:sz w:val="21"/>
                      <w:szCs w:val="21"/>
                      <w:highlight w:val="none"/>
                      <w:vertAlign w:val="superscript"/>
                      <w:lang w:val="en-US" w:eastAsia="zh-CN"/>
                    </w:rPr>
                    <w:t>0</w:t>
                  </w:r>
                  <w:r>
                    <w:rPr>
                      <w:rFonts w:hint="default" w:ascii="Times New Roman" w:hAnsi="Times New Roman" w:eastAsia="宋体" w:cs="Times New Roman"/>
                      <w:color w:val="auto"/>
                      <w:sz w:val="21"/>
                      <w:szCs w:val="21"/>
                      <w:highlight w:val="none"/>
                      <w:vertAlign w:val="baseline"/>
                    </w:rPr>
                    <w:t>cm/s</w:t>
                  </w:r>
                </w:p>
              </w:tc>
              <w:tc>
                <w:tcPr>
                  <w:tcW w:w="2332" w:type="dxa"/>
                  <w:tcBorders>
                    <w:tl2br w:val="nil"/>
                    <w:tr2bl w:val="nil"/>
                  </w:tcBorders>
                  <w:shd w:val="clear" w:color="auto" w:fill="auto"/>
                  <w:vAlign w:val="center"/>
                </w:tcPr>
                <w:p w14:paraId="26ECCE37">
                  <w:pPr>
                    <w:numPr>
                      <w:ilvl w:val="0"/>
                      <w:numId w:val="0"/>
                    </w:numPr>
                    <w:autoSpaceDE w:val="0"/>
                    <w:autoSpaceDN w:val="0"/>
                    <w:adjustRightInd w:val="0"/>
                    <w:snapToGrid w:val="0"/>
                    <w:spacing w:line="240" w:lineRule="auto"/>
                    <w:ind w:left="0" w:leftChars="0" w:firstLine="0" w:firstLineChars="0"/>
                    <w:jc w:val="both"/>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vertAlign w:val="baseline"/>
                    </w:rPr>
                    <w:t>满足《危险废物贮存污染控制标准》(GB18597-2023）的相关防渗要求</w:t>
                  </w:r>
                </w:p>
              </w:tc>
              <w:tc>
                <w:tcPr>
                  <w:tcW w:w="1002" w:type="dxa"/>
                  <w:tcBorders>
                    <w:tl2br w:val="nil"/>
                    <w:tr2bl w:val="nil"/>
                  </w:tcBorders>
                  <w:shd w:val="clear" w:color="auto" w:fill="auto"/>
                  <w:vAlign w:val="center"/>
                </w:tcPr>
                <w:p w14:paraId="4D001281">
                  <w:pPr>
                    <w:numPr>
                      <w:ilvl w:val="0"/>
                      <w:numId w:val="0"/>
                    </w:numPr>
                    <w:autoSpaceDE w:val="0"/>
                    <w:autoSpaceDN w:val="0"/>
                    <w:adjustRightInd w:val="0"/>
                    <w:snapToGrid w:val="0"/>
                    <w:spacing w:line="240" w:lineRule="auto"/>
                    <w:ind w:left="0" w:leftChars="0" w:firstLine="0" w:firstLineChars="0"/>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4"/>
                      <w:highlight w:val="none"/>
                    </w:rPr>
                    <w:t>一般防渗区</w:t>
                  </w:r>
                </w:p>
              </w:tc>
            </w:tr>
            <w:tr w14:paraId="0C5336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2" w:type="dxa"/>
                  <w:tcBorders>
                    <w:tl2br w:val="nil"/>
                    <w:tr2bl w:val="nil"/>
                  </w:tcBorders>
                  <w:vAlign w:val="center"/>
                </w:tcPr>
                <w:p w14:paraId="6B248A27">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eastAsia" w:cs="Times New Roman"/>
                      <w:color w:val="auto"/>
                      <w:sz w:val="21"/>
                      <w:szCs w:val="21"/>
                      <w:highlight w:val="none"/>
                      <w:vertAlign w:val="baseline"/>
                      <w:lang w:val="en-US" w:eastAsia="zh-CN"/>
                    </w:rPr>
                    <w:t>办公区</w:t>
                  </w:r>
                </w:p>
              </w:tc>
              <w:tc>
                <w:tcPr>
                  <w:tcW w:w="680" w:type="dxa"/>
                  <w:tcBorders>
                    <w:tl2br w:val="nil"/>
                    <w:tr2bl w:val="nil"/>
                  </w:tcBorders>
                  <w:vAlign w:val="center"/>
                </w:tcPr>
                <w:p w14:paraId="61AA412B">
                  <w:pPr>
                    <w:numPr>
                      <w:ilvl w:val="0"/>
                      <w:numId w:val="0"/>
                    </w:numPr>
                    <w:autoSpaceDE w:val="0"/>
                    <w:autoSpaceDN w:val="0"/>
                    <w:adjustRightInd w:val="0"/>
                    <w:snapToGrid w:val="0"/>
                    <w:spacing w:line="240" w:lineRule="auto"/>
                    <w:jc w:val="center"/>
                    <w:rPr>
                      <w:rFonts w:hint="default" w:ascii="Times New Roman" w:hAnsi="Times New Roman" w:eastAsia="宋体" w:cs="Times New Roman"/>
                      <w:color w:val="auto"/>
                      <w:sz w:val="21"/>
                      <w:szCs w:val="21"/>
                      <w:highlight w:val="none"/>
                      <w:vertAlign w:val="baseline"/>
                    </w:rPr>
                  </w:pPr>
                  <w:r>
                    <w:rPr>
                      <w:rFonts w:hint="eastAsia" w:ascii="Times New Roman" w:hAnsi="Times New Roman" w:eastAsia="宋体" w:cs="Times New Roman"/>
                      <w:color w:val="auto"/>
                      <w:sz w:val="21"/>
                      <w:szCs w:val="21"/>
                      <w:highlight w:val="none"/>
                      <w:vertAlign w:val="baseline"/>
                      <w:lang w:val="en-US" w:eastAsia="zh-CN"/>
                    </w:rPr>
                    <w:t>1层</w:t>
                  </w:r>
                </w:p>
              </w:tc>
              <w:tc>
                <w:tcPr>
                  <w:tcW w:w="2541" w:type="dxa"/>
                  <w:tcBorders>
                    <w:tl2br w:val="nil"/>
                    <w:tr2bl w:val="nil"/>
                  </w:tcBorders>
                  <w:vAlign w:val="center"/>
                </w:tcPr>
                <w:p w14:paraId="65F153A1">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硬化并进行防渗处理，防渗层渗透系数≤10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vertAlign w:val="baseline"/>
                    </w:rPr>
                    <w:t xml:space="preserve">cm/s </w:t>
                  </w:r>
                </w:p>
              </w:tc>
              <w:tc>
                <w:tcPr>
                  <w:tcW w:w="2332" w:type="dxa"/>
                  <w:tcBorders>
                    <w:tl2br w:val="nil"/>
                    <w:tr2bl w:val="nil"/>
                  </w:tcBorders>
                  <w:vAlign w:val="center"/>
                </w:tcPr>
                <w:p w14:paraId="2A404996">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rPr>
                    <w:t>满足《环境影响评价技术导则 地下水环境》（HJ610-2016）中规定的防渗标准要求</w:t>
                  </w:r>
                </w:p>
              </w:tc>
              <w:tc>
                <w:tcPr>
                  <w:tcW w:w="1002" w:type="dxa"/>
                  <w:tcBorders>
                    <w:tl2br w:val="nil"/>
                    <w:tr2bl w:val="nil"/>
                  </w:tcBorders>
                  <w:vAlign w:val="center"/>
                </w:tcPr>
                <w:p w14:paraId="6AF7FF43">
                  <w:pPr>
                    <w:keepNext w:val="0"/>
                    <w:keepLines w:val="0"/>
                    <w:pageBreakBefore w:val="0"/>
                    <w:widowControl w:val="0"/>
                    <w:numPr>
                      <w:ilvl w:val="0"/>
                      <w:numId w:val="0"/>
                    </w:numPr>
                    <w:kinsoku/>
                    <w:wordWrap w:val="0"/>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4"/>
                      <w:highlight w:val="none"/>
                      <w:lang w:val="en-US" w:eastAsia="zh-CN"/>
                    </w:rPr>
                    <w:t>简单防渗区</w:t>
                  </w:r>
                </w:p>
              </w:tc>
            </w:tr>
          </w:tbl>
          <w:p w14:paraId="6C60C9D6">
            <w:pPr>
              <w:numPr>
                <w:ilvl w:val="0"/>
                <w:numId w:val="0"/>
              </w:numPr>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采取上述防渗措施后，可有效的防止污染项目所在区域的地下水环境和土壤环境的污染。</w:t>
            </w:r>
          </w:p>
          <w:p w14:paraId="062DBE29">
            <w:pPr>
              <w:numPr>
                <w:ilvl w:val="0"/>
                <w:numId w:val="30"/>
              </w:numPr>
              <w:adjustRightInd w:val="0"/>
              <w:snapToGrid w:val="0"/>
              <w:spacing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生态影响分析</w:t>
            </w:r>
          </w:p>
          <w:p w14:paraId="55890C1B">
            <w:pPr>
              <w:numPr>
                <w:ilvl w:val="0"/>
                <w:numId w:val="0"/>
              </w:num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本项目位于</w:t>
            </w:r>
            <w:r>
              <w:rPr>
                <w:rFonts w:hint="eastAsia" w:cs="Times New Roman"/>
                <w:color w:val="auto"/>
                <w:sz w:val="24"/>
                <w:highlight w:val="none"/>
                <w:lang w:val="en-US" w:eastAsia="zh-CN"/>
              </w:rPr>
              <w:t>北京经济技术开发区环科中路2号院11号楼B单元</w:t>
            </w:r>
            <w:r>
              <w:rPr>
                <w:rFonts w:hint="default" w:ascii="Times New Roman" w:hAnsi="Times New Roman" w:eastAsia="宋体" w:cs="Times New Roman"/>
                <w:color w:val="auto"/>
                <w:sz w:val="24"/>
                <w:highlight w:val="none"/>
                <w:lang w:val="en-US" w:eastAsia="zh-CN"/>
              </w:rPr>
              <w:t>，租用现有建筑物进行</w:t>
            </w:r>
            <w:r>
              <w:rPr>
                <w:rFonts w:hint="eastAsia" w:cs="Times New Roman"/>
                <w:color w:val="auto"/>
                <w:sz w:val="24"/>
                <w:highlight w:val="none"/>
                <w:lang w:val="en-US" w:eastAsia="zh-CN"/>
              </w:rPr>
              <w:t>检测活动</w:t>
            </w:r>
            <w:r>
              <w:rPr>
                <w:rFonts w:hint="default" w:ascii="Times New Roman" w:hAnsi="Times New Roman" w:eastAsia="宋体" w:cs="Times New Roman"/>
                <w:color w:val="auto"/>
                <w:sz w:val="24"/>
                <w:highlight w:val="none"/>
                <w:lang w:val="en-US" w:eastAsia="zh-CN"/>
              </w:rPr>
              <w:t>，不属于产业园区外建设项目新增用地项目，且项目用地范围内无生态环境敏感目标，因此，本项目对生态环境影响较小。</w:t>
            </w:r>
          </w:p>
          <w:p w14:paraId="253F0596">
            <w:pPr>
              <w:numPr>
                <w:ilvl w:val="0"/>
                <w:numId w:val="30"/>
              </w:numPr>
              <w:adjustRightInd w:val="0"/>
              <w:snapToGrid w:val="0"/>
              <w:spacing w:line="360" w:lineRule="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环境风险</w:t>
            </w:r>
          </w:p>
          <w:p w14:paraId="652E95ED">
            <w:pPr>
              <w:adjustRightInd w:val="0"/>
              <w:spacing w:line="360" w:lineRule="auto"/>
              <w:ind w:firstLine="465"/>
              <w:rPr>
                <w:rFonts w:hint="default" w:ascii="Times New Roman" w:hAnsi="Times New Roman" w:eastAsia="宋体" w:cs="Times New Roman"/>
                <w:b w:val="0"/>
                <w:bCs w:val="0"/>
                <w:color w:val="auto"/>
                <w:spacing w:val="-2"/>
                <w:sz w:val="24"/>
                <w:szCs w:val="32"/>
                <w:highlight w:val="none"/>
              </w:rPr>
            </w:pPr>
            <w:r>
              <w:rPr>
                <w:rFonts w:hint="default" w:ascii="Times New Roman" w:hAnsi="Times New Roman" w:eastAsia="宋体" w:cs="Times New Roman"/>
                <w:b w:val="0"/>
                <w:bCs w:val="0"/>
                <w:color w:val="auto"/>
                <w:spacing w:val="-2"/>
                <w:sz w:val="24"/>
                <w:szCs w:val="32"/>
                <w:highlight w:val="none"/>
              </w:rPr>
              <w:t>（1）风险源</w:t>
            </w:r>
          </w:p>
          <w:p w14:paraId="377CDF5C">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eastAsia" w:cs="Times New Roman"/>
                <w:bCs/>
                <w:snapToGrid w:val="0"/>
                <w:color w:val="auto"/>
                <w:kern w:val="0"/>
                <w:sz w:val="24"/>
                <w:highlight w:val="none"/>
                <w:lang w:val="en-US" w:eastAsia="zh-CN"/>
              </w:rPr>
              <w:t>本项目涉及的风险源包括试剂室、易制毒室、标物室、实验室、危险废物暂存间。</w:t>
            </w:r>
            <w:r>
              <w:rPr>
                <w:rFonts w:hint="default" w:ascii="Times New Roman" w:hAnsi="Times New Roman" w:eastAsia="宋体" w:cs="Times New Roman"/>
                <w:bCs/>
                <w:snapToGrid w:val="0"/>
                <w:color w:val="auto"/>
                <w:kern w:val="0"/>
                <w:sz w:val="24"/>
                <w:highlight w:val="none"/>
              </w:rPr>
              <w:t>根据《建设项目风险评价技术导则》（HJ169-2018）附录B和《危险化学品重大危险源辨识》（GB18218-2018）中危险品临界量的有关规定，本项目涉及的环境风险物质主要为</w:t>
            </w:r>
            <w:r>
              <w:rPr>
                <w:rFonts w:hint="default" w:ascii="Times New Roman" w:hAnsi="Times New Roman" w:eastAsia="宋体" w:cs="Times New Roman"/>
                <w:color w:val="auto"/>
                <w:sz w:val="24"/>
                <w:highlight w:val="none"/>
                <w:lang w:val="en-US" w:eastAsia="zh-CN"/>
              </w:rPr>
              <w:t>实验过程中的化学物质、</w:t>
            </w:r>
            <w:r>
              <w:rPr>
                <w:rFonts w:hint="default" w:ascii="Times New Roman" w:hAnsi="Times New Roman" w:eastAsia="宋体" w:cs="Times New Roman"/>
                <w:color w:val="auto"/>
                <w:sz w:val="24"/>
                <w:highlight w:val="none"/>
              </w:rPr>
              <w:t>COD</w:t>
            </w:r>
            <w:r>
              <w:rPr>
                <w:rFonts w:hint="default" w:ascii="Times New Roman" w:hAnsi="Times New Roman" w:eastAsia="宋体" w:cs="Times New Roman"/>
                <w:color w:val="auto"/>
                <w:sz w:val="24"/>
                <w:highlight w:val="none"/>
                <w:vertAlign w:val="subscript"/>
              </w:rPr>
              <w:t>Cr</w:t>
            </w:r>
            <w:r>
              <w:rPr>
                <w:rFonts w:hint="default" w:ascii="Times New Roman" w:hAnsi="Times New Roman" w:eastAsia="宋体" w:cs="Times New Roman"/>
                <w:color w:val="auto"/>
                <w:sz w:val="24"/>
                <w:highlight w:val="none"/>
              </w:rPr>
              <w:t>大于10000mg/L的废液</w:t>
            </w:r>
            <w:r>
              <w:rPr>
                <w:rFonts w:hint="default"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rPr>
              <w:t>。计算</w:t>
            </w:r>
            <w:r>
              <w:rPr>
                <w:rFonts w:hint="eastAsia" w:cs="Times New Roman"/>
                <w:color w:val="auto"/>
                <w:sz w:val="24"/>
                <w:highlight w:val="none"/>
                <w:lang w:val="en-US" w:eastAsia="zh-CN"/>
              </w:rPr>
              <w:t>本项目完成后全公司</w:t>
            </w:r>
            <w:r>
              <w:rPr>
                <w:rFonts w:hint="default" w:ascii="Times New Roman" w:hAnsi="Times New Roman" w:eastAsia="宋体" w:cs="Times New Roman"/>
                <w:color w:val="auto"/>
                <w:sz w:val="24"/>
                <w:highlight w:val="none"/>
              </w:rPr>
              <w:t>涉及的危险物质</w:t>
            </w:r>
            <w:r>
              <w:rPr>
                <w:rFonts w:hint="eastAsia" w:cs="Times New Roman"/>
                <w:color w:val="auto"/>
                <w:sz w:val="24"/>
                <w:highlight w:val="none"/>
                <w:lang w:val="en-US" w:eastAsia="zh-CN"/>
              </w:rPr>
              <w:t>的总量</w:t>
            </w:r>
            <w:r>
              <w:rPr>
                <w:rFonts w:hint="default" w:ascii="Times New Roman" w:hAnsi="Times New Roman" w:eastAsia="宋体" w:cs="Times New Roman"/>
                <w:color w:val="auto"/>
                <w:sz w:val="24"/>
                <w:highlight w:val="none"/>
              </w:rPr>
              <w:t>在厂界内的最大存储量与其对应的临界量的比值 Q 见下表。</w:t>
            </w:r>
          </w:p>
          <w:p w14:paraId="2F818F89">
            <w:pPr>
              <w:numPr>
                <w:ilvl w:val="0"/>
                <w:numId w:val="32"/>
              </w:numPr>
              <w:adjustRightInd w:val="0"/>
              <w:spacing w:line="360" w:lineRule="auto"/>
              <w:ind w:left="425" w:leftChars="0" w:hanging="425" w:firstLineChars="0"/>
              <w:jc w:val="center"/>
              <w:rPr>
                <w:rFonts w:hint="default"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snapToGrid w:val="0"/>
                <w:color w:val="auto"/>
                <w:kern w:val="0"/>
                <w:sz w:val="24"/>
                <w:highlight w:val="none"/>
              </w:rPr>
              <w:t>环境</w:t>
            </w:r>
            <w:r>
              <w:rPr>
                <w:rFonts w:hint="default" w:ascii="Times New Roman" w:hAnsi="Times New Roman" w:eastAsia="宋体" w:cs="Times New Roman"/>
                <w:b/>
                <w:color w:val="auto"/>
                <w:sz w:val="24"/>
                <w:highlight w:val="none"/>
              </w:rPr>
              <w:t>风险</w:t>
            </w:r>
            <w:r>
              <w:rPr>
                <w:rFonts w:hint="default" w:ascii="Times New Roman" w:hAnsi="Times New Roman" w:eastAsia="宋体" w:cs="Times New Roman"/>
                <w:b/>
                <w:snapToGrid w:val="0"/>
                <w:color w:val="auto"/>
                <w:kern w:val="0"/>
                <w:sz w:val="24"/>
                <w:highlight w:val="none"/>
              </w:rPr>
              <w:t>物质数量与临界量比值</w:t>
            </w:r>
          </w:p>
          <w:tbl>
            <w:tblPr>
              <w:tblStyle w:val="24"/>
              <w:tblW w:w="740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585"/>
              <w:gridCol w:w="1110"/>
              <w:gridCol w:w="1555"/>
              <w:gridCol w:w="1053"/>
              <w:gridCol w:w="1097"/>
            </w:tblGrid>
            <w:tr w14:paraId="1F4355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6" w:hRule="atLeast"/>
                <w:jc w:val="center"/>
              </w:trPr>
              <w:tc>
                <w:tcPr>
                  <w:tcW w:w="2585" w:type="dxa"/>
                  <w:tcBorders>
                    <w:tl2br w:val="nil"/>
                    <w:tr2bl w:val="nil"/>
                  </w:tcBorders>
                  <w:vAlign w:val="center"/>
                </w:tcPr>
                <w:p w14:paraId="628DB217">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危险品名称</w:t>
                  </w:r>
                </w:p>
              </w:tc>
              <w:tc>
                <w:tcPr>
                  <w:tcW w:w="1110" w:type="dxa"/>
                  <w:tcBorders>
                    <w:tl2br w:val="nil"/>
                    <w:tr2bl w:val="nil"/>
                  </w:tcBorders>
                  <w:vAlign w:val="center"/>
                </w:tcPr>
                <w:p w14:paraId="55532EBA">
                  <w:pPr>
                    <w:jc w:val="center"/>
                    <w:rPr>
                      <w:rFonts w:hint="default" w:ascii="Times New Roman" w:hAnsi="Times New Roman" w:eastAsia="宋体" w:cs="Times New Roman"/>
                      <w:b/>
                      <w:color w:val="auto"/>
                      <w:szCs w:val="21"/>
                      <w:highlight w:val="none"/>
                      <w:lang w:eastAsia="zh-CN"/>
                    </w:rPr>
                  </w:pPr>
                  <w:r>
                    <w:rPr>
                      <w:rFonts w:hint="default" w:ascii="Times New Roman" w:hAnsi="Times New Roman" w:eastAsia="宋体" w:cs="Times New Roman"/>
                      <w:b/>
                      <w:color w:val="auto"/>
                      <w:szCs w:val="21"/>
                      <w:highlight w:val="none"/>
                      <w:lang w:eastAsia="zh-CN"/>
                    </w:rPr>
                    <w:t>存放位置</w:t>
                  </w:r>
                </w:p>
              </w:tc>
              <w:tc>
                <w:tcPr>
                  <w:tcW w:w="1555" w:type="dxa"/>
                  <w:tcBorders>
                    <w:tl2br w:val="nil"/>
                    <w:tr2bl w:val="nil"/>
                  </w:tcBorders>
                  <w:vAlign w:val="center"/>
                </w:tcPr>
                <w:p w14:paraId="43D57743">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最大储存量（t）</w:t>
                  </w:r>
                </w:p>
              </w:tc>
              <w:tc>
                <w:tcPr>
                  <w:tcW w:w="1053" w:type="dxa"/>
                  <w:tcBorders>
                    <w:tl2br w:val="nil"/>
                    <w:tr2bl w:val="nil"/>
                  </w:tcBorders>
                  <w:vAlign w:val="center"/>
                </w:tcPr>
                <w:p w14:paraId="446907F8">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临界值（t）</w:t>
                  </w:r>
                </w:p>
              </w:tc>
              <w:tc>
                <w:tcPr>
                  <w:tcW w:w="1097" w:type="dxa"/>
                  <w:tcBorders>
                    <w:tl2br w:val="nil"/>
                    <w:tr2bl w:val="nil"/>
                  </w:tcBorders>
                  <w:vAlign w:val="center"/>
                </w:tcPr>
                <w:p w14:paraId="6F32A632">
                  <w:pP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Q值</w:t>
                  </w:r>
                </w:p>
              </w:tc>
            </w:tr>
            <w:tr w14:paraId="302060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3A9B902C">
                  <w:pPr>
                    <w:spacing w:before="52" w:line="228"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盐酸</w:t>
                  </w:r>
                </w:p>
              </w:tc>
              <w:tc>
                <w:tcPr>
                  <w:tcW w:w="1110" w:type="dxa"/>
                  <w:vMerge w:val="restart"/>
                  <w:tcBorders>
                    <w:tl2br w:val="nil"/>
                    <w:tr2bl w:val="nil"/>
                  </w:tcBorders>
                  <w:shd w:val="clear" w:color="auto" w:fill="auto"/>
                  <w:vAlign w:val="center"/>
                </w:tcPr>
                <w:p w14:paraId="6AA033D7">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Cs w:val="21"/>
                      <w:highlight w:val="none"/>
                      <w:lang w:val="en-US" w:eastAsia="zh-CN"/>
                    </w:rPr>
                    <w:t>危化品间</w:t>
                  </w:r>
                </w:p>
                <w:p w14:paraId="19097E56">
                  <w:pPr>
                    <w:widowControl/>
                    <w:jc w:val="center"/>
                    <w:rPr>
                      <w:rFonts w:hint="default" w:ascii="Times New Roman" w:hAnsi="Times New Roman" w:eastAsia="宋体" w:cs="Times New Roman"/>
                      <w:color w:val="auto"/>
                      <w:kern w:val="0"/>
                      <w:szCs w:val="21"/>
                      <w:highlight w:val="none"/>
                      <w:lang w:val="en-US" w:eastAsia="zh-CN"/>
                    </w:rPr>
                  </w:pPr>
                </w:p>
              </w:tc>
              <w:tc>
                <w:tcPr>
                  <w:tcW w:w="1555" w:type="dxa"/>
                  <w:tcBorders>
                    <w:tl2br w:val="nil"/>
                    <w:tr2bl w:val="nil"/>
                  </w:tcBorders>
                  <w:shd w:val="clear" w:color="auto" w:fill="auto"/>
                  <w:vAlign w:val="center"/>
                </w:tcPr>
                <w:p w14:paraId="450B7811">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0.0027</w:t>
                  </w:r>
                </w:p>
              </w:tc>
              <w:tc>
                <w:tcPr>
                  <w:tcW w:w="1053" w:type="dxa"/>
                  <w:tcBorders>
                    <w:tl2br w:val="nil"/>
                    <w:tr2bl w:val="nil"/>
                  </w:tcBorders>
                  <w:shd w:val="clear" w:color="auto" w:fill="auto"/>
                  <w:vAlign w:val="center"/>
                </w:tcPr>
                <w:p w14:paraId="30367E51">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7.5</w:t>
                  </w:r>
                </w:p>
              </w:tc>
              <w:tc>
                <w:tcPr>
                  <w:tcW w:w="1097" w:type="dxa"/>
                  <w:tcBorders>
                    <w:tl2br w:val="nil"/>
                    <w:tr2bl w:val="nil"/>
                  </w:tcBorders>
                  <w:vAlign w:val="center"/>
                </w:tcPr>
                <w:p w14:paraId="76F82D42">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0.0004</w:t>
                  </w:r>
                </w:p>
              </w:tc>
            </w:tr>
            <w:tr w14:paraId="39F9D9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28B91186">
                  <w:pPr>
                    <w:spacing w:before="52" w:line="229"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硝酸</w:t>
                  </w:r>
                </w:p>
              </w:tc>
              <w:tc>
                <w:tcPr>
                  <w:tcW w:w="1110" w:type="dxa"/>
                  <w:vMerge w:val="continue"/>
                  <w:tcBorders>
                    <w:tl2br w:val="nil"/>
                    <w:tr2bl w:val="nil"/>
                  </w:tcBorders>
                  <w:shd w:val="clear" w:color="auto" w:fill="auto"/>
                  <w:vAlign w:val="center"/>
                </w:tcPr>
                <w:p w14:paraId="09306C69">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056DD18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0.0021</w:t>
                  </w:r>
                </w:p>
              </w:tc>
              <w:tc>
                <w:tcPr>
                  <w:tcW w:w="1053" w:type="dxa"/>
                  <w:tcBorders>
                    <w:tl2br w:val="nil"/>
                    <w:tr2bl w:val="nil"/>
                  </w:tcBorders>
                  <w:shd w:val="clear" w:color="auto" w:fill="auto"/>
                  <w:vAlign w:val="center"/>
                </w:tcPr>
                <w:p w14:paraId="67BFB4FA">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50</w:t>
                  </w:r>
                </w:p>
              </w:tc>
              <w:tc>
                <w:tcPr>
                  <w:tcW w:w="1097" w:type="dxa"/>
                  <w:tcBorders>
                    <w:tl2br w:val="nil"/>
                    <w:tr2bl w:val="nil"/>
                  </w:tcBorders>
                  <w:shd w:val="clear" w:color="auto" w:fill="auto"/>
                  <w:vAlign w:val="center"/>
                </w:tcPr>
                <w:p w14:paraId="473EB1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0.00004</w:t>
                  </w:r>
                </w:p>
              </w:tc>
            </w:tr>
            <w:tr w14:paraId="123F4C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5B8A5ED8">
                  <w:pPr>
                    <w:spacing w:before="53" w:line="228"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硫酸</w:t>
                  </w:r>
                </w:p>
              </w:tc>
              <w:tc>
                <w:tcPr>
                  <w:tcW w:w="1110" w:type="dxa"/>
                  <w:vMerge w:val="continue"/>
                  <w:tcBorders>
                    <w:tl2br w:val="nil"/>
                    <w:tr2bl w:val="nil"/>
                  </w:tcBorders>
                  <w:shd w:val="clear" w:color="auto" w:fill="auto"/>
                  <w:vAlign w:val="center"/>
                </w:tcPr>
                <w:p w14:paraId="44D1CADA">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3B82F28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0.0092</w:t>
                  </w:r>
                </w:p>
              </w:tc>
              <w:tc>
                <w:tcPr>
                  <w:tcW w:w="1053" w:type="dxa"/>
                  <w:tcBorders>
                    <w:tl2br w:val="nil"/>
                    <w:tr2bl w:val="nil"/>
                  </w:tcBorders>
                  <w:shd w:val="clear" w:color="auto" w:fill="auto"/>
                  <w:vAlign w:val="center"/>
                </w:tcPr>
                <w:p w14:paraId="3AAB83F8">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60924E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0.0009</w:t>
                  </w:r>
                </w:p>
              </w:tc>
            </w:tr>
            <w:tr w14:paraId="6E51B1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2585" w:type="dxa"/>
                  <w:tcBorders>
                    <w:tl2br w:val="nil"/>
                    <w:tr2bl w:val="nil"/>
                  </w:tcBorders>
                  <w:shd w:val="clear" w:color="auto" w:fill="auto"/>
                  <w:vAlign w:val="center"/>
                </w:tcPr>
                <w:p w14:paraId="58D4164A">
                  <w:pPr>
                    <w:spacing w:before="52" w:line="229" w:lineRule="auto"/>
                    <w:jc w:val="center"/>
                    <w:rPr>
                      <w:rFonts w:hint="default"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氨水</w:t>
                  </w:r>
                </w:p>
              </w:tc>
              <w:tc>
                <w:tcPr>
                  <w:tcW w:w="1110" w:type="dxa"/>
                  <w:vMerge w:val="continue"/>
                  <w:tcBorders>
                    <w:tl2br w:val="nil"/>
                    <w:tr2bl w:val="nil"/>
                  </w:tcBorders>
                  <w:shd w:val="clear" w:color="auto" w:fill="auto"/>
                  <w:vAlign w:val="center"/>
                </w:tcPr>
                <w:p w14:paraId="44A22BD3">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478EC38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0.0002</w:t>
                  </w:r>
                </w:p>
              </w:tc>
              <w:tc>
                <w:tcPr>
                  <w:tcW w:w="1053" w:type="dxa"/>
                  <w:tcBorders>
                    <w:tl2br w:val="nil"/>
                    <w:tr2bl w:val="nil"/>
                  </w:tcBorders>
                  <w:shd w:val="clear" w:color="auto" w:fill="auto"/>
                  <w:vAlign w:val="center"/>
                </w:tcPr>
                <w:p w14:paraId="1F7C0A8A">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0E18EA5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0.00002</w:t>
                  </w:r>
                </w:p>
              </w:tc>
            </w:tr>
            <w:tr w14:paraId="6F26AA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1BDEA205">
                  <w:pPr>
                    <w:spacing w:before="51" w:line="227"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甲醇</w:t>
                  </w:r>
                </w:p>
              </w:tc>
              <w:tc>
                <w:tcPr>
                  <w:tcW w:w="1110" w:type="dxa"/>
                  <w:vMerge w:val="continue"/>
                  <w:tcBorders>
                    <w:tl2br w:val="nil"/>
                    <w:tr2bl w:val="nil"/>
                  </w:tcBorders>
                  <w:shd w:val="clear" w:color="auto" w:fill="auto"/>
                  <w:vAlign w:val="center"/>
                </w:tcPr>
                <w:p w14:paraId="01D3785D">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33B9CA07">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w:t>
                  </w:r>
                </w:p>
              </w:tc>
              <w:tc>
                <w:tcPr>
                  <w:tcW w:w="1053" w:type="dxa"/>
                  <w:tcBorders>
                    <w:tl2br w:val="nil"/>
                    <w:tr2bl w:val="nil"/>
                  </w:tcBorders>
                  <w:shd w:val="clear" w:color="auto" w:fill="auto"/>
                  <w:vAlign w:val="center"/>
                </w:tcPr>
                <w:p w14:paraId="7ABE946C">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0B0C60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0.0002</w:t>
                  </w:r>
                </w:p>
              </w:tc>
            </w:tr>
            <w:tr w14:paraId="5D386E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0C7BCA45">
                  <w:pPr>
                    <w:spacing w:before="51" w:line="232"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乙醇</w:t>
                  </w:r>
                </w:p>
              </w:tc>
              <w:tc>
                <w:tcPr>
                  <w:tcW w:w="1110" w:type="dxa"/>
                  <w:vMerge w:val="continue"/>
                  <w:tcBorders>
                    <w:tl2br w:val="nil"/>
                    <w:tr2bl w:val="nil"/>
                  </w:tcBorders>
                  <w:shd w:val="clear" w:color="auto" w:fill="auto"/>
                  <w:vAlign w:val="center"/>
                </w:tcPr>
                <w:p w14:paraId="1B97B0EA">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0FF7C1CD">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0.002</w:t>
                  </w:r>
                </w:p>
              </w:tc>
              <w:tc>
                <w:tcPr>
                  <w:tcW w:w="1053" w:type="dxa"/>
                  <w:tcBorders>
                    <w:tl2br w:val="nil"/>
                    <w:tr2bl w:val="nil"/>
                  </w:tcBorders>
                  <w:shd w:val="clear" w:color="auto" w:fill="auto"/>
                  <w:vAlign w:val="center"/>
                </w:tcPr>
                <w:p w14:paraId="330A2241">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500</w:t>
                  </w:r>
                </w:p>
              </w:tc>
              <w:tc>
                <w:tcPr>
                  <w:tcW w:w="1097" w:type="dxa"/>
                  <w:tcBorders>
                    <w:tl2br w:val="nil"/>
                    <w:tr2bl w:val="nil"/>
                  </w:tcBorders>
                  <w:shd w:val="clear" w:color="auto" w:fill="auto"/>
                  <w:vAlign w:val="center"/>
                </w:tcPr>
                <w:p w14:paraId="4A13BD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0.000004</w:t>
                  </w:r>
                </w:p>
              </w:tc>
            </w:tr>
            <w:tr w14:paraId="4EA3AE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09478102">
                  <w:pPr>
                    <w:spacing w:before="53" w:line="228" w:lineRule="auto"/>
                    <w:jc w:val="center"/>
                    <w:rPr>
                      <w:rFonts w:hint="eastAsia" w:ascii="Times New Roman" w:hAnsi="Times New Roman" w:eastAsia="Times New Roman"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乙酸</w:t>
                  </w:r>
                </w:p>
              </w:tc>
              <w:tc>
                <w:tcPr>
                  <w:tcW w:w="1110" w:type="dxa"/>
                  <w:vMerge w:val="continue"/>
                  <w:tcBorders>
                    <w:tl2br w:val="nil"/>
                    <w:tr2bl w:val="nil"/>
                  </w:tcBorders>
                  <w:shd w:val="clear" w:color="auto" w:fill="auto"/>
                  <w:vAlign w:val="center"/>
                </w:tcPr>
                <w:p w14:paraId="4E11FFFD">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2876B4A0">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0.0005</w:t>
                  </w:r>
                </w:p>
              </w:tc>
              <w:tc>
                <w:tcPr>
                  <w:tcW w:w="1053" w:type="dxa"/>
                  <w:tcBorders>
                    <w:tl2br w:val="nil"/>
                    <w:tr2bl w:val="nil"/>
                  </w:tcBorders>
                  <w:shd w:val="clear" w:color="auto" w:fill="auto"/>
                  <w:vAlign w:val="center"/>
                </w:tcPr>
                <w:p w14:paraId="3105CF43">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10</w:t>
                  </w:r>
                </w:p>
              </w:tc>
              <w:tc>
                <w:tcPr>
                  <w:tcW w:w="1097" w:type="dxa"/>
                  <w:tcBorders>
                    <w:tl2br w:val="nil"/>
                    <w:tr2bl w:val="nil"/>
                  </w:tcBorders>
                  <w:shd w:val="clear" w:color="auto" w:fill="auto"/>
                  <w:vAlign w:val="center"/>
                </w:tcPr>
                <w:p w14:paraId="7555A5A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0.00005</w:t>
                  </w:r>
                </w:p>
              </w:tc>
            </w:tr>
            <w:tr w14:paraId="716837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1C0E6416">
                  <w:pPr>
                    <w:spacing w:before="53" w:line="240" w:lineRule="auto"/>
                    <w:jc w:val="center"/>
                    <w:rPr>
                      <w:rFonts w:hint="eastAsia" w:ascii="Times New Roman" w:hAnsi="Times New Roman" w:eastAsia="宋体" w:cs="Times New Roman"/>
                      <w:color w:val="auto"/>
                      <w:spacing w:val="6"/>
                      <w:kern w:val="2"/>
                      <w:sz w:val="21"/>
                      <w:szCs w:val="21"/>
                      <w:highlight w:val="none"/>
                      <w:lang w:val="en-US" w:eastAsia="zh-CN" w:bidi="ar-SA"/>
                    </w:rPr>
                  </w:pPr>
                  <w:r>
                    <w:rPr>
                      <w:rFonts w:hint="default"/>
                      <w:color w:val="auto"/>
                      <w:spacing w:val="6"/>
                      <w:szCs w:val="21"/>
                      <w:highlight w:val="none"/>
                    </w:rPr>
                    <w:t>乙酸乙酯</w:t>
                  </w:r>
                </w:p>
              </w:tc>
              <w:tc>
                <w:tcPr>
                  <w:tcW w:w="1110" w:type="dxa"/>
                  <w:vMerge w:val="continue"/>
                  <w:tcBorders>
                    <w:tl2br w:val="nil"/>
                    <w:tr2bl w:val="nil"/>
                  </w:tcBorders>
                  <w:shd w:val="clear" w:color="auto" w:fill="auto"/>
                  <w:vAlign w:val="center"/>
                </w:tcPr>
                <w:p w14:paraId="6875BB57">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06D8B218">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0.0005</w:t>
                  </w:r>
                </w:p>
              </w:tc>
              <w:tc>
                <w:tcPr>
                  <w:tcW w:w="1053" w:type="dxa"/>
                  <w:tcBorders>
                    <w:tl2br w:val="nil"/>
                    <w:tr2bl w:val="nil"/>
                  </w:tcBorders>
                  <w:shd w:val="clear" w:color="auto" w:fill="auto"/>
                  <w:vAlign w:val="center"/>
                </w:tcPr>
                <w:p w14:paraId="7F81A7D3">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4C2B4A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0.00005</w:t>
                  </w:r>
                </w:p>
              </w:tc>
            </w:tr>
            <w:tr w14:paraId="075E56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406631F7">
                  <w:pPr>
                    <w:spacing w:before="51" w:line="240" w:lineRule="auto"/>
                    <w:jc w:val="center"/>
                    <w:rPr>
                      <w:rFonts w:hint="default" w:ascii="Times New Roman" w:hAnsi="Times New Roman" w:eastAsia="宋体" w:cs="Times New Roman"/>
                      <w:color w:val="auto"/>
                      <w:kern w:val="2"/>
                      <w:sz w:val="21"/>
                      <w:szCs w:val="21"/>
                      <w:highlight w:val="none"/>
                      <w:lang w:val="en-US" w:eastAsia="zh-CN" w:bidi="ar-SA"/>
                    </w:rPr>
                  </w:pPr>
                  <w:r>
                    <w:rPr>
                      <w:color w:val="auto"/>
                      <w:spacing w:val="-6"/>
                      <w:szCs w:val="21"/>
                      <w:highlight w:val="none"/>
                    </w:rPr>
                    <w:t>乙</w:t>
                  </w:r>
                  <w:r>
                    <w:rPr>
                      <w:color w:val="auto"/>
                      <w:spacing w:val="-5"/>
                      <w:szCs w:val="21"/>
                      <w:highlight w:val="none"/>
                    </w:rPr>
                    <w:t>醚</w:t>
                  </w:r>
                </w:p>
              </w:tc>
              <w:tc>
                <w:tcPr>
                  <w:tcW w:w="1110" w:type="dxa"/>
                  <w:vMerge w:val="continue"/>
                  <w:tcBorders>
                    <w:tl2br w:val="nil"/>
                    <w:tr2bl w:val="nil"/>
                  </w:tcBorders>
                  <w:shd w:val="clear" w:color="auto" w:fill="auto"/>
                  <w:vAlign w:val="center"/>
                </w:tcPr>
                <w:p w14:paraId="79920520">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4B4B05EA">
                  <w:pPr>
                    <w:numPr>
                      <w:ilvl w:val="0"/>
                      <w:numId w:val="0"/>
                    </w:numPr>
                    <w:spacing w:line="240" w:lineRule="auto"/>
                    <w:ind w:left="0" w:leftChars="0" w:firstLine="0" w:firstLineChars="0"/>
                    <w:jc w:val="center"/>
                    <w:rPr>
                      <w:rFonts w:hint="default" w:ascii="Times New Roman" w:hAnsi="Times New Roman" w:eastAsia="宋体" w:cs="Times New Roman"/>
                      <w:b w:val="0"/>
                      <w:bCs w:val="0"/>
                      <w:color w:val="auto"/>
                      <w:kern w:val="2"/>
                      <w:sz w:val="21"/>
                      <w:szCs w:val="21"/>
                      <w:highlight w:val="none"/>
                      <w:vertAlign w:val="baseline"/>
                      <w:lang w:val="en-US" w:eastAsia="zh-CN" w:bidi="ar-SA"/>
                    </w:rPr>
                  </w:pPr>
                  <w:r>
                    <w:rPr>
                      <w:rFonts w:hint="eastAsia" w:cs="Times New Roman"/>
                      <w:b w:val="0"/>
                      <w:bCs w:val="0"/>
                      <w:color w:val="auto"/>
                      <w:kern w:val="2"/>
                      <w:sz w:val="21"/>
                      <w:szCs w:val="21"/>
                      <w:highlight w:val="none"/>
                      <w:vertAlign w:val="baseline"/>
                      <w:lang w:val="en-US" w:eastAsia="zh-CN" w:bidi="ar-SA"/>
                    </w:rPr>
                    <w:t>0.0004</w:t>
                  </w:r>
                </w:p>
              </w:tc>
              <w:tc>
                <w:tcPr>
                  <w:tcW w:w="1053" w:type="dxa"/>
                  <w:tcBorders>
                    <w:tl2br w:val="nil"/>
                    <w:tr2bl w:val="nil"/>
                  </w:tcBorders>
                  <w:shd w:val="clear" w:color="auto" w:fill="auto"/>
                  <w:vAlign w:val="center"/>
                </w:tcPr>
                <w:p w14:paraId="529BA329">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0C69151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0.00004</w:t>
                  </w:r>
                </w:p>
              </w:tc>
            </w:tr>
            <w:tr w14:paraId="4B6D83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2585" w:type="dxa"/>
                  <w:tcBorders>
                    <w:tl2br w:val="nil"/>
                    <w:tr2bl w:val="nil"/>
                  </w:tcBorders>
                  <w:shd w:val="clear" w:color="auto" w:fill="auto"/>
                  <w:vAlign w:val="center"/>
                </w:tcPr>
                <w:p w14:paraId="1334F404">
                  <w:pPr>
                    <w:spacing w:before="51" w:line="240" w:lineRule="auto"/>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olor w:val="auto"/>
                      <w:spacing w:val="-6"/>
                      <w:szCs w:val="21"/>
                      <w:highlight w:val="none"/>
                      <w:lang w:val="en-US" w:eastAsia="zh-CN"/>
                    </w:rPr>
                    <w:t>正己烷</w:t>
                  </w:r>
                </w:p>
              </w:tc>
              <w:tc>
                <w:tcPr>
                  <w:tcW w:w="1110" w:type="dxa"/>
                  <w:vMerge w:val="continue"/>
                  <w:tcBorders>
                    <w:tl2br w:val="nil"/>
                    <w:tr2bl w:val="nil"/>
                  </w:tcBorders>
                  <w:shd w:val="clear" w:color="auto" w:fill="auto"/>
                  <w:vAlign w:val="center"/>
                </w:tcPr>
                <w:p w14:paraId="08D6E148">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6768FC57">
                  <w:pPr>
                    <w:spacing w:before="53" w:line="228" w:lineRule="auto"/>
                    <w:jc w:val="center"/>
                    <w:rPr>
                      <w:rFonts w:hint="default" w:ascii="Times New Roman" w:hAnsi="Times New Roman" w:eastAsia="宋体" w:cs="Times New Roman"/>
                      <w:color w:val="auto"/>
                      <w:spacing w:val="-4"/>
                      <w:kern w:val="2"/>
                      <w:sz w:val="21"/>
                      <w:szCs w:val="21"/>
                      <w:highlight w:val="none"/>
                      <w:lang w:val="en-US" w:eastAsia="zh-CN" w:bidi="ar-SA"/>
                    </w:rPr>
                  </w:pPr>
                  <w:r>
                    <w:rPr>
                      <w:rFonts w:hint="eastAsia" w:cs="Times New Roman"/>
                      <w:color w:val="auto"/>
                      <w:spacing w:val="-4"/>
                      <w:kern w:val="2"/>
                      <w:sz w:val="21"/>
                      <w:szCs w:val="21"/>
                      <w:highlight w:val="none"/>
                      <w:lang w:val="en-US" w:eastAsia="zh-CN" w:bidi="ar-SA"/>
                    </w:rPr>
                    <w:t>0.0053</w:t>
                  </w:r>
                </w:p>
              </w:tc>
              <w:tc>
                <w:tcPr>
                  <w:tcW w:w="1053" w:type="dxa"/>
                  <w:tcBorders>
                    <w:tl2br w:val="nil"/>
                    <w:tr2bl w:val="nil"/>
                  </w:tcBorders>
                  <w:shd w:val="clear" w:color="auto" w:fill="auto"/>
                  <w:vAlign w:val="center"/>
                </w:tcPr>
                <w:p w14:paraId="269839F2">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5260A2F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0.00053</w:t>
                  </w:r>
                </w:p>
              </w:tc>
            </w:tr>
            <w:tr w14:paraId="328466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5B041C69">
                  <w:pPr>
                    <w:spacing w:before="51" w:line="240" w:lineRule="auto"/>
                    <w:jc w:val="center"/>
                    <w:rPr>
                      <w:rFonts w:hint="eastAsia" w:ascii="Times New Roman" w:hAnsi="Times New Roman" w:eastAsia="宋体" w:cs="Times New Roman"/>
                      <w:color w:val="auto"/>
                      <w:spacing w:val="-6"/>
                      <w:kern w:val="2"/>
                      <w:sz w:val="21"/>
                      <w:szCs w:val="21"/>
                      <w:highlight w:val="none"/>
                      <w:lang w:val="en-US" w:eastAsia="zh-CN" w:bidi="ar-SA"/>
                    </w:rPr>
                  </w:pPr>
                  <w:r>
                    <w:rPr>
                      <w:rFonts w:hint="eastAsia"/>
                      <w:color w:val="auto"/>
                      <w:spacing w:val="-6"/>
                      <w:szCs w:val="21"/>
                      <w:highlight w:val="none"/>
                      <w:lang w:val="en-US" w:eastAsia="zh-CN"/>
                    </w:rPr>
                    <w:t>丙酮</w:t>
                  </w:r>
                </w:p>
              </w:tc>
              <w:tc>
                <w:tcPr>
                  <w:tcW w:w="1110" w:type="dxa"/>
                  <w:vMerge w:val="continue"/>
                  <w:tcBorders>
                    <w:tl2br w:val="nil"/>
                    <w:tr2bl w:val="nil"/>
                  </w:tcBorders>
                  <w:shd w:val="clear" w:color="auto" w:fill="auto"/>
                  <w:vAlign w:val="center"/>
                </w:tcPr>
                <w:p w14:paraId="0AA9FC12">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79A747FD">
                  <w:pPr>
                    <w:spacing w:before="53" w:line="228" w:lineRule="auto"/>
                    <w:jc w:val="center"/>
                    <w:rPr>
                      <w:rFonts w:hint="default" w:eastAsia="宋体"/>
                      <w:color w:val="auto"/>
                      <w:spacing w:val="-4"/>
                      <w:szCs w:val="21"/>
                      <w:highlight w:val="none"/>
                      <w:lang w:val="en-US" w:eastAsia="zh-CN"/>
                    </w:rPr>
                  </w:pPr>
                  <w:r>
                    <w:rPr>
                      <w:rFonts w:hint="eastAsia"/>
                      <w:color w:val="auto"/>
                      <w:spacing w:val="-4"/>
                      <w:szCs w:val="21"/>
                      <w:highlight w:val="none"/>
                      <w:lang w:val="en-US" w:eastAsia="zh-CN"/>
                    </w:rPr>
                    <w:t>0.0063</w:t>
                  </w:r>
                </w:p>
              </w:tc>
              <w:tc>
                <w:tcPr>
                  <w:tcW w:w="1053" w:type="dxa"/>
                  <w:tcBorders>
                    <w:tl2br w:val="nil"/>
                    <w:tr2bl w:val="nil"/>
                  </w:tcBorders>
                  <w:shd w:val="clear" w:color="auto" w:fill="auto"/>
                  <w:vAlign w:val="center"/>
                </w:tcPr>
                <w:p w14:paraId="793F43DE">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10</w:t>
                  </w:r>
                </w:p>
              </w:tc>
              <w:tc>
                <w:tcPr>
                  <w:tcW w:w="1097" w:type="dxa"/>
                  <w:tcBorders>
                    <w:tl2br w:val="nil"/>
                    <w:tr2bl w:val="nil"/>
                  </w:tcBorders>
                  <w:shd w:val="clear" w:color="auto" w:fill="auto"/>
                  <w:vAlign w:val="center"/>
                </w:tcPr>
                <w:p w14:paraId="58BAE0B2">
                  <w:pPr>
                    <w:keepNext w:val="0"/>
                    <w:keepLines w:val="0"/>
                    <w:widowControl/>
                    <w:suppressLineNumbers w:val="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0.00063</w:t>
                  </w:r>
                </w:p>
              </w:tc>
            </w:tr>
            <w:tr w14:paraId="628F4D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24D90473">
                  <w:pPr>
                    <w:widowControl/>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铬酸钾</w:t>
                  </w:r>
                </w:p>
              </w:tc>
              <w:tc>
                <w:tcPr>
                  <w:tcW w:w="1110" w:type="dxa"/>
                  <w:vMerge w:val="continue"/>
                  <w:tcBorders>
                    <w:tl2br w:val="nil"/>
                    <w:tr2bl w:val="nil"/>
                  </w:tcBorders>
                  <w:shd w:val="clear" w:color="auto" w:fill="auto"/>
                  <w:vAlign w:val="center"/>
                </w:tcPr>
                <w:p w14:paraId="1BEB96FB">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58A0E665">
                  <w:pPr>
                    <w:spacing w:before="53" w:line="228" w:lineRule="auto"/>
                    <w:jc w:val="center"/>
                    <w:rPr>
                      <w:rFonts w:hint="default" w:eastAsia="宋体"/>
                      <w:color w:val="auto"/>
                      <w:spacing w:val="-4"/>
                      <w:szCs w:val="21"/>
                      <w:highlight w:val="none"/>
                      <w:lang w:val="en-US" w:eastAsia="zh-CN"/>
                    </w:rPr>
                  </w:pPr>
                  <w:r>
                    <w:rPr>
                      <w:rFonts w:hint="eastAsia" w:eastAsia="宋体"/>
                      <w:color w:val="auto"/>
                      <w:spacing w:val="-4"/>
                      <w:szCs w:val="21"/>
                      <w:highlight w:val="none"/>
                      <w:lang w:val="en-US" w:eastAsia="zh-CN"/>
                    </w:rPr>
                    <w:t>0.001</w:t>
                  </w:r>
                </w:p>
              </w:tc>
              <w:tc>
                <w:tcPr>
                  <w:tcW w:w="1053" w:type="dxa"/>
                  <w:tcBorders>
                    <w:tl2br w:val="nil"/>
                    <w:tr2bl w:val="nil"/>
                  </w:tcBorders>
                  <w:shd w:val="clear" w:color="auto" w:fill="auto"/>
                  <w:vAlign w:val="center"/>
                </w:tcPr>
                <w:p w14:paraId="10D1304E">
                  <w:pPr>
                    <w:widowControl/>
                    <w:jc w:val="center"/>
                    <w:rPr>
                      <w:rFonts w:hint="default" w:cs="Times New Roman"/>
                      <w:color w:val="auto"/>
                      <w:kern w:val="0"/>
                      <w:szCs w:val="21"/>
                      <w:highlight w:val="none"/>
                      <w:lang w:val="en-US" w:eastAsia="zh-CN"/>
                    </w:rPr>
                  </w:pPr>
                  <w:r>
                    <w:rPr>
                      <w:rFonts w:hint="eastAsia" w:cs="Times New Roman"/>
                      <w:color w:val="auto"/>
                      <w:kern w:val="0"/>
                      <w:szCs w:val="21"/>
                      <w:highlight w:val="none"/>
                      <w:lang w:val="en-US" w:eastAsia="zh-CN"/>
                    </w:rPr>
                    <w:t>0.25</w:t>
                  </w:r>
                </w:p>
              </w:tc>
              <w:tc>
                <w:tcPr>
                  <w:tcW w:w="1097" w:type="dxa"/>
                  <w:tcBorders>
                    <w:tl2br w:val="nil"/>
                    <w:tr2bl w:val="nil"/>
                  </w:tcBorders>
                  <w:shd w:val="clear" w:color="auto" w:fill="auto"/>
                  <w:vAlign w:val="center"/>
                </w:tcPr>
                <w:p w14:paraId="177EE3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0.004</w:t>
                  </w:r>
                </w:p>
              </w:tc>
            </w:tr>
            <w:tr w14:paraId="55A3B0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585" w:type="dxa"/>
                  <w:tcBorders>
                    <w:tl2br w:val="nil"/>
                    <w:tr2bl w:val="nil"/>
                  </w:tcBorders>
                  <w:shd w:val="clear" w:color="auto" w:fill="auto"/>
                  <w:vAlign w:val="center"/>
                </w:tcPr>
                <w:p w14:paraId="3F0D7CAB">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COD</w:t>
                  </w:r>
                  <w:r>
                    <w:rPr>
                      <w:rFonts w:hint="default" w:ascii="Times New Roman" w:hAnsi="Times New Roman" w:eastAsia="宋体" w:cs="Times New Roman"/>
                      <w:color w:val="auto"/>
                      <w:kern w:val="0"/>
                      <w:szCs w:val="21"/>
                      <w:highlight w:val="none"/>
                      <w:vertAlign w:val="subscript"/>
                      <w:lang w:val="en-US" w:eastAsia="zh-CN"/>
                    </w:rPr>
                    <w:t>Cr</w:t>
                  </w:r>
                  <w:r>
                    <w:rPr>
                      <w:rFonts w:hint="default" w:ascii="Times New Roman" w:hAnsi="Times New Roman" w:eastAsia="宋体" w:cs="Times New Roman"/>
                      <w:color w:val="auto"/>
                      <w:kern w:val="0"/>
                      <w:szCs w:val="21"/>
                      <w:highlight w:val="none"/>
                      <w:lang w:val="en-US" w:eastAsia="zh-CN"/>
                    </w:rPr>
                    <w:t>大于10000mg/L的废液</w:t>
                  </w:r>
                </w:p>
              </w:tc>
              <w:tc>
                <w:tcPr>
                  <w:tcW w:w="1110" w:type="dxa"/>
                  <w:vMerge w:val="continue"/>
                  <w:tcBorders>
                    <w:tl2br w:val="nil"/>
                    <w:tr2bl w:val="nil"/>
                  </w:tcBorders>
                  <w:shd w:val="clear" w:color="auto" w:fill="auto"/>
                  <w:vAlign w:val="center"/>
                </w:tcPr>
                <w:p w14:paraId="27A826B4">
                  <w:pPr>
                    <w:widowControl/>
                    <w:jc w:val="center"/>
                    <w:rPr>
                      <w:rFonts w:hint="default" w:ascii="Times New Roman" w:hAnsi="Times New Roman" w:eastAsia="宋体" w:cs="Times New Roman"/>
                      <w:color w:val="auto"/>
                      <w:kern w:val="0"/>
                      <w:sz w:val="21"/>
                      <w:szCs w:val="21"/>
                      <w:highlight w:val="none"/>
                      <w:lang w:val="en-US" w:eastAsia="zh-CN" w:bidi="ar-SA"/>
                    </w:rPr>
                  </w:pPr>
                </w:p>
              </w:tc>
              <w:tc>
                <w:tcPr>
                  <w:tcW w:w="1555" w:type="dxa"/>
                  <w:tcBorders>
                    <w:tl2br w:val="nil"/>
                    <w:tr2bl w:val="nil"/>
                  </w:tcBorders>
                  <w:shd w:val="clear" w:color="auto" w:fill="auto"/>
                  <w:vAlign w:val="center"/>
                </w:tcPr>
                <w:p w14:paraId="12CAEF0C">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1.42</w:t>
                  </w:r>
                </w:p>
              </w:tc>
              <w:tc>
                <w:tcPr>
                  <w:tcW w:w="1053" w:type="dxa"/>
                  <w:tcBorders>
                    <w:tl2br w:val="nil"/>
                    <w:tr2bl w:val="nil"/>
                  </w:tcBorders>
                  <w:shd w:val="clear" w:color="auto" w:fill="auto"/>
                  <w:vAlign w:val="center"/>
                </w:tcPr>
                <w:p w14:paraId="3ADAAEF7">
                  <w:pPr>
                    <w:widowControl/>
                    <w:jc w:val="center"/>
                    <w:rPr>
                      <w:rFonts w:hint="default" w:ascii="Times New Roman" w:hAnsi="Times New Roman" w:eastAsia="宋体" w:cs="Times New Roman"/>
                      <w:color w:val="auto"/>
                      <w:kern w:val="0"/>
                      <w:szCs w:val="21"/>
                      <w:highlight w:val="none"/>
                      <w:lang w:val="en-US" w:eastAsia="zh-CN"/>
                    </w:rPr>
                  </w:pPr>
                  <w:r>
                    <w:rPr>
                      <w:rFonts w:hint="eastAsia" w:cs="Times New Roman"/>
                      <w:color w:val="auto"/>
                      <w:kern w:val="0"/>
                      <w:szCs w:val="21"/>
                      <w:highlight w:val="none"/>
                      <w:lang w:val="en-US" w:eastAsia="zh-CN"/>
                    </w:rPr>
                    <w:t>50</w:t>
                  </w:r>
                </w:p>
              </w:tc>
              <w:tc>
                <w:tcPr>
                  <w:tcW w:w="1097" w:type="dxa"/>
                  <w:tcBorders>
                    <w:tl2br w:val="nil"/>
                    <w:tr2bl w:val="nil"/>
                  </w:tcBorders>
                  <w:shd w:val="clear" w:color="auto" w:fill="auto"/>
                  <w:vAlign w:val="center"/>
                </w:tcPr>
                <w:p w14:paraId="46020E7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0.0284</w:t>
                  </w:r>
                </w:p>
              </w:tc>
            </w:tr>
            <w:tr w14:paraId="1D2648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6303" w:type="dxa"/>
                  <w:gridSpan w:val="4"/>
                  <w:tcBorders>
                    <w:tl2br w:val="nil"/>
                    <w:tr2bl w:val="nil"/>
                  </w:tcBorders>
                  <w:shd w:val="clear" w:color="auto" w:fill="auto"/>
                  <w:vAlign w:val="center"/>
                </w:tcPr>
                <w:p w14:paraId="08CBA4A2">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2"/>
                      <w:sz w:val="18"/>
                      <w:szCs w:val="18"/>
                      <w:lang w:val="en-US" w:eastAsia="zh-CN" w:bidi="ar-SA"/>
                    </w:rPr>
                    <w:t>合计</w:t>
                  </w:r>
                </w:p>
              </w:tc>
              <w:tc>
                <w:tcPr>
                  <w:tcW w:w="1097" w:type="dxa"/>
                  <w:tcBorders>
                    <w:tl2br w:val="nil"/>
                    <w:tr2bl w:val="nil"/>
                  </w:tcBorders>
                  <w:shd w:val="clear" w:color="auto" w:fill="auto"/>
                  <w:vAlign w:val="center"/>
                </w:tcPr>
                <w:p w14:paraId="32A06A2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0.03526</w:t>
                  </w:r>
                </w:p>
              </w:tc>
            </w:tr>
            <w:tr w14:paraId="56BDEB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7400" w:type="dxa"/>
                  <w:gridSpan w:val="5"/>
                  <w:tcBorders>
                    <w:tl2br w:val="nil"/>
                    <w:tr2bl w:val="nil"/>
                  </w:tcBorders>
                  <w:shd w:val="clear" w:color="auto" w:fill="auto"/>
                  <w:vAlign w:val="center"/>
                </w:tcPr>
                <w:p w14:paraId="02F433E3">
                  <w:pPr>
                    <w:keepNext w:val="0"/>
                    <w:keepLines w:val="0"/>
                    <w:widowControl/>
                    <w:suppressLineNumbers w:val="0"/>
                    <w:jc w:val="both"/>
                    <w:textAlignment w:val="center"/>
                    <w:rPr>
                      <w:rFonts w:hint="default"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color w:val="auto"/>
                      <w:sz w:val="21"/>
                      <w:szCs w:val="21"/>
                      <w:highlight w:val="none"/>
                      <w:vertAlign w:val="baseline"/>
                      <w:lang w:val="en-US" w:eastAsia="zh-CN"/>
                    </w:rPr>
                    <w:t>注：</w:t>
                  </w:r>
                  <w:r>
                    <w:rPr>
                      <w:rFonts w:hint="default" w:ascii="Times New Roman" w:hAnsi="Times New Roman" w:eastAsia="宋体" w:cs="Times New Roman"/>
                      <w:color w:val="auto"/>
                      <w:sz w:val="21"/>
                      <w:szCs w:val="21"/>
                      <w:highlight w:val="none"/>
                      <w:vertAlign w:val="baseline"/>
                    </w:rPr>
                    <w:t>COD</w:t>
                  </w:r>
                  <w:r>
                    <w:rPr>
                      <w:rFonts w:hint="default" w:ascii="Times New Roman" w:hAnsi="Times New Roman" w:eastAsia="宋体" w:cs="Times New Roman"/>
                      <w:color w:val="auto"/>
                      <w:sz w:val="21"/>
                      <w:szCs w:val="21"/>
                      <w:highlight w:val="none"/>
                      <w:vertAlign w:val="subscript"/>
                    </w:rPr>
                    <w:t>Cr</w:t>
                  </w:r>
                  <w:r>
                    <w:rPr>
                      <w:rFonts w:hint="default" w:ascii="Times New Roman" w:hAnsi="Times New Roman" w:eastAsia="宋体" w:cs="Times New Roman"/>
                      <w:color w:val="auto"/>
                      <w:sz w:val="21"/>
                      <w:szCs w:val="21"/>
                      <w:highlight w:val="none"/>
                      <w:vertAlign w:val="baseline"/>
                    </w:rPr>
                    <w:t>大于10000mg/L的废液</w:t>
                  </w:r>
                  <w:r>
                    <w:rPr>
                      <w:rFonts w:hint="eastAsia" w:ascii="Times New Roman" w:hAnsi="Times New Roman" w:eastAsia="宋体" w:cs="Times New Roman"/>
                      <w:color w:val="auto"/>
                      <w:sz w:val="21"/>
                      <w:szCs w:val="21"/>
                      <w:highlight w:val="none"/>
                      <w:vertAlign w:val="baseline"/>
                      <w:lang w:val="en-US" w:eastAsia="zh-CN"/>
                    </w:rPr>
                    <w:t>是项目产生的废试剂、检测废液、清洗废液、废样品等液态危险废物。</w:t>
                  </w:r>
                </w:p>
              </w:tc>
            </w:tr>
          </w:tbl>
          <w:p w14:paraId="50390C7C">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根据《建设项目环境风险评价技术导则》（HJ169-2018）附录C，当存在多种危险物质时，应按式（C.1）计算物质总量与其临界量的比值（Q）:</w:t>
            </w:r>
          </w:p>
          <w:p w14:paraId="05C9D666">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fldChar w:fldCharType="begin"/>
            </w:r>
            <w:r>
              <w:rPr>
                <w:rFonts w:hint="default" w:ascii="Times New Roman" w:hAnsi="Times New Roman" w:eastAsia="宋体" w:cs="Times New Roman"/>
                <w:bCs/>
                <w:snapToGrid w:val="0"/>
                <w:color w:val="auto"/>
                <w:kern w:val="0"/>
                <w:sz w:val="24"/>
                <w:highlight w:val="none"/>
              </w:rPr>
              <w:instrText xml:space="preserve"> INCLUDEPICTURE  "C:\\Users\\Administrator\\AppData\\Roaming\\Tencent\\Users\\106562794\\QQ\\WinTemp\\RichOle\\3[HA_)5@93(CJOQJQ(ZBZ59.png" \* MERGEFORMATINET </w:instrText>
            </w:r>
            <w:r>
              <w:rPr>
                <w:rFonts w:hint="default" w:ascii="Times New Roman" w:hAnsi="Times New Roman" w:eastAsia="宋体" w:cs="Times New Roman"/>
                <w:bCs/>
                <w:snapToGrid w:val="0"/>
                <w:color w:val="auto"/>
                <w:kern w:val="0"/>
                <w:sz w:val="24"/>
                <w:highlight w:val="none"/>
              </w:rPr>
              <w:fldChar w:fldCharType="separate"/>
            </w:r>
            <w:r>
              <w:rPr>
                <w:rFonts w:hint="default" w:ascii="Times New Roman" w:hAnsi="Times New Roman" w:eastAsia="宋体" w:cs="Times New Roman"/>
                <w:bCs/>
                <w:snapToGrid w:val="0"/>
                <w:color w:val="auto"/>
                <w:kern w:val="0"/>
                <w:sz w:val="24"/>
                <w:highlight w:val="none"/>
              </w:rPr>
              <w:fldChar w:fldCharType="begin"/>
            </w:r>
            <w:r>
              <w:rPr>
                <w:rFonts w:hint="default" w:ascii="Times New Roman" w:hAnsi="Times New Roman" w:eastAsia="宋体" w:cs="Times New Roman"/>
                <w:bCs/>
                <w:snapToGrid w:val="0"/>
                <w:color w:val="auto"/>
                <w:kern w:val="0"/>
                <w:sz w:val="24"/>
                <w:highlight w:val="none"/>
              </w:rPr>
              <w:instrText xml:space="preserve"> INCLUDEPICTURE  "C:\\Users\\Administrator\\AppData\\Roaming\\Tencent\\Users\\106562794\\QQ\\WinTemp\\RichOle\\3[HA_)5@93(CJOQJQ(ZBZ59.png" \* MERGEFORMATINET </w:instrText>
            </w:r>
            <w:r>
              <w:rPr>
                <w:rFonts w:hint="default" w:ascii="Times New Roman" w:hAnsi="Times New Roman" w:eastAsia="宋体" w:cs="Times New Roman"/>
                <w:bCs/>
                <w:snapToGrid w:val="0"/>
                <w:color w:val="auto"/>
                <w:kern w:val="0"/>
                <w:sz w:val="24"/>
                <w:highlight w:val="none"/>
              </w:rPr>
              <w:fldChar w:fldCharType="separate"/>
            </w:r>
            <w:r>
              <w:rPr>
                <w:rFonts w:hint="default" w:ascii="Times New Roman" w:hAnsi="Times New Roman" w:eastAsia="宋体" w:cs="Times New Roman"/>
                <w:bCs/>
                <w:snapToGrid w:val="0"/>
                <w:color w:val="auto"/>
                <w:kern w:val="0"/>
                <w:sz w:val="24"/>
                <w:highlight w:val="none"/>
              </w:rPr>
              <w:drawing>
                <wp:inline distT="0" distB="0" distL="114300" distR="114300">
                  <wp:extent cx="4343400" cy="1211580"/>
                  <wp:effectExtent l="0" t="0" r="0" b="7620"/>
                  <wp:docPr id="1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
                          <pic:cNvPicPr>
                            <a:picLocks noChangeAspect="1"/>
                          </pic:cNvPicPr>
                        </pic:nvPicPr>
                        <pic:blipFill>
                          <a:blip r:embed="rId33" r:link="rId34"/>
                          <a:stretch>
                            <a:fillRect/>
                          </a:stretch>
                        </pic:blipFill>
                        <pic:spPr>
                          <a:xfrm>
                            <a:off x="0" y="0"/>
                            <a:ext cx="4343400" cy="1211580"/>
                          </a:xfrm>
                          <a:prstGeom prst="rect">
                            <a:avLst/>
                          </a:prstGeom>
                          <a:noFill/>
                          <a:ln>
                            <a:noFill/>
                          </a:ln>
                        </pic:spPr>
                      </pic:pic>
                    </a:graphicData>
                  </a:graphic>
                </wp:inline>
              </w:drawing>
            </w:r>
            <w:r>
              <w:rPr>
                <w:rFonts w:hint="default" w:ascii="Times New Roman" w:hAnsi="Times New Roman" w:eastAsia="宋体" w:cs="Times New Roman"/>
                <w:bCs/>
                <w:snapToGrid w:val="0"/>
                <w:color w:val="auto"/>
                <w:kern w:val="0"/>
                <w:sz w:val="24"/>
                <w:highlight w:val="none"/>
              </w:rPr>
              <w:fldChar w:fldCharType="end"/>
            </w:r>
            <w:r>
              <w:rPr>
                <w:rFonts w:hint="default" w:ascii="Times New Roman" w:hAnsi="Times New Roman" w:eastAsia="宋体" w:cs="Times New Roman"/>
                <w:bCs/>
                <w:snapToGrid w:val="0"/>
                <w:color w:val="auto"/>
                <w:kern w:val="0"/>
                <w:sz w:val="24"/>
                <w:highlight w:val="none"/>
              </w:rPr>
              <w:fldChar w:fldCharType="end"/>
            </w:r>
          </w:p>
          <w:p w14:paraId="77417A87">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通过计算，本项目危险物质总量与其临界量的比值Q=0.</w:t>
            </w:r>
            <w:r>
              <w:rPr>
                <w:rFonts w:hint="eastAsia" w:cs="Times New Roman"/>
                <w:bCs/>
                <w:snapToGrid w:val="0"/>
                <w:color w:val="auto"/>
                <w:kern w:val="0"/>
                <w:sz w:val="24"/>
                <w:highlight w:val="none"/>
                <w:lang w:val="en-US" w:eastAsia="zh-CN"/>
              </w:rPr>
              <w:t>03526</w:t>
            </w:r>
            <w:r>
              <w:rPr>
                <w:rFonts w:hint="default" w:ascii="Times New Roman" w:hAnsi="Times New Roman" w:eastAsia="宋体" w:cs="Times New Roman"/>
                <w:bCs/>
                <w:snapToGrid w:val="0"/>
                <w:color w:val="auto"/>
                <w:kern w:val="0"/>
                <w:sz w:val="24"/>
                <w:highlight w:val="none"/>
              </w:rPr>
              <w:t>＜1，因此不需要设置风险专项。</w:t>
            </w:r>
          </w:p>
          <w:p w14:paraId="4F429960">
            <w:pPr>
              <w:adjustRightInd w:val="0"/>
              <w:spacing w:line="360" w:lineRule="auto"/>
              <w:ind w:firstLine="465"/>
              <w:rPr>
                <w:rFonts w:hint="default" w:ascii="Times New Roman" w:hAnsi="Times New Roman" w:eastAsia="宋体" w:cs="Times New Roman"/>
                <w:b w:val="0"/>
                <w:bCs w:val="0"/>
                <w:color w:val="auto"/>
                <w:spacing w:val="-4"/>
                <w:kern w:val="0"/>
                <w:sz w:val="24"/>
                <w:highlight w:val="none"/>
              </w:rPr>
            </w:pPr>
            <w:r>
              <w:rPr>
                <w:rFonts w:hint="default" w:ascii="Times New Roman" w:hAnsi="Times New Roman" w:eastAsia="宋体" w:cs="Times New Roman"/>
                <w:b w:val="0"/>
                <w:bCs w:val="0"/>
                <w:color w:val="auto"/>
                <w:spacing w:val="-4"/>
                <w:kern w:val="0"/>
                <w:sz w:val="24"/>
                <w:highlight w:val="none"/>
              </w:rPr>
              <w:t>（2）环境风险</w:t>
            </w:r>
            <w:r>
              <w:rPr>
                <w:rFonts w:hint="default" w:ascii="Times New Roman" w:hAnsi="Times New Roman" w:eastAsia="宋体" w:cs="Times New Roman"/>
                <w:b w:val="0"/>
                <w:bCs w:val="0"/>
                <w:color w:val="auto"/>
                <w:spacing w:val="-4"/>
                <w:kern w:val="0"/>
                <w:sz w:val="24"/>
                <w:highlight w:val="none"/>
                <w:lang w:val="en-US" w:eastAsia="zh-CN"/>
              </w:rPr>
              <w:t>源分布情况及</w:t>
            </w:r>
            <w:r>
              <w:rPr>
                <w:rFonts w:hint="default" w:ascii="Times New Roman" w:hAnsi="Times New Roman" w:eastAsia="宋体" w:cs="Times New Roman"/>
                <w:b w:val="0"/>
                <w:bCs w:val="0"/>
                <w:color w:val="auto"/>
                <w:spacing w:val="-4"/>
                <w:kern w:val="0"/>
                <w:sz w:val="24"/>
                <w:highlight w:val="none"/>
              </w:rPr>
              <w:t>影响途径</w:t>
            </w:r>
          </w:p>
          <w:p w14:paraId="0ED028E3">
            <w:pPr>
              <w:adjustRightInd w:val="0"/>
              <w:spacing w:line="360" w:lineRule="auto"/>
              <w:ind w:firstLine="465"/>
              <w:rPr>
                <w:rFonts w:hint="default" w:ascii="Times New Roman" w:hAnsi="Times New Roman" w:eastAsia="宋体" w:cs="Times New Roman"/>
                <w:bCs/>
                <w:snapToGrid w:val="0"/>
                <w:color w:val="auto"/>
                <w:kern w:val="0"/>
                <w:sz w:val="24"/>
                <w:highlight w:val="none"/>
                <w:lang w:val="en-US" w:eastAsia="zh-CN"/>
              </w:rPr>
            </w:pPr>
            <w:r>
              <w:rPr>
                <w:rFonts w:hint="default" w:ascii="Times New Roman" w:hAnsi="Times New Roman" w:eastAsia="宋体" w:cs="Times New Roman"/>
                <w:bCs/>
                <w:snapToGrid w:val="0"/>
                <w:color w:val="auto"/>
                <w:kern w:val="0"/>
                <w:sz w:val="24"/>
                <w:highlight w:val="none"/>
                <w:lang w:val="en-US" w:eastAsia="zh-CN"/>
              </w:rPr>
              <w:t>本项目风险物质主要包括</w:t>
            </w:r>
            <w:r>
              <w:rPr>
                <w:rFonts w:hint="eastAsia" w:cs="Times New Roman"/>
                <w:bCs/>
                <w:snapToGrid w:val="0"/>
                <w:color w:val="auto"/>
                <w:kern w:val="0"/>
                <w:sz w:val="24"/>
                <w:highlight w:val="none"/>
                <w:lang w:val="en-US" w:eastAsia="zh-CN"/>
              </w:rPr>
              <w:t>贮存</w:t>
            </w:r>
            <w:r>
              <w:rPr>
                <w:rFonts w:hint="default" w:ascii="Times New Roman" w:hAnsi="Times New Roman" w:eastAsia="宋体" w:cs="Times New Roman"/>
                <w:bCs/>
                <w:snapToGrid w:val="0"/>
                <w:color w:val="auto"/>
                <w:kern w:val="0"/>
                <w:sz w:val="24"/>
                <w:highlight w:val="none"/>
                <w:lang w:val="en-US" w:eastAsia="zh-CN"/>
              </w:rPr>
              <w:t>的化学</w:t>
            </w:r>
            <w:r>
              <w:rPr>
                <w:rFonts w:hint="eastAsia" w:cs="Times New Roman"/>
                <w:bCs/>
                <w:snapToGrid w:val="0"/>
                <w:color w:val="auto"/>
                <w:kern w:val="0"/>
                <w:sz w:val="24"/>
                <w:highlight w:val="none"/>
                <w:lang w:val="en-US" w:eastAsia="zh-CN"/>
              </w:rPr>
              <w:t>物品</w:t>
            </w:r>
            <w:r>
              <w:rPr>
                <w:rFonts w:hint="default" w:ascii="Times New Roman" w:hAnsi="Times New Roman" w:eastAsia="宋体" w:cs="Times New Roman"/>
                <w:bCs/>
                <w:snapToGrid w:val="0"/>
                <w:color w:val="auto"/>
                <w:kern w:val="0"/>
                <w:sz w:val="24"/>
                <w:highlight w:val="none"/>
                <w:lang w:val="en-US" w:eastAsia="zh-CN"/>
              </w:rPr>
              <w:t>和实验室产生的危险废物。风险物质在</w:t>
            </w:r>
            <w:r>
              <w:rPr>
                <w:rFonts w:hint="eastAsia" w:cs="Times New Roman"/>
                <w:bCs/>
                <w:snapToGrid w:val="0"/>
                <w:color w:val="auto"/>
                <w:kern w:val="0"/>
                <w:sz w:val="24"/>
                <w:highlight w:val="none"/>
                <w:lang w:val="en-US" w:eastAsia="zh-CN"/>
              </w:rPr>
              <w:t>使用、贮存</w:t>
            </w:r>
            <w:r>
              <w:rPr>
                <w:rFonts w:hint="default" w:ascii="Times New Roman" w:hAnsi="Times New Roman" w:eastAsia="宋体" w:cs="Times New Roman"/>
                <w:bCs/>
                <w:snapToGrid w:val="0"/>
                <w:color w:val="auto"/>
                <w:kern w:val="0"/>
                <w:sz w:val="24"/>
                <w:highlight w:val="none"/>
                <w:lang w:val="en-US" w:eastAsia="zh-CN"/>
              </w:rPr>
              <w:t>、转运过程中存在的风险，若</w:t>
            </w:r>
            <w:r>
              <w:rPr>
                <w:rFonts w:hint="eastAsia" w:cs="Times New Roman"/>
                <w:bCs/>
                <w:snapToGrid w:val="0"/>
                <w:color w:val="auto"/>
                <w:kern w:val="0"/>
                <w:sz w:val="24"/>
                <w:highlight w:val="none"/>
                <w:lang w:val="en-US" w:eastAsia="zh-CN"/>
              </w:rPr>
              <w:t>操作不当、</w:t>
            </w:r>
            <w:r>
              <w:rPr>
                <w:rFonts w:hint="default" w:ascii="Times New Roman" w:hAnsi="Times New Roman" w:eastAsia="宋体" w:cs="Times New Roman"/>
                <w:bCs/>
                <w:snapToGrid w:val="0"/>
                <w:color w:val="auto"/>
                <w:kern w:val="0"/>
                <w:sz w:val="24"/>
                <w:highlight w:val="none"/>
                <w:lang w:val="en-US" w:eastAsia="zh-CN"/>
              </w:rPr>
              <w:t>未采取相应措施，可能会影响</w:t>
            </w:r>
            <w:r>
              <w:rPr>
                <w:rFonts w:hint="eastAsia" w:cs="Times New Roman"/>
                <w:bCs/>
                <w:snapToGrid w:val="0"/>
                <w:color w:val="auto"/>
                <w:kern w:val="0"/>
                <w:sz w:val="24"/>
                <w:highlight w:val="none"/>
                <w:lang w:val="en-US" w:eastAsia="zh-CN"/>
              </w:rPr>
              <w:t>周边</w:t>
            </w:r>
            <w:r>
              <w:rPr>
                <w:rFonts w:hint="default" w:ascii="Times New Roman" w:hAnsi="Times New Roman" w:eastAsia="宋体" w:cs="Times New Roman"/>
                <w:bCs/>
                <w:snapToGrid w:val="0"/>
                <w:color w:val="auto"/>
                <w:kern w:val="0"/>
                <w:sz w:val="24"/>
                <w:highlight w:val="none"/>
                <w:lang w:val="en-US" w:eastAsia="zh-CN"/>
              </w:rPr>
              <w:t>环境、人群健康等。本项目风险源分布情况及可能影响环境的途径见下表。</w:t>
            </w:r>
          </w:p>
          <w:p w14:paraId="75C60260">
            <w:pPr>
              <w:numPr>
                <w:ilvl w:val="0"/>
                <w:numId w:val="32"/>
              </w:numPr>
              <w:adjustRightInd w:val="0"/>
              <w:spacing w:line="360" w:lineRule="auto"/>
              <w:ind w:left="425" w:leftChars="0" w:hanging="425" w:firstLineChars="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风险源分布及危险性分析一览表</w:t>
            </w:r>
          </w:p>
          <w:tbl>
            <w:tblPr>
              <w:tblStyle w:val="24"/>
              <w:tblW w:w="756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7"/>
              <w:gridCol w:w="1516"/>
              <w:gridCol w:w="1495"/>
              <w:gridCol w:w="3110"/>
            </w:tblGrid>
            <w:tr w14:paraId="44648A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7" w:type="dxa"/>
                  <w:tcBorders>
                    <w:tl2br w:val="nil"/>
                    <w:tr2bl w:val="nil"/>
                  </w:tcBorders>
                  <w:vAlign w:val="center"/>
                </w:tcPr>
                <w:p w14:paraId="32E5DFBE">
                  <w:pPr>
                    <w:keepNext w:val="0"/>
                    <w:keepLines w:val="0"/>
                    <w:widowControl/>
                    <w:suppressLineNumbers w:val="0"/>
                    <w:ind w:firstLine="211" w:firstLineChars="100"/>
                    <w:jc w:val="center"/>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风险物质</w:t>
                  </w:r>
                </w:p>
              </w:tc>
              <w:tc>
                <w:tcPr>
                  <w:tcW w:w="1516" w:type="dxa"/>
                  <w:tcBorders>
                    <w:tl2br w:val="nil"/>
                    <w:tr2bl w:val="nil"/>
                  </w:tcBorders>
                  <w:vAlign w:val="center"/>
                </w:tcPr>
                <w:p w14:paraId="522DB61A">
                  <w:pPr>
                    <w:keepNext w:val="0"/>
                    <w:keepLines w:val="0"/>
                    <w:widowControl/>
                    <w:suppressLineNumbers w:val="0"/>
                    <w:ind w:firstLine="211" w:firstLineChars="100"/>
                    <w:jc w:val="center"/>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分布情况</w:t>
                  </w:r>
                </w:p>
              </w:tc>
              <w:tc>
                <w:tcPr>
                  <w:tcW w:w="1495" w:type="dxa"/>
                  <w:tcBorders>
                    <w:tl2br w:val="nil"/>
                    <w:tr2bl w:val="nil"/>
                  </w:tcBorders>
                  <w:vAlign w:val="center"/>
                </w:tcPr>
                <w:p w14:paraId="57D5DA54">
                  <w:pPr>
                    <w:numPr>
                      <w:ilvl w:val="0"/>
                      <w:numId w:val="0"/>
                    </w:numPr>
                    <w:adjustRightInd w:val="0"/>
                    <w:spacing w:line="360" w:lineRule="auto"/>
                    <w:jc w:val="center"/>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产生事故模式</w:t>
                  </w:r>
                </w:p>
              </w:tc>
              <w:tc>
                <w:tcPr>
                  <w:tcW w:w="3110" w:type="dxa"/>
                  <w:tcBorders>
                    <w:tl2br w:val="nil"/>
                    <w:tr2bl w:val="nil"/>
                  </w:tcBorders>
                  <w:vAlign w:val="center"/>
                </w:tcPr>
                <w:p w14:paraId="757750E4">
                  <w:pPr>
                    <w:keepNext w:val="0"/>
                    <w:keepLines w:val="0"/>
                    <w:widowControl/>
                    <w:suppressLineNumbers w:val="0"/>
                    <w:ind w:firstLine="632" w:firstLineChars="300"/>
                    <w:jc w:val="center"/>
                    <w:rPr>
                      <w:rFonts w:hint="default" w:ascii="Times New Roman" w:hAnsi="Times New Roman" w:eastAsia="宋体" w:cs="Times New Roman"/>
                      <w:b/>
                      <w:bCs/>
                      <w:snapToGrid w:val="0"/>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lang w:val="en-US" w:eastAsia="zh-CN" w:bidi="ar"/>
                    </w:rPr>
                    <w:t>影响环境的</w:t>
                  </w:r>
                  <w:r>
                    <w:rPr>
                      <w:rFonts w:hint="eastAsia" w:ascii="Times New Roman" w:hAnsi="Times New Roman" w:eastAsia="宋体" w:cs="Times New Roman"/>
                      <w:b/>
                      <w:bCs/>
                      <w:color w:val="auto"/>
                      <w:kern w:val="0"/>
                      <w:sz w:val="21"/>
                      <w:szCs w:val="21"/>
                      <w:lang w:val="en-US" w:eastAsia="zh-CN" w:bidi="ar"/>
                    </w:rPr>
                    <w:t>途径</w:t>
                  </w:r>
                </w:p>
              </w:tc>
            </w:tr>
            <w:tr w14:paraId="20F4C4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7" w:type="dxa"/>
                  <w:vMerge w:val="restart"/>
                  <w:tcBorders>
                    <w:tl2br w:val="nil"/>
                    <w:tr2bl w:val="nil"/>
                  </w:tcBorders>
                  <w:vAlign w:val="center"/>
                </w:tcPr>
                <w:p w14:paraId="0F7B0194">
                  <w:pPr>
                    <w:keepNext w:val="0"/>
                    <w:keepLines w:val="0"/>
                    <w:widowControl/>
                    <w:suppressLineNumbers w:val="0"/>
                    <w:ind w:firstLine="210" w:firstLineChars="100"/>
                    <w:jc w:val="center"/>
                    <w:rPr>
                      <w:rFonts w:hint="default" w:ascii="Times New Roman" w:hAnsi="Times New Roman" w:eastAsia="宋体" w:cs="Times New Roman"/>
                      <w:color w:val="auto"/>
                    </w:rPr>
                  </w:pPr>
                  <w:r>
                    <w:rPr>
                      <w:rFonts w:hint="eastAsia" w:cs="Times New Roman"/>
                      <w:color w:val="auto"/>
                      <w:kern w:val="0"/>
                      <w:sz w:val="21"/>
                      <w:szCs w:val="21"/>
                      <w:lang w:val="en-US" w:eastAsia="zh-CN" w:bidi="ar"/>
                    </w:rPr>
                    <w:t>化学物品、</w:t>
                  </w:r>
                  <w:r>
                    <w:rPr>
                      <w:rFonts w:hint="default" w:ascii="Times New Roman" w:hAnsi="Times New Roman" w:eastAsia="宋体" w:cs="Times New Roman"/>
                      <w:color w:val="auto"/>
                      <w:kern w:val="0"/>
                      <w:sz w:val="21"/>
                      <w:szCs w:val="21"/>
                      <w:lang w:val="en-US" w:eastAsia="zh-CN" w:bidi="ar"/>
                    </w:rPr>
                    <w:t>危险废物</w:t>
                  </w:r>
                </w:p>
                <w:p w14:paraId="106727B8">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p>
              </w:tc>
              <w:tc>
                <w:tcPr>
                  <w:tcW w:w="1516" w:type="dxa"/>
                  <w:vMerge w:val="restart"/>
                  <w:tcBorders>
                    <w:tl2br w:val="nil"/>
                    <w:tr2bl w:val="nil"/>
                  </w:tcBorders>
                  <w:vAlign w:val="center"/>
                </w:tcPr>
                <w:p w14:paraId="5E6689F1">
                  <w:pPr>
                    <w:keepNext w:val="0"/>
                    <w:keepLines w:val="0"/>
                    <w:widowControl/>
                    <w:suppressLineNumbers w:val="0"/>
                    <w:jc w:val="left"/>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2-4层</w:t>
                  </w:r>
                  <w:r>
                    <w:rPr>
                      <w:rFonts w:hint="default" w:ascii="Times New Roman" w:hAnsi="Times New Roman" w:eastAsia="宋体" w:cs="Times New Roman"/>
                      <w:color w:val="auto"/>
                      <w:kern w:val="0"/>
                      <w:sz w:val="21"/>
                      <w:szCs w:val="21"/>
                      <w:lang w:val="en-US" w:eastAsia="zh-CN" w:bidi="ar"/>
                    </w:rPr>
                    <w:t>实验室</w:t>
                  </w:r>
                  <w:r>
                    <w:rPr>
                      <w:rFonts w:hint="eastAsia" w:cs="Times New Roman"/>
                      <w:color w:val="auto"/>
                      <w:kern w:val="0"/>
                      <w:sz w:val="21"/>
                      <w:szCs w:val="21"/>
                      <w:lang w:val="en-US" w:eastAsia="zh-CN" w:bidi="ar"/>
                    </w:rPr>
                    <w:t>、</w:t>
                  </w:r>
                </w:p>
                <w:p w14:paraId="3299E9B8">
                  <w:pPr>
                    <w:keepNext w:val="0"/>
                    <w:keepLines w:val="0"/>
                    <w:widowControl/>
                    <w:suppressLineNumbers w:val="0"/>
                    <w:jc w:val="left"/>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eastAsia" w:cs="Times New Roman"/>
                      <w:color w:val="auto"/>
                      <w:kern w:val="0"/>
                      <w:sz w:val="21"/>
                      <w:szCs w:val="21"/>
                      <w:lang w:val="en-US" w:eastAsia="zh-CN" w:bidi="ar"/>
                    </w:rPr>
                    <w:t>危险废物</w:t>
                  </w:r>
                  <w:r>
                    <w:rPr>
                      <w:rFonts w:hint="default" w:ascii="Times New Roman" w:hAnsi="Times New Roman" w:eastAsia="宋体" w:cs="Times New Roman"/>
                      <w:color w:val="auto"/>
                      <w:kern w:val="0"/>
                      <w:sz w:val="21"/>
                      <w:szCs w:val="21"/>
                      <w:lang w:val="en-US" w:eastAsia="zh-CN" w:bidi="ar"/>
                    </w:rPr>
                    <w:t>暂存间</w:t>
                  </w:r>
                  <w:r>
                    <w:rPr>
                      <w:rFonts w:hint="eastAsia" w:cs="Times New Roman"/>
                      <w:color w:val="auto"/>
                      <w:kern w:val="0"/>
                      <w:sz w:val="21"/>
                      <w:szCs w:val="21"/>
                      <w:lang w:val="en-US" w:eastAsia="zh-CN" w:bidi="ar"/>
                    </w:rPr>
                    <w:t>、试剂室、易制毒制爆室。</w:t>
                  </w:r>
                </w:p>
              </w:tc>
              <w:tc>
                <w:tcPr>
                  <w:tcW w:w="1495" w:type="dxa"/>
                  <w:tcBorders>
                    <w:tl2br w:val="nil"/>
                    <w:tr2bl w:val="nil"/>
                  </w:tcBorders>
                  <w:vAlign w:val="center"/>
                </w:tcPr>
                <w:p w14:paraId="78028846">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泄露</w:t>
                  </w:r>
                </w:p>
              </w:tc>
              <w:tc>
                <w:tcPr>
                  <w:tcW w:w="3110" w:type="dxa"/>
                  <w:tcBorders>
                    <w:tl2br w:val="nil"/>
                    <w:tr2bl w:val="nil"/>
                  </w:tcBorders>
                  <w:vAlign w:val="center"/>
                </w:tcPr>
                <w:p w14:paraId="77275E3C">
                  <w:pPr>
                    <w:keepNext w:val="0"/>
                    <w:keepLines w:val="0"/>
                    <w:widowControl/>
                    <w:suppressLineNumbers w:val="0"/>
                    <w:jc w:val="center"/>
                    <w:rPr>
                      <w:rFonts w:hint="default" w:ascii="Times New Roman" w:hAnsi="Times New Roman" w:eastAsia="宋体" w:cs="Times New Roman"/>
                      <w:color w:val="auto"/>
                    </w:rPr>
                  </w:pPr>
                  <w:r>
                    <w:rPr>
                      <w:rFonts w:hint="default" w:ascii="Times New Roman" w:hAnsi="Times New Roman" w:eastAsia="宋体" w:cs="Times New Roman"/>
                      <w:color w:val="auto"/>
                      <w:kern w:val="0"/>
                      <w:sz w:val="21"/>
                      <w:szCs w:val="21"/>
                      <w:lang w:val="en-US" w:eastAsia="zh-CN" w:bidi="ar"/>
                    </w:rPr>
                    <w:t>①化学品、危险废物泄漏，挥发性化学物质污染大气环境。</w:t>
                  </w:r>
                </w:p>
                <w:p w14:paraId="6196AAB1">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②化学品、危险废物泄漏，污染地表水、地下水、土壤环境。</w:t>
                  </w:r>
                </w:p>
              </w:tc>
            </w:tr>
            <w:tr w14:paraId="146BD3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47" w:type="dxa"/>
                  <w:vMerge w:val="continue"/>
                  <w:tcBorders>
                    <w:tl2br w:val="nil"/>
                    <w:tr2bl w:val="nil"/>
                  </w:tcBorders>
                  <w:vAlign w:val="center"/>
                </w:tcPr>
                <w:p w14:paraId="77507C33">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p>
              </w:tc>
              <w:tc>
                <w:tcPr>
                  <w:tcW w:w="1516" w:type="dxa"/>
                  <w:vMerge w:val="continue"/>
                  <w:tcBorders>
                    <w:tl2br w:val="nil"/>
                    <w:tr2bl w:val="nil"/>
                  </w:tcBorders>
                  <w:vAlign w:val="center"/>
                </w:tcPr>
                <w:p w14:paraId="6771FBA7">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p>
              </w:tc>
              <w:tc>
                <w:tcPr>
                  <w:tcW w:w="1495" w:type="dxa"/>
                  <w:tcBorders>
                    <w:tl2br w:val="nil"/>
                    <w:tr2bl w:val="nil"/>
                  </w:tcBorders>
                  <w:vAlign w:val="center"/>
                </w:tcPr>
                <w:p w14:paraId="11C31DBB">
                  <w:pPr>
                    <w:numPr>
                      <w:ilvl w:val="0"/>
                      <w:numId w:val="0"/>
                    </w:numPr>
                    <w:adjustRightInd w:val="0"/>
                    <w:spacing w:line="360" w:lineRule="auto"/>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火灾</w:t>
                  </w:r>
                  <w:r>
                    <w:rPr>
                      <w:rFonts w:hint="eastAsia" w:cs="Times New Roman"/>
                      <w:b w:val="0"/>
                      <w:bCs w:val="0"/>
                      <w:snapToGrid w:val="0"/>
                      <w:color w:val="auto"/>
                      <w:kern w:val="0"/>
                      <w:sz w:val="21"/>
                      <w:szCs w:val="21"/>
                      <w:highlight w:val="none"/>
                      <w:vertAlign w:val="baseline"/>
                      <w:lang w:val="en-US" w:eastAsia="zh-CN"/>
                    </w:rPr>
                    <w:t>、</w:t>
                  </w:r>
                  <w:r>
                    <w:rPr>
                      <w:rFonts w:hint="default" w:ascii="Times New Roman" w:hAnsi="Times New Roman" w:eastAsia="宋体" w:cs="Times New Roman"/>
                      <w:b w:val="0"/>
                      <w:bCs w:val="0"/>
                      <w:snapToGrid w:val="0"/>
                      <w:color w:val="auto"/>
                      <w:kern w:val="0"/>
                      <w:sz w:val="21"/>
                      <w:szCs w:val="21"/>
                      <w:highlight w:val="none"/>
                      <w:vertAlign w:val="baseline"/>
                      <w:lang w:val="en-US" w:eastAsia="zh-CN"/>
                    </w:rPr>
                    <w:t>爆炸</w:t>
                  </w:r>
                </w:p>
              </w:tc>
              <w:tc>
                <w:tcPr>
                  <w:tcW w:w="3110" w:type="dxa"/>
                  <w:tcBorders>
                    <w:tl2br w:val="nil"/>
                    <w:tr2bl w:val="nil"/>
                  </w:tcBorders>
                  <w:vAlign w:val="center"/>
                </w:tcPr>
                <w:p w14:paraId="1369EDD2">
                  <w:pPr>
                    <w:keepNext w:val="0"/>
                    <w:keepLines w:val="0"/>
                    <w:widowControl/>
                    <w:suppressLineNumbers w:val="0"/>
                    <w:jc w:val="center"/>
                    <w:rPr>
                      <w:rFonts w:hint="default" w:ascii="Times New Roman" w:hAnsi="Times New Roman" w:eastAsia="宋体" w:cs="Times New Roman"/>
                      <w:b w:val="0"/>
                      <w:bCs w:val="0"/>
                      <w:snapToGrid w:val="0"/>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lang w:val="en-US" w:eastAsia="zh-CN" w:bidi="ar"/>
                    </w:rPr>
                    <w:t>化学品泄漏，遇明火，引起火灾、爆炸事故，火灾、爆炸时伴生烟雾进入大气环境</w:t>
                  </w:r>
                  <w:r>
                    <w:rPr>
                      <w:rFonts w:hint="eastAsia" w:cs="Times New Roman"/>
                      <w:color w:val="auto"/>
                      <w:kern w:val="0"/>
                      <w:sz w:val="21"/>
                      <w:szCs w:val="21"/>
                      <w:lang w:val="en-US" w:eastAsia="zh-CN" w:bidi="ar"/>
                    </w:rPr>
                    <w:t>污染大气</w:t>
                  </w:r>
                  <w:r>
                    <w:rPr>
                      <w:rFonts w:hint="default" w:ascii="Times New Roman" w:hAnsi="Times New Roman" w:eastAsia="宋体" w:cs="Times New Roman"/>
                      <w:color w:val="auto"/>
                      <w:kern w:val="0"/>
                      <w:sz w:val="21"/>
                      <w:szCs w:val="21"/>
                      <w:lang w:val="en-US" w:eastAsia="zh-CN" w:bidi="ar"/>
                    </w:rPr>
                    <w:t>，次生的消防废水进入</w:t>
                  </w:r>
                  <w:r>
                    <w:rPr>
                      <w:rFonts w:hint="eastAsia" w:cs="Times New Roman"/>
                      <w:color w:val="auto"/>
                      <w:kern w:val="0"/>
                      <w:sz w:val="21"/>
                      <w:szCs w:val="21"/>
                      <w:lang w:val="en-US" w:eastAsia="zh-CN" w:bidi="ar"/>
                    </w:rPr>
                    <w:t>水体污染</w:t>
                  </w:r>
                  <w:r>
                    <w:rPr>
                      <w:rFonts w:hint="default" w:ascii="Times New Roman" w:hAnsi="Times New Roman" w:eastAsia="宋体" w:cs="Times New Roman"/>
                      <w:color w:val="auto"/>
                      <w:kern w:val="0"/>
                      <w:sz w:val="21"/>
                      <w:szCs w:val="21"/>
                      <w:lang w:val="en-US" w:eastAsia="zh-CN" w:bidi="ar"/>
                    </w:rPr>
                    <w:t>水环境</w:t>
                  </w:r>
                  <w:r>
                    <w:rPr>
                      <w:rFonts w:hint="eastAsia" w:cs="Times New Roman"/>
                      <w:color w:val="auto"/>
                      <w:kern w:val="0"/>
                      <w:sz w:val="21"/>
                      <w:szCs w:val="21"/>
                      <w:lang w:val="en-US" w:eastAsia="zh-CN" w:bidi="ar"/>
                    </w:rPr>
                    <w:t>、进入土壤或渗入地下污染地下水或土壤</w:t>
                  </w:r>
                  <w:r>
                    <w:rPr>
                      <w:rFonts w:hint="default" w:ascii="Times New Roman" w:hAnsi="Times New Roman" w:eastAsia="宋体" w:cs="Times New Roman"/>
                      <w:color w:val="auto"/>
                      <w:kern w:val="0"/>
                      <w:sz w:val="21"/>
                      <w:szCs w:val="21"/>
                      <w:lang w:val="en-US" w:eastAsia="zh-CN" w:bidi="ar"/>
                    </w:rPr>
                    <w:t>等。</w:t>
                  </w:r>
                </w:p>
              </w:tc>
            </w:tr>
          </w:tbl>
          <w:p w14:paraId="395E8242">
            <w:pPr>
              <w:adjustRightInd w:val="0"/>
              <w:spacing w:line="360" w:lineRule="auto"/>
              <w:ind w:firstLine="465"/>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本项目环境风险可能影响的途径如下：</w:t>
            </w:r>
          </w:p>
          <w:p w14:paraId="618F8CE6">
            <w:pPr>
              <w:numPr>
                <w:ilvl w:val="0"/>
                <w:numId w:val="38"/>
              </w:num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泄漏</w:t>
            </w:r>
            <w:r>
              <w:rPr>
                <w:rFonts w:hint="default" w:ascii="Times New Roman" w:hAnsi="Times New Roman" w:eastAsia="宋体" w:cs="Times New Roman"/>
                <w:b w:val="0"/>
                <w:bCs/>
                <w:snapToGrid w:val="0"/>
                <w:color w:val="auto"/>
                <w:kern w:val="0"/>
                <w:sz w:val="24"/>
                <w:highlight w:val="none"/>
              </w:rPr>
              <w:t>：</w:t>
            </w:r>
            <w:r>
              <w:rPr>
                <w:rFonts w:hint="eastAsia" w:cs="Times New Roman"/>
                <w:b w:val="0"/>
                <w:bCs/>
                <w:snapToGrid w:val="0"/>
                <w:color w:val="auto"/>
                <w:kern w:val="0"/>
                <w:sz w:val="24"/>
                <w:highlight w:val="none"/>
                <w:lang w:val="en-US" w:eastAsia="zh-CN"/>
              </w:rPr>
              <w:t>试剂室、易制毒制爆室贮存的危险化学品</w:t>
            </w:r>
            <w:r>
              <w:rPr>
                <w:rFonts w:hint="eastAsia" w:cs="Times New Roman"/>
                <w:b w:val="0"/>
                <w:bCs/>
                <w:snapToGrid w:val="0"/>
                <w:color w:val="auto"/>
                <w:kern w:val="0"/>
                <w:sz w:val="24"/>
                <w:highlight w:val="none"/>
                <w:lang w:val="en-US" w:eastAsia="zh-CN"/>
              </w:rPr>
              <w:t>、危险废物暂存间贮存的危险废物在操作不当或遇其他事故时发生泄露，如果收集、拦截、吸附不及时，泄露液体进入周边环境污染土壤、地</w:t>
            </w:r>
            <w:r>
              <w:rPr>
                <w:rFonts w:hint="eastAsia" w:cs="Times New Roman"/>
                <w:bCs/>
                <w:snapToGrid w:val="0"/>
                <w:color w:val="auto"/>
                <w:kern w:val="0"/>
                <w:sz w:val="24"/>
                <w:highlight w:val="none"/>
                <w:lang w:val="en-US" w:eastAsia="zh-CN"/>
              </w:rPr>
              <w:t>表水、地下水，挥发性物质挥发污染大气环境，同时对周边人员健康造成不良影响</w:t>
            </w:r>
            <w:r>
              <w:rPr>
                <w:rFonts w:hint="default" w:ascii="Times New Roman" w:hAnsi="Times New Roman" w:eastAsia="宋体" w:cs="Times New Roman"/>
                <w:bCs/>
                <w:snapToGrid w:val="0"/>
                <w:color w:val="auto"/>
                <w:kern w:val="0"/>
                <w:sz w:val="24"/>
                <w:highlight w:val="none"/>
              </w:rPr>
              <w:t>。</w:t>
            </w:r>
          </w:p>
          <w:p w14:paraId="34240ED3">
            <w:pPr>
              <w:numPr>
                <w:ilvl w:val="0"/>
                <w:numId w:val="38"/>
              </w:num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default" w:ascii="Times New Roman" w:hAnsi="Times New Roman" w:eastAsia="宋体" w:cs="Times New Roman"/>
                <w:bCs/>
                <w:snapToGrid w:val="0"/>
                <w:color w:val="auto"/>
                <w:kern w:val="0"/>
                <w:sz w:val="24"/>
                <w:highlight w:val="none"/>
              </w:rPr>
              <w:t>火灾</w:t>
            </w:r>
            <w:r>
              <w:rPr>
                <w:rFonts w:hint="eastAsia" w:cs="Times New Roman"/>
                <w:bCs/>
                <w:snapToGrid w:val="0"/>
                <w:color w:val="auto"/>
                <w:kern w:val="0"/>
                <w:sz w:val="24"/>
                <w:highlight w:val="none"/>
                <w:lang w:eastAsia="zh-CN"/>
              </w:rPr>
              <w:t>、</w:t>
            </w:r>
            <w:r>
              <w:rPr>
                <w:rFonts w:hint="eastAsia" w:cs="Times New Roman"/>
                <w:bCs/>
                <w:snapToGrid w:val="0"/>
                <w:color w:val="auto"/>
                <w:kern w:val="0"/>
                <w:sz w:val="24"/>
                <w:highlight w:val="none"/>
                <w:lang w:val="en-US" w:eastAsia="zh-CN"/>
              </w:rPr>
              <w:t>爆炸</w:t>
            </w:r>
            <w:r>
              <w:rPr>
                <w:rFonts w:hint="default" w:ascii="Times New Roman" w:hAnsi="Times New Roman" w:eastAsia="宋体" w:cs="Times New Roman"/>
                <w:bCs/>
                <w:snapToGrid w:val="0"/>
                <w:color w:val="auto"/>
                <w:kern w:val="0"/>
                <w:sz w:val="24"/>
                <w:highlight w:val="none"/>
              </w:rPr>
              <w:t>：本项目乙醇、</w:t>
            </w:r>
            <w:r>
              <w:rPr>
                <w:rFonts w:hint="eastAsia" w:cs="Times New Roman"/>
                <w:bCs/>
                <w:snapToGrid w:val="0"/>
                <w:color w:val="auto"/>
                <w:kern w:val="0"/>
                <w:sz w:val="24"/>
                <w:highlight w:val="none"/>
                <w:lang w:val="en-US" w:eastAsia="zh-CN"/>
              </w:rPr>
              <w:t>乙醚</w:t>
            </w:r>
            <w:r>
              <w:rPr>
                <w:rFonts w:hint="default" w:ascii="Times New Roman" w:hAnsi="Times New Roman" w:eastAsia="宋体" w:cs="Times New Roman"/>
                <w:bCs/>
                <w:snapToGrid w:val="0"/>
                <w:color w:val="auto"/>
                <w:kern w:val="0"/>
                <w:sz w:val="24"/>
                <w:highlight w:val="none"/>
                <w:lang w:val="en-US" w:eastAsia="zh-CN"/>
              </w:rPr>
              <w:t>、</w:t>
            </w:r>
            <w:r>
              <w:rPr>
                <w:rFonts w:hint="eastAsia" w:cs="Times New Roman"/>
                <w:bCs/>
                <w:snapToGrid w:val="0"/>
                <w:color w:val="auto"/>
                <w:kern w:val="0"/>
                <w:sz w:val="24"/>
                <w:highlight w:val="none"/>
                <w:lang w:val="en-US" w:eastAsia="zh-CN"/>
              </w:rPr>
              <w:t>丙酮、</w:t>
            </w:r>
            <w:r>
              <w:rPr>
                <w:rFonts w:hint="eastAsia" w:cs="Times New Roman"/>
                <w:bCs/>
                <w:snapToGrid w:val="0"/>
                <w:color w:val="auto"/>
                <w:kern w:val="0"/>
                <w:sz w:val="24"/>
                <w:highlight w:val="none"/>
                <w:lang w:val="en-US" w:eastAsia="zh-CN"/>
              </w:rPr>
              <w:t>甲醇等试剂、部分</w:t>
            </w:r>
            <w:r>
              <w:rPr>
                <w:rFonts w:hint="default" w:ascii="Times New Roman" w:hAnsi="Times New Roman" w:eastAsia="宋体" w:cs="Times New Roman"/>
                <w:bCs/>
                <w:snapToGrid w:val="0"/>
                <w:color w:val="auto"/>
                <w:kern w:val="0"/>
                <w:sz w:val="24"/>
                <w:highlight w:val="none"/>
              </w:rPr>
              <w:t>实验废液</w:t>
            </w:r>
            <w:r>
              <w:rPr>
                <w:rFonts w:hint="eastAsia" w:cs="Times New Roman"/>
                <w:bCs/>
                <w:snapToGrid w:val="0"/>
                <w:color w:val="auto"/>
                <w:kern w:val="0"/>
                <w:sz w:val="24"/>
                <w:highlight w:val="none"/>
                <w:lang w:eastAsia="zh-CN"/>
              </w:rPr>
              <w:t>、</w:t>
            </w:r>
            <w:r>
              <w:rPr>
                <w:rFonts w:hint="eastAsia" w:cs="Times New Roman"/>
                <w:bCs/>
                <w:snapToGrid w:val="0"/>
                <w:color w:val="auto"/>
                <w:kern w:val="0"/>
                <w:sz w:val="24"/>
                <w:highlight w:val="none"/>
                <w:lang w:val="en-US" w:eastAsia="zh-CN"/>
              </w:rPr>
              <w:t>实验过程的实验试液</w:t>
            </w:r>
            <w:r>
              <w:rPr>
                <w:rFonts w:hint="default" w:ascii="Times New Roman" w:hAnsi="Times New Roman" w:eastAsia="宋体" w:cs="Times New Roman"/>
                <w:bCs/>
                <w:snapToGrid w:val="0"/>
                <w:color w:val="auto"/>
                <w:kern w:val="0"/>
                <w:sz w:val="24"/>
                <w:highlight w:val="none"/>
              </w:rPr>
              <w:t>遇高温、高热、明火易引起燃烧而引发火灾</w:t>
            </w:r>
            <w:r>
              <w:rPr>
                <w:rFonts w:hint="eastAsia" w:cs="Times New Roman"/>
                <w:bCs/>
                <w:snapToGrid w:val="0"/>
                <w:color w:val="auto"/>
                <w:kern w:val="0"/>
                <w:sz w:val="24"/>
                <w:highlight w:val="none"/>
                <w:lang w:val="en-US" w:eastAsia="zh-CN"/>
              </w:rPr>
              <w:t>或爆炸</w:t>
            </w:r>
            <w:r>
              <w:rPr>
                <w:rFonts w:hint="default" w:ascii="Times New Roman" w:hAnsi="Times New Roman" w:eastAsia="宋体" w:cs="Times New Roman"/>
                <w:bCs/>
                <w:snapToGrid w:val="0"/>
                <w:color w:val="auto"/>
                <w:kern w:val="0"/>
                <w:sz w:val="24"/>
                <w:highlight w:val="none"/>
              </w:rPr>
              <w:t>，</w:t>
            </w:r>
            <w:r>
              <w:rPr>
                <w:rFonts w:hint="eastAsia" w:cs="Times New Roman"/>
                <w:bCs/>
                <w:snapToGrid w:val="0"/>
                <w:color w:val="auto"/>
                <w:kern w:val="0"/>
                <w:sz w:val="24"/>
                <w:highlight w:val="none"/>
                <w:lang w:val="en-US" w:eastAsia="zh-CN"/>
              </w:rPr>
              <w:t>部分设备在操作不当引发事故可能</w:t>
            </w:r>
            <w:r>
              <w:rPr>
                <w:rFonts w:hint="default" w:ascii="Times New Roman" w:hAnsi="Times New Roman" w:eastAsia="宋体" w:cs="Times New Roman"/>
                <w:bCs/>
                <w:snapToGrid w:val="0"/>
                <w:color w:val="auto"/>
                <w:kern w:val="0"/>
                <w:sz w:val="24"/>
                <w:highlight w:val="none"/>
              </w:rPr>
              <w:t>引发火灾，</w:t>
            </w:r>
            <w:r>
              <w:rPr>
                <w:rFonts w:hint="eastAsia" w:cs="Times New Roman"/>
                <w:bCs/>
                <w:snapToGrid w:val="0"/>
                <w:color w:val="auto"/>
                <w:kern w:val="0"/>
                <w:sz w:val="24"/>
                <w:highlight w:val="none"/>
                <w:lang w:val="en-US" w:eastAsia="zh-CN"/>
              </w:rPr>
              <w:t>火灾</w:t>
            </w:r>
            <w:r>
              <w:rPr>
                <w:rFonts w:hint="default" w:ascii="Times New Roman" w:hAnsi="Times New Roman" w:eastAsia="宋体" w:cs="Times New Roman"/>
                <w:bCs/>
                <w:snapToGrid w:val="0"/>
                <w:color w:val="auto"/>
                <w:kern w:val="0"/>
                <w:sz w:val="24"/>
                <w:highlight w:val="none"/>
              </w:rPr>
              <w:t>次生污染物主要为CO、烟尘，会对环境空气带来污染。CO、烟尘等扩散到实验室外，会对厂区周边一定区域内的居民身体健康造成影响。</w:t>
            </w:r>
          </w:p>
          <w:p w14:paraId="23C82985">
            <w:pPr>
              <w:numPr>
                <w:ilvl w:val="0"/>
                <w:numId w:val="38"/>
              </w:numPr>
              <w:adjustRightInd w:val="0"/>
              <w:spacing w:line="360" w:lineRule="auto"/>
              <w:ind w:firstLine="480" w:firstLineChars="200"/>
              <w:rPr>
                <w:rFonts w:hint="default" w:ascii="Times New Roman" w:hAnsi="Times New Roman" w:eastAsia="宋体" w:cs="Times New Roman"/>
                <w:bCs/>
                <w:snapToGrid w:val="0"/>
                <w:color w:val="auto"/>
                <w:kern w:val="0"/>
                <w:sz w:val="24"/>
                <w:highlight w:val="none"/>
              </w:rPr>
            </w:pPr>
            <w:r>
              <w:rPr>
                <w:rFonts w:hint="eastAsia" w:cs="Times New Roman"/>
                <w:bCs/>
                <w:snapToGrid w:val="0"/>
                <w:color w:val="auto"/>
                <w:kern w:val="0"/>
                <w:sz w:val="24"/>
                <w:highlight w:val="none"/>
                <w:lang w:val="en-US" w:eastAsia="zh-CN"/>
              </w:rPr>
              <w:t>操作事故：本项目危险废物类别较多，如果操作不当，不相容危险废物在一起可能发生放热、释放气体或其他事故等。</w:t>
            </w:r>
          </w:p>
          <w:p w14:paraId="263C562B">
            <w:pPr>
              <w:numPr>
                <w:ilvl w:val="0"/>
                <w:numId w:val="38"/>
              </w:numPr>
              <w:adjustRightInd w:val="0"/>
              <w:spacing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bCs/>
                <w:snapToGrid w:val="0"/>
                <w:color w:val="auto"/>
                <w:kern w:val="0"/>
                <w:sz w:val="24"/>
                <w:highlight w:val="none"/>
              </w:rPr>
              <w:t>火灾</w:t>
            </w:r>
            <w:r>
              <w:rPr>
                <w:rFonts w:hint="eastAsia" w:cs="Times New Roman"/>
                <w:bCs/>
                <w:snapToGrid w:val="0"/>
                <w:color w:val="auto"/>
                <w:kern w:val="0"/>
                <w:sz w:val="24"/>
                <w:highlight w:val="none"/>
                <w:lang w:eastAsia="zh-CN"/>
              </w:rPr>
              <w:t>、</w:t>
            </w:r>
            <w:r>
              <w:rPr>
                <w:rFonts w:hint="eastAsia" w:cs="Times New Roman"/>
                <w:bCs/>
                <w:snapToGrid w:val="0"/>
                <w:color w:val="auto"/>
                <w:kern w:val="0"/>
                <w:sz w:val="24"/>
                <w:highlight w:val="none"/>
                <w:lang w:val="en-US" w:eastAsia="zh-CN"/>
              </w:rPr>
              <w:t>爆炸等</w:t>
            </w:r>
            <w:r>
              <w:rPr>
                <w:rFonts w:hint="default" w:ascii="Times New Roman" w:hAnsi="Times New Roman" w:eastAsia="宋体" w:cs="Times New Roman"/>
                <w:bCs/>
                <w:snapToGrid w:val="0"/>
                <w:color w:val="auto"/>
                <w:kern w:val="0"/>
                <w:sz w:val="24"/>
                <w:highlight w:val="none"/>
              </w:rPr>
              <w:t>事故次生含水环境风险物质的消防废水，可能会经雨水排放</w:t>
            </w:r>
            <w:r>
              <w:rPr>
                <w:rFonts w:hint="eastAsia" w:cs="Times New Roman"/>
                <w:bCs/>
                <w:snapToGrid w:val="0"/>
                <w:color w:val="auto"/>
                <w:kern w:val="0"/>
                <w:sz w:val="24"/>
                <w:highlight w:val="none"/>
                <w:lang w:val="en-US" w:eastAsia="zh-CN"/>
              </w:rPr>
              <w:t>系统</w:t>
            </w:r>
            <w:r>
              <w:rPr>
                <w:rFonts w:hint="default" w:ascii="Times New Roman" w:hAnsi="Times New Roman" w:eastAsia="宋体" w:cs="Times New Roman"/>
                <w:bCs/>
                <w:snapToGrid w:val="0"/>
                <w:color w:val="auto"/>
                <w:kern w:val="0"/>
                <w:sz w:val="24"/>
                <w:highlight w:val="none"/>
              </w:rPr>
              <w:t>进入</w:t>
            </w:r>
            <w:r>
              <w:rPr>
                <w:rFonts w:hint="eastAsia" w:cs="Times New Roman"/>
                <w:bCs/>
                <w:snapToGrid w:val="0"/>
                <w:color w:val="auto"/>
                <w:kern w:val="0"/>
                <w:sz w:val="24"/>
                <w:highlight w:val="none"/>
                <w:lang w:val="en-US" w:eastAsia="zh-CN"/>
              </w:rPr>
              <w:t>地表水环境污染地表水、进入土壤或渗入地下污染土壤或地下水</w:t>
            </w:r>
            <w:r>
              <w:rPr>
                <w:rFonts w:hint="default" w:ascii="Times New Roman" w:hAnsi="Times New Roman" w:eastAsia="宋体" w:cs="Times New Roman"/>
                <w:bCs/>
                <w:snapToGrid w:val="0"/>
                <w:color w:val="auto"/>
                <w:kern w:val="0"/>
                <w:sz w:val="24"/>
                <w:highlight w:val="none"/>
              </w:rPr>
              <w:t>。</w:t>
            </w:r>
          </w:p>
          <w:p w14:paraId="3C832BA9">
            <w:pPr>
              <w:adjustRightInd w:val="0"/>
              <w:spacing w:line="360" w:lineRule="auto"/>
              <w:ind w:firstLine="465"/>
              <w:rPr>
                <w:rFonts w:hint="default" w:ascii="Times New Roman" w:hAnsi="Times New Roman" w:eastAsia="宋体" w:cs="Times New Roman"/>
                <w:b w:val="0"/>
                <w:bCs/>
                <w:color w:val="auto"/>
                <w:spacing w:val="-2"/>
                <w:sz w:val="24"/>
                <w:szCs w:val="32"/>
                <w:highlight w:val="none"/>
              </w:rPr>
            </w:pPr>
            <w:r>
              <w:rPr>
                <w:rFonts w:hint="default" w:ascii="Times New Roman" w:hAnsi="Times New Roman" w:eastAsia="宋体" w:cs="Times New Roman"/>
                <w:b w:val="0"/>
                <w:bCs/>
                <w:snapToGrid w:val="0"/>
                <w:color w:val="auto"/>
                <w:kern w:val="0"/>
                <w:sz w:val="24"/>
                <w:highlight w:val="none"/>
              </w:rPr>
              <w:t>（3）</w:t>
            </w:r>
            <w:r>
              <w:rPr>
                <w:rFonts w:hint="default" w:ascii="Times New Roman" w:hAnsi="Times New Roman" w:eastAsia="宋体" w:cs="Times New Roman"/>
                <w:b w:val="0"/>
                <w:bCs/>
                <w:color w:val="auto"/>
                <w:spacing w:val="-2"/>
                <w:sz w:val="24"/>
                <w:szCs w:val="32"/>
                <w:highlight w:val="none"/>
              </w:rPr>
              <w:t>环境风险防范措施</w:t>
            </w:r>
          </w:p>
          <w:p w14:paraId="09A19D79">
            <w:pPr>
              <w:widowControl/>
              <w:numPr>
                <w:ilvl w:val="0"/>
                <w:numId w:val="3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建设单位应制定突发环境事件应急预案</w:t>
            </w:r>
            <w:r>
              <w:rPr>
                <w:rFonts w:hint="eastAsia" w:cs="Times New Roman"/>
                <w:color w:val="auto"/>
                <w:kern w:val="0"/>
                <w:sz w:val="24"/>
                <w:highlight w:val="none"/>
                <w:lang w:val="en-US" w:eastAsia="zh-CN"/>
              </w:rPr>
              <w:t>，包括预案适用范围、环境事件分类与分级、组织机构与职责、监控和预警、应急响应、应急保障、善后处置、预案管理与演练等内容。应急预案要明确企业、园区、地方主管部门环境风险应急体系。突发环境事件应急预案应体现分级响应、区域联动的原则，与地方主管部门突发环境事件应急预案相衔接，明确分级响应程序。</w:t>
            </w:r>
          </w:p>
          <w:p w14:paraId="6F5C1928">
            <w:pPr>
              <w:widowControl/>
              <w:numPr>
                <w:ilvl w:val="0"/>
                <w:numId w:val="3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定期检查危险化学品和</w:t>
            </w:r>
            <w:r>
              <w:rPr>
                <w:rFonts w:hint="eastAsia" w:cs="Times New Roman"/>
                <w:color w:val="auto"/>
                <w:kern w:val="0"/>
                <w:sz w:val="24"/>
                <w:highlight w:val="none"/>
                <w:lang w:val="en-US" w:eastAsia="zh-CN"/>
              </w:rPr>
              <w:t>危险废物贮存</w:t>
            </w:r>
            <w:r>
              <w:rPr>
                <w:rFonts w:hint="default" w:ascii="Times New Roman" w:hAnsi="Times New Roman" w:eastAsia="宋体" w:cs="Times New Roman"/>
                <w:color w:val="auto"/>
                <w:kern w:val="0"/>
                <w:sz w:val="24"/>
                <w:highlight w:val="none"/>
              </w:rPr>
              <w:t>状态，禁止跑、冒、滴、漏。</w:t>
            </w:r>
          </w:p>
          <w:p w14:paraId="2BA269BB">
            <w:pPr>
              <w:widowControl/>
              <w:numPr>
                <w:ilvl w:val="0"/>
                <w:numId w:val="3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在风险源场所设置消防栓、灭火器</w:t>
            </w:r>
            <w:r>
              <w:rPr>
                <w:rFonts w:hint="eastAsia" w:cs="Times New Roman"/>
                <w:color w:val="auto"/>
                <w:kern w:val="0"/>
                <w:sz w:val="24"/>
                <w:highlight w:val="none"/>
                <w:lang w:val="en-US" w:eastAsia="zh-CN"/>
              </w:rPr>
              <w:t>等灭火设施</w:t>
            </w:r>
            <w:r>
              <w:rPr>
                <w:rFonts w:hint="default" w:ascii="Times New Roman" w:hAnsi="Times New Roman" w:eastAsia="宋体" w:cs="Times New Roman"/>
                <w:color w:val="auto"/>
                <w:kern w:val="0"/>
                <w:sz w:val="24"/>
                <w:highlight w:val="none"/>
              </w:rPr>
              <w:t>，配备一定数量的自给式呼吸器、消防防护服、消防沙等，并设置明显的</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危险</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警示标识和</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禁止吸烟</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的警示标识。</w:t>
            </w:r>
          </w:p>
          <w:p w14:paraId="75F5F184">
            <w:pPr>
              <w:widowControl/>
              <w:numPr>
                <w:ilvl w:val="0"/>
                <w:numId w:val="3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eastAsia" w:cs="Times New Roman"/>
                <w:color w:val="auto"/>
                <w:kern w:val="0"/>
                <w:sz w:val="24"/>
                <w:highlight w:val="none"/>
                <w:lang w:val="en-US" w:eastAsia="zh-CN"/>
              </w:rPr>
              <w:t>加强教育和培训，严禁将危险废物随便倾倒，严格按照危险废物的类别分类收集，做好危险废物识别标志和台账。</w:t>
            </w:r>
          </w:p>
          <w:p w14:paraId="1A1BFCAD">
            <w:pPr>
              <w:widowControl/>
              <w:numPr>
                <w:ilvl w:val="0"/>
                <w:numId w:val="3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制定操作规程，</w:t>
            </w:r>
            <w:r>
              <w:rPr>
                <w:rFonts w:hint="eastAsia" w:cs="Times New Roman"/>
                <w:color w:val="auto"/>
                <w:kern w:val="0"/>
                <w:sz w:val="24"/>
                <w:highlight w:val="none"/>
                <w:lang w:val="en-US" w:eastAsia="zh-CN"/>
              </w:rPr>
              <w:t>严格按照规程进行各项实验操作，密切关注实验现象，实验期间不得擅自离岗，发现问题及时处理。</w:t>
            </w:r>
            <w:r>
              <w:rPr>
                <w:rFonts w:hint="default" w:ascii="Times New Roman" w:hAnsi="Times New Roman" w:eastAsia="宋体" w:cs="Times New Roman"/>
                <w:color w:val="auto"/>
                <w:kern w:val="0"/>
                <w:sz w:val="24"/>
                <w:highlight w:val="none"/>
              </w:rPr>
              <w:t>定期进行消防安全知识培训，重点培训岗位防火技术、灭火器的使用办法、疏散逃生知识等，加强员工防火意识，确保每位员工都掌握安全防火技能，一旦发生事故能采取正确的应急措施。</w:t>
            </w:r>
          </w:p>
          <w:p w14:paraId="2E5D4DB6">
            <w:pPr>
              <w:widowControl/>
              <w:numPr>
                <w:ilvl w:val="0"/>
                <w:numId w:val="3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建立安全管理制度，制定岗位责任制度，定期对设备</w:t>
            </w:r>
            <w:r>
              <w:rPr>
                <w:rFonts w:hint="eastAsia" w:cs="Times New Roman"/>
                <w:color w:val="auto"/>
                <w:kern w:val="0"/>
                <w:sz w:val="24"/>
                <w:highlight w:val="none"/>
                <w:lang w:val="en-US" w:eastAsia="zh-CN"/>
              </w:rPr>
              <w:t>设施检查维护</w:t>
            </w:r>
            <w:r>
              <w:rPr>
                <w:rFonts w:hint="default" w:ascii="Times New Roman" w:hAnsi="Times New Roman" w:eastAsia="宋体" w:cs="Times New Roman"/>
                <w:color w:val="auto"/>
                <w:kern w:val="0"/>
                <w:sz w:val="24"/>
                <w:highlight w:val="none"/>
              </w:rPr>
              <w:t>，发现</w:t>
            </w:r>
            <w:r>
              <w:rPr>
                <w:rFonts w:hint="eastAsia" w:cs="Times New Roman"/>
                <w:color w:val="auto"/>
                <w:kern w:val="0"/>
                <w:sz w:val="24"/>
                <w:highlight w:val="none"/>
                <w:lang w:val="en-US" w:eastAsia="zh-CN"/>
              </w:rPr>
              <w:t>问题及时处理</w:t>
            </w:r>
            <w:r>
              <w:rPr>
                <w:rFonts w:hint="default" w:ascii="Times New Roman" w:hAnsi="Times New Roman" w:eastAsia="宋体" w:cs="Times New Roman"/>
                <w:color w:val="auto"/>
                <w:kern w:val="0"/>
                <w:sz w:val="24"/>
                <w:highlight w:val="none"/>
              </w:rPr>
              <w:t>。</w:t>
            </w:r>
          </w:p>
          <w:p w14:paraId="0A4D7FCB">
            <w:pPr>
              <w:widowControl/>
              <w:numPr>
                <w:ilvl w:val="0"/>
                <w:numId w:val="39"/>
              </w:numPr>
              <w:spacing w:line="360" w:lineRule="auto"/>
              <w:ind w:firstLine="480" w:firstLineChars="200"/>
              <w:jc w:val="left"/>
              <w:rPr>
                <w:rFonts w:hint="default" w:ascii="Times New Roman" w:hAnsi="Times New Roman" w:eastAsia="宋体" w:cs="Times New Roman"/>
                <w:color w:val="auto"/>
                <w:kern w:val="0"/>
                <w:sz w:val="24"/>
                <w:highlight w:val="none"/>
              </w:rPr>
            </w:pPr>
            <w:r>
              <w:rPr>
                <w:rFonts w:hint="eastAsia" w:cs="Times New Roman"/>
                <w:color w:val="auto"/>
                <w:kern w:val="0"/>
                <w:sz w:val="24"/>
                <w:highlight w:val="none"/>
                <w:lang w:val="en-US" w:eastAsia="zh-CN"/>
              </w:rPr>
              <w:t>定期做好安全风险辨识评估和隐患排查，明确隐患排查的责任人，做好排查记录</w:t>
            </w:r>
            <w:r>
              <w:rPr>
                <w:rFonts w:hint="default" w:ascii="Times New Roman" w:hAnsi="Times New Roman" w:eastAsia="宋体" w:cs="Times New Roman"/>
                <w:color w:val="auto"/>
                <w:kern w:val="0"/>
                <w:sz w:val="24"/>
                <w:highlight w:val="none"/>
              </w:rPr>
              <w:t>。</w:t>
            </w:r>
          </w:p>
          <w:p w14:paraId="5CF5A97B">
            <w:pPr>
              <w:adjustRightInd w:val="0"/>
              <w:spacing w:line="360" w:lineRule="auto"/>
              <w:ind w:firstLine="465"/>
              <w:rPr>
                <w:rFonts w:hint="default" w:ascii="Times New Roman" w:hAnsi="Times New Roman" w:eastAsia="宋体" w:cs="Times New Roman"/>
                <w:b w:val="0"/>
                <w:bCs w:val="0"/>
                <w:color w:val="auto"/>
                <w:spacing w:val="-2"/>
                <w:sz w:val="24"/>
                <w:szCs w:val="32"/>
                <w:highlight w:val="none"/>
              </w:rPr>
            </w:pPr>
            <w:r>
              <w:rPr>
                <w:rFonts w:hint="default" w:ascii="Times New Roman" w:hAnsi="Times New Roman" w:eastAsia="宋体" w:cs="Times New Roman"/>
                <w:b w:val="0"/>
                <w:bCs w:val="0"/>
                <w:color w:val="auto"/>
                <w:spacing w:val="-2"/>
                <w:sz w:val="24"/>
                <w:szCs w:val="32"/>
                <w:highlight w:val="none"/>
              </w:rPr>
              <w:t>（</w:t>
            </w:r>
            <w:r>
              <w:rPr>
                <w:rFonts w:hint="default" w:ascii="Times New Roman" w:hAnsi="Times New Roman" w:eastAsia="宋体" w:cs="Times New Roman"/>
                <w:b w:val="0"/>
                <w:bCs w:val="0"/>
                <w:color w:val="auto"/>
                <w:spacing w:val="-2"/>
                <w:sz w:val="24"/>
                <w:szCs w:val="32"/>
                <w:highlight w:val="none"/>
                <w:lang w:val="en-US" w:eastAsia="zh-CN"/>
              </w:rPr>
              <w:t>4</w:t>
            </w:r>
            <w:r>
              <w:rPr>
                <w:rFonts w:hint="default" w:ascii="Times New Roman" w:hAnsi="Times New Roman" w:eastAsia="宋体" w:cs="Times New Roman"/>
                <w:b w:val="0"/>
                <w:bCs w:val="0"/>
                <w:color w:val="auto"/>
                <w:spacing w:val="-2"/>
                <w:sz w:val="24"/>
                <w:szCs w:val="32"/>
                <w:highlight w:val="none"/>
              </w:rPr>
              <w:t>）环境风险评价结论</w:t>
            </w:r>
          </w:p>
          <w:p w14:paraId="38F7328F">
            <w:pPr>
              <w:adjustRightInd w:val="0"/>
              <w:spacing w:line="360" w:lineRule="auto"/>
              <w:ind w:firstLine="465"/>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综上分析，本项目环境风险潜势为I级，风险评价等级为简单分析，存在泄漏、火灾</w:t>
            </w:r>
            <w:r>
              <w:rPr>
                <w:rFonts w:hint="eastAsia" w:cs="Times New Roman"/>
                <w:color w:val="auto"/>
                <w:kern w:val="0"/>
                <w:sz w:val="24"/>
                <w:highlight w:val="none"/>
                <w:lang w:eastAsia="zh-CN"/>
              </w:rPr>
              <w:t>、</w:t>
            </w:r>
            <w:r>
              <w:rPr>
                <w:rFonts w:hint="eastAsia" w:cs="Times New Roman"/>
                <w:color w:val="auto"/>
                <w:kern w:val="0"/>
                <w:sz w:val="24"/>
                <w:highlight w:val="none"/>
                <w:lang w:val="en-US" w:eastAsia="zh-CN"/>
              </w:rPr>
              <w:t>爆炸</w:t>
            </w:r>
            <w:r>
              <w:rPr>
                <w:rFonts w:hint="default" w:ascii="Times New Roman" w:hAnsi="Times New Roman" w:eastAsia="宋体" w:cs="Times New Roman"/>
                <w:color w:val="auto"/>
                <w:kern w:val="0"/>
                <w:sz w:val="24"/>
                <w:highlight w:val="none"/>
              </w:rPr>
              <w:t>事故类型，本</w:t>
            </w:r>
            <w:r>
              <w:rPr>
                <w:rFonts w:hint="eastAsia" w:cs="Times New Roman"/>
                <w:color w:val="auto"/>
                <w:kern w:val="0"/>
                <w:sz w:val="24"/>
                <w:highlight w:val="none"/>
                <w:lang w:val="en-US" w:eastAsia="zh-CN"/>
              </w:rPr>
              <w:t>项目定期开展安全风险辨识评估，制定操作规程并加强培训，定期开展隐患排查</w:t>
            </w:r>
            <w:r>
              <w:rPr>
                <w:rFonts w:hint="default" w:ascii="Times New Roman" w:hAnsi="Times New Roman" w:eastAsia="宋体" w:cs="Times New Roman"/>
                <w:color w:val="auto"/>
                <w:kern w:val="0"/>
                <w:sz w:val="24"/>
                <w:highlight w:val="none"/>
              </w:rPr>
              <w:t>，确保</w:t>
            </w:r>
            <w:r>
              <w:rPr>
                <w:rFonts w:hint="eastAsia" w:cs="Times New Roman"/>
                <w:color w:val="auto"/>
                <w:kern w:val="0"/>
                <w:sz w:val="24"/>
                <w:highlight w:val="none"/>
                <w:lang w:val="en-US" w:eastAsia="zh-CN"/>
              </w:rPr>
              <w:t>项目</w:t>
            </w:r>
            <w:r>
              <w:rPr>
                <w:rFonts w:hint="default" w:ascii="Times New Roman" w:hAnsi="Times New Roman" w:eastAsia="宋体" w:cs="Times New Roman"/>
                <w:color w:val="auto"/>
                <w:kern w:val="0"/>
                <w:sz w:val="24"/>
                <w:highlight w:val="none"/>
              </w:rPr>
              <w:t>运行的安全性；同时在严格执行国家相关法律、法规</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规范</w:t>
            </w:r>
            <w:r>
              <w:rPr>
                <w:rFonts w:hint="eastAsia" w:cs="Times New Roman"/>
                <w:color w:val="auto"/>
                <w:kern w:val="0"/>
                <w:sz w:val="24"/>
                <w:highlight w:val="none"/>
                <w:lang w:val="en-US" w:eastAsia="zh-CN"/>
              </w:rPr>
              <w:t>和标准</w:t>
            </w:r>
            <w:r>
              <w:rPr>
                <w:rFonts w:hint="default" w:ascii="Times New Roman" w:hAnsi="Times New Roman" w:eastAsia="宋体" w:cs="Times New Roman"/>
                <w:color w:val="auto"/>
                <w:kern w:val="0"/>
                <w:sz w:val="24"/>
                <w:highlight w:val="none"/>
              </w:rPr>
              <w:t>，</w:t>
            </w:r>
            <w:r>
              <w:rPr>
                <w:rFonts w:hint="eastAsia" w:cs="Times New Roman"/>
                <w:color w:val="auto"/>
                <w:kern w:val="0"/>
                <w:sz w:val="24"/>
                <w:highlight w:val="none"/>
                <w:lang w:val="en-US" w:eastAsia="zh-CN"/>
              </w:rPr>
              <w:t>严格</w:t>
            </w:r>
            <w:r>
              <w:rPr>
                <w:rFonts w:hint="default" w:ascii="Times New Roman" w:hAnsi="Times New Roman" w:eastAsia="宋体" w:cs="Times New Roman"/>
                <w:color w:val="auto"/>
                <w:kern w:val="0"/>
                <w:sz w:val="24"/>
                <w:highlight w:val="none"/>
              </w:rPr>
              <w:t>按相关操作规章操作的前提下，通过采用相应的控制措施后，本项目环境风险可控。本项目环境风险简单分析内容表见下表。</w:t>
            </w:r>
          </w:p>
          <w:p w14:paraId="108E83FA">
            <w:pPr>
              <w:numPr>
                <w:ilvl w:val="0"/>
                <w:numId w:val="32"/>
              </w:numPr>
              <w:adjustRightInd w:val="0"/>
              <w:spacing w:line="360" w:lineRule="auto"/>
              <w:ind w:left="425" w:leftChars="0" w:hanging="425" w:firstLineChars="0"/>
              <w:jc w:val="center"/>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color w:val="auto"/>
                <w:sz w:val="24"/>
                <w:highlight w:val="none"/>
              </w:rPr>
              <w:t>建设</w:t>
            </w:r>
            <w:r>
              <w:rPr>
                <w:rFonts w:hint="default" w:ascii="Times New Roman" w:hAnsi="Times New Roman" w:eastAsia="宋体" w:cs="Times New Roman"/>
                <w:b/>
                <w:bCs/>
                <w:color w:val="auto"/>
                <w:kern w:val="0"/>
                <w:sz w:val="24"/>
                <w:highlight w:val="none"/>
              </w:rPr>
              <w:t>项目环境风险简单分析内容表</w:t>
            </w:r>
          </w:p>
          <w:tbl>
            <w:tblPr>
              <w:tblStyle w:val="50"/>
              <w:tblW w:w="7599"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2117"/>
              <w:gridCol w:w="666"/>
              <w:gridCol w:w="2089"/>
              <w:gridCol w:w="564"/>
              <w:gridCol w:w="2163"/>
            </w:tblGrid>
            <w:tr w14:paraId="7FFB0CD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37" w:hRule="atLeast"/>
                <w:jc w:val="center"/>
              </w:trPr>
              <w:tc>
                <w:tcPr>
                  <w:tcW w:w="2117" w:type="dxa"/>
                  <w:tcBorders>
                    <w:tl2br w:val="nil"/>
                    <w:tr2bl w:val="nil"/>
                  </w:tcBorders>
                  <w:vAlign w:val="center"/>
                </w:tcPr>
                <w:p w14:paraId="6C1B6770">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建设项目名称</w:t>
                  </w:r>
                </w:p>
              </w:tc>
              <w:tc>
                <w:tcPr>
                  <w:tcW w:w="5482" w:type="dxa"/>
                  <w:gridSpan w:val="4"/>
                  <w:tcBorders>
                    <w:tl2br w:val="nil"/>
                    <w:tr2bl w:val="nil"/>
                  </w:tcBorders>
                  <w:vAlign w:val="center"/>
                </w:tcPr>
                <w:p w14:paraId="71E16A55">
                  <w:pPr>
                    <w:snapToGrid w:val="0"/>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美添辰检测实验室迁建项目</w:t>
                  </w:r>
                </w:p>
              </w:tc>
            </w:tr>
            <w:tr w14:paraId="48FC6AC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2117" w:type="dxa"/>
                  <w:tcBorders>
                    <w:tl2br w:val="nil"/>
                    <w:tr2bl w:val="nil"/>
                  </w:tcBorders>
                  <w:vAlign w:val="center"/>
                </w:tcPr>
                <w:p w14:paraId="5DCE80A3">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建设地点</w:t>
                  </w:r>
                </w:p>
              </w:tc>
              <w:tc>
                <w:tcPr>
                  <w:tcW w:w="5482" w:type="dxa"/>
                  <w:gridSpan w:val="4"/>
                  <w:tcBorders>
                    <w:tl2br w:val="nil"/>
                    <w:tr2bl w:val="nil"/>
                  </w:tcBorders>
                  <w:vAlign w:val="center"/>
                </w:tcPr>
                <w:p w14:paraId="3D39ED7A">
                  <w:pPr>
                    <w:snapToGrid w:val="0"/>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北京经济技术开发区环科中路2号院11号楼B单元</w:t>
                  </w:r>
                </w:p>
              </w:tc>
            </w:tr>
            <w:tr w14:paraId="33E81BF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29" w:hRule="atLeast"/>
                <w:jc w:val="center"/>
              </w:trPr>
              <w:tc>
                <w:tcPr>
                  <w:tcW w:w="2117" w:type="dxa"/>
                  <w:tcBorders>
                    <w:tl2br w:val="nil"/>
                    <w:tr2bl w:val="nil"/>
                  </w:tcBorders>
                  <w:vAlign w:val="center"/>
                </w:tcPr>
                <w:p w14:paraId="0510BA63">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地理坐标</w:t>
                  </w:r>
                </w:p>
              </w:tc>
              <w:tc>
                <w:tcPr>
                  <w:tcW w:w="666" w:type="dxa"/>
                  <w:tcBorders>
                    <w:tl2br w:val="nil"/>
                    <w:tr2bl w:val="nil"/>
                  </w:tcBorders>
                  <w:vAlign w:val="center"/>
                </w:tcPr>
                <w:p w14:paraId="6B0882C0">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经度</w:t>
                  </w:r>
                </w:p>
              </w:tc>
              <w:tc>
                <w:tcPr>
                  <w:tcW w:w="2089" w:type="dxa"/>
                  <w:tcBorders>
                    <w:tl2br w:val="nil"/>
                    <w:tr2bl w:val="nil"/>
                  </w:tcBorders>
                  <w:vAlign w:val="center"/>
                </w:tcPr>
                <w:p w14:paraId="5CF0CBFA">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东经</w:t>
                  </w:r>
                  <w:r>
                    <w:rPr>
                      <w:rFonts w:hint="eastAsia" w:cs="Times New Roman"/>
                      <w:color w:val="auto"/>
                      <w:szCs w:val="21"/>
                      <w:highlight w:val="none"/>
                      <w:lang w:val="en-US" w:eastAsia="zh-CN"/>
                    </w:rPr>
                    <w:t>116.554075</w:t>
                  </w:r>
                  <w:r>
                    <w:rPr>
                      <w:rFonts w:hint="eastAsia" w:cs="Times New Roman"/>
                      <w:color w:val="auto"/>
                      <w:sz w:val="28"/>
                      <w:szCs w:val="28"/>
                      <w:highlight w:val="none"/>
                      <w:vertAlign w:val="superscript"/>
                      <w:lang w:val="en-US" w:eastAsia="zh-CN"/>
                    </w:rPr>
                    <w:t>。</w:t>
                  </w:r>
                </w:p>
              </w:tc>
              <w:tc>
                <w:tcPr>
                  <w:tcW w:w="564" w:type="dxa"/>
                  <w:tcBorders>
                    <w:tl2br w:val="nil"/>
                    <w:tr2bl w:val="nil"/>
                  </w:tcBorders>
                  <w:vAlign w:val="center"/>
                </w:tcPr>
                <w:p w14:paraId="74EF9973">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纬度</w:t>
                  </w:r>
                </w:p>
              </w:tc>
              <w:tc>
                <w:tcPr>
                  <w:tcW w:w="2163" w:type="dxa"/>
                  <w:tcBorders>
                    <w:tl2br w:val="nil"/>
                    <w:tr2bl w:val="nil"/>
                  </w:tcBorders>
                  <w:vAlign w:val="center"/>
                </w:tcPr>
                <w:p w14:paraId="2E6D3D63">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北纬39</w:t>
                  </w:r>
                  <w:r>
                    <w:rPr>
                      <w:rFonts w:hint="eastAsia" w:cs="Times New Roman"/>
                      <w:color w:val="auto"/>
                      <w:szCs w:val="21"/>
                      <w:highlight w:val="none"/>
                      <w:lang w:val="en-US" w:eastAsia="zh-CN"/>
                    </w:rPr>
                    <w:t>.743387</w:t>
                  </w:r>
                  <w:r>
                    <w:rPr>
                      <w:rFonts w:hint="eastAsia" w:cs="Times New Roman"/>
                      <w:color w:val="auto"/>
                      <w:sz w:val="28"/>
                      <w:szCs w:val="28"/>
                      <w:highlight w:val="none"/>
                      <w:vertAlign w:val="superscript"/>
                      <w:lang w:val="en-US" w:eastAsia="zh-CN"/>
                    </w:rPr>
                    <w:t>。</w:t>
                  </w:r>
                </w:p>
              </w:tc>
            </w:tr>
            <w:tr w14:paraId="1EF986B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56" w:hRule="atLeast"/>
                <w:jc w:val="center"/>
              </w:trPr>
              <w:tc>
                <w:tcPr>
                  <w:tcW w:w="2117" w:type="dxa"/>
                  <w:tcBorders>
                    <w:tl2br w:val="nil"/>
                    <w:tr2bl w:val="nil"/>
                  </w:tcBorders>
                  <w:vAlign w:val="center"/>
                </w:tcPr>
                <w:p w14:paraId="79BA2A5C">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主要危险物质及分布</w:t>
                  </w:r>
                </w:p>
              </w:tc>
              <w:tc>
                <w:tcPr>
                  <w:tcW w:w="5482" w:type="dxa"/>
                  <w:gridSpan w:val="4"/>
                  <w:tcBorders>
                    <w:tl2br w:val="nil"/>
                    <w:tr2bl w:val="nil"/>
                  </w:tcBorders>
                  <w:vAlign w:val="center"/>
                </w:tcPr>
                <w:p w14:paraId="0591A3B5">
                  <w:pPr>
                    <w:snapToGrid w:val="0"/>
                    <w:jc w:val="left"/>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试剂室、易制毒制爆室贮存的危险化学品，</w:t>
                  </w:r>
                  <w:r>
                    <w:rPr>
                      <w:rFonts w:hint="default" w:ascii="Times New Roman" w:hAnsi="Times New Roman" w:eastAsia="宋体" w:cs="Times New Roman"/>
                      <w:color w:val="auto"/>
                      <w:szCs w:val="21"/>
                      <w:highlight w:val="none"/>
                      <w:lang w:val="en-US" w:eastAsia="zh-CN"/>
                    </w:rPr>
                    <w:t>危险废物暂存间贮存的危险废物。</w:t>
                  </w:r>
                </w:p>
              </w:tc>
            </w:tr>
            <w:tr w14:paraId="3F698D0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60" w:hRule="atLeast"/>
                <w:jc w:val="center"/>
              </w:trPr>
              <w:tc>
                <w:tcPr>
                  <w:tcW w:w="2117" w:type="dxa"/>
                  <w:tcBorders>
                    <w:tl2br w:val="nil"/>
                    <w:tr2bl w:val="nil"/>
                  </w:tcBorders>
                  <w:vAlign w:val="center"/>
                </w:tcPr>
                <w:p w14:paraId="407FA49D">
                  <w:pPr>
                    <w:snapToGrid w:val="0"/>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环境影响途径及危害后果（大气、地表水、地下水）</w:t>
                  </w:r>
                </w:p>
              </w:tc>
              <w:tc>
                <w:tcPr>
                  <w:tcW w:w="5482" w:type="dxa"/>
                  <w:gridSpan w:val="4"/>
                  <w:tcBorders>
                    <w:tl2br w:val="nil"/>
                    <w:tr2bl w:val="nil"/>
                  </w:tcBorders>
                  <w:vAlign w:val="center"/>
                </w:tcPr>
                <w:p w14:paraId="6D5A8B01">
                  <w:pPr>
                    <w:snapToGrid w:val="0"/>
                    <w:jc w:val="left"/>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影响途径：泄漏后挥发进入大气环境或者火灾事故时伴生烟雾进入大气环境，次生的消防废水进入水环境</w:t>
                  </w:r>
                  <w:r>
                    <w:rPr>
                      <w:rFonts w:hint="eastAsia" w:cs="Times New Roman"/>
                      <w:color w:val="auto"/>
                      <w:szCs w:val="21"/>
                      <w:highlight w:val="none"/>
                      <w:lang w:val="en-US" w:eastAsia="zh-CN"/>
                    </w:rPr>
                    <w:t>污染地表水，污染物质进入土壤或渗入地下污染土壤、地下水</w:t>
                  </w:r>
                  <w:r>
                    <w:rPr>
                      <w:rFonts w:hint="default" w:ascii="Times New Roman" w:hAnsi="Times New Roman" w:eastAsia="宋体" w:cs="Times New Roman"/>
                      <w:color w:val="auto"/>
                      <w:szCs w:val="21"/>
                      <w:highlight w:val="none"/>
                    </w:rPr>
                    <w:t>等。</w:t>
                  </w:r>
                </w:p>
                <w:p w14:paraId="50B600E2">
                  <w:pPr>
                    <w:snapToGrid w:val="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危害后果：造成环境空气、地表水</w:t>
                  </w:r>
                  <w:r>
                    <w:rPr>
                      <w:rFonts w:hint="eastAsia" w:cs="Times New Roman"/>
                      <w:color w:val="auto"/>
                      <w:szCs w:val="21"/>
                      <w:highlight w:val="none"/>
                      <w:lang w:eastAsia="zh-CN"/>
                    </w:rPr>
                    <w:t>、</w:t>
                  </w:r>
                  <w:r>
                    <w:rPr>
                      <w:rFonts w:hint="eastAsia" w:cs="Times New Roman"/>
                      <w:color w:val="auto"/>
                      <w:szCs w:val="21"/>
                      <w:highlight w:val="none"/>
                      <w:lang w:val="en-US" w:eastAsia="zh-CN"/>
                    </w:rPr>
                    <w:t>土壤、地下水</w:t>
                  </w:r>
                  <w:r>
                    <w:rPr>
                      <w:rFonts w:hint="default" w:ascii="Times New Roman" w:hAnsi="Times New Roman" w:eastAsia="宋体" w:cs="Times New Roman"/>
                      <w:color w:val="auto"/>
                      <w:szCs w:val="21"/>
                      <w:highlight w:val="none"/>
                    </w:rPr>
                    <w:t>等污染。</w:t>
                  </w:r>
                </w:p>
              </w:tc>
            </w:tr>
            <w:tr w14:paraId="38ECE06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60" w:hRule="atLeast"/>
                <w:jc w:val="center"/>
              </w:trPr>
              <w:tc>
                <w:tcPr>
                  <w:tcW w:w="2117" w:type="dxa"/>
                  <w:tcBorders>
                    <w:tl2br w:val="nil"/>
                    <w:tr2bl w:val="nil"/>
                  </w:tcBorders>
                  <w:shd w:val="clear" w:color="auto" w:fill="auto"/>
                  <w:vAlign w:val="center"/>
                </w:tcPr>
                <w:p w14:paraId="2220B6BD">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2"/>
                      <w:sz w:val="21"/>
                      <w:szCs w:val="24"/>
                      <w:highlight w:val="none"/>
                      <w:lang w:val="en-US" w:eastAsia="zh-CN" w:bidi="ar-SA"/>
                    </w:rPr>
                  </w:pPr>
                  <w:r>
                    <w:rPr>
                      <w:rFonts w:hint="eastAsia" w:ascii="Times New Roman" w:hAnsi="Times New Roman" w:eastAsia="宋体"/>
                      <w:b/>
                      <w:bCs/>
                      <w:color w:val="auto"/>
                      <w:highlight w:val="none"/>
                      <w:lang w:val="en-US"/>
                    </w:rPr>
                    <w:t>风险防范措施</w:t>
                  </w:r>
                </w:p>
              </w:tc>
              <w:tc>
                <w:tcPr>
                  <w:tcW w:w="5482" w:type="dxa"/>
                  <w:gridSpan w:val="4"/>
                  <w:tcBorders>
                    <w:tl2br w:val="nil"/>
                    <w:tr2bl w:val="nil"/>
                  </w:tcBorders>
                  <w:shd w:val="clear" w:color="auto" w:fill="auto"/>
                  <w:vAlign w:val="center"/>
                </w:tcPr>
                <w:p w14:paraId="52DA4C3F">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eastAsia" w:ascii="Times New Roman" w:hAnsi="Times New Roman" w:eastAsia="宋体"/>
                      <w:b w:val="0"/>
                      <w:bCs w:val="0"/>
                      <w:color w:val="auto"/>
                      <w:highlight w:val="none"/>
                      <w:lang w:val="en-US" w:eastAsia="zh-CN"/>
                    </w:rPr>
                  </w:pPr>
                  <w:r>
                    <w:rPr>
                      <w:rFonts w:hint="eastAsia"/>
                      <w:b w:val="0"/>
                      <w:bCs w:val="0"/>
                      <w:color w:val="auto"/>
                      <w:highlight w:val="none"/>
                      <w:lang w:val="en-US" w:eastAsia="zh-CN"/>
                    </w:rPr>
                    <w:t>1.</w:t>
                  </w:r>
                  <w:r>
                    <w:rPr>
                      <w:rFonts w:hint="eastAsia" w:ascii="Times New Roman" w:hAnsi="Times New Roman" w:eastAsia="宋体"/>
                      <w:b w:val="0"/>
                      <w:bCs w:val="0"/>
                      <w:color w:val="auto"/>
                      <w:highlight w:val="none"/>
                      <w:lang w:val="en-US" w:eastAsia="zh-CN"/>
                    </w:rPr>
                    <w:t>制定突发环境事故应急预案，并于园区、</w:t>
                  </w:r>
                  <w:r>
                    <w:rPr>
                      <w:rFonts w:hint="eastAsia"/>
                      <w:b w:val="0"/>
                      <w:bCs w:val="0"/>
                      <w:color w:val="auto"/>
                      <w:highlight w:val="none"/>
                      <w:lang w:val="en-US" w:eastAsia="zh-CN"/>
                    </w:rPr>
                    <w:t>地方主管部门</w:t>
                  </w:r>
                  <w:r>
                    <w:rPr>
                      <w:rFonts w:hint="eastAsia" w:ascii="Times New Roman" w:hAnsi="Times New Roman" w:eastAsia="宋体"/>
                      <w:b w:val="0"/>
                      <w:bCs w:val="0"/>
                      <w:color w:val="auto"/>
                      <w:highlight w:val="none"/>
                      <w:lang w:val="en-US" w:eastAsia="zh-CN"/>
                    </w:rPr>
                    <w:t>做好衔接。</w:t>
                  </w:r>
                </w:p>
                <w:p w14:paraId="1DE89E56">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eastAsia"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2.做好</w:t>
                  </w:r>
                  <w:r>
                    <w:rPr>
                      <w:rFonts w:hint="eastAsia"/>
                      <w:b w:val="0"/>
                      <w:bCs w:val="0"/>
                      <w:color w:val="auto"/>
                      <w:highlight w:val="none"/>
                      <w:lang w:val="en-US" w:eastAsia="zh-CN"/>
                    </w:rPr>
                    <w:t>环境安全</w:t>
                  </w:r>
                  <w:r>
                    <w:rPr>
                      <w:rFonts w:hint="eastAsia" w:ascii="Times New Roman" w:hAnsi="Times New Roman" w:eastAsia="宋体"/>
                      <w:b w:val="0"/>
                      <w:bCs w:val="0"/>
                      <w:color w:val="auto"/>
                      <w:highlight w:val="none"/>
                      <w:lang w:val="en-US" w:eastAsia="zh-CN"/>
                    </w:rPr>
                    <w:t>隐患排查，建立隐患排查档案。</w:t>
                  </w:r>
                </w:p>
                <w:p w14:paraId="19A78E69">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eastAsia" w:ascii="Times New Roman" w:hAnsi="Times New Roman" w:eastAsia="宋体"/>
                      <w:b w:val="0"/>
                      <w:bCs w:val="0"/>
                      <w:color w:val="auto"/>
                      <w:highlight w:val="none"/>
                      <w:lang w:val="en-US" w:eastAsia="zh-CN"/>
                    </w:rPr>
                  </w:pPr>
                  <w:r>
                    <w:rPr>
                      <w:rFonts w:hint="eastAsia" w:ascii="Times New Roman" w:hAnsi="Times New Roman" w:eastAsia="宋体"/>
                      <w:b w:val="0"/>
                      <w:bCs w:val="0"/>
                      <w:color w:val="auto"/>
                      <w:highlight w:val="none"/>
                      <w:lang w:val="en-US" w:eastAsia="zh-CN"/>
                    </w:rPr>
                    <w:t>3.加强环境安全培训、教育，提高环境安全意识。</w:t>
                  </w:r>
                </w:p>
                <w:p w14:paraId="71A1C4EB">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left"/>
                    <w:textAlignment w:val="auto"/>
                    <w:rPr>
                      <w:rFonts w:hint="eastAsia"/>
                      <w:b w:val="0"/>
                      <w:bCs w:val="0"/>
                      <w:color w:val="auto"/>
                      <w:highlight w:val="none"/>
                      <w:lang w:val="en-US" w:eastAsia="zh-CN"/>
                    </w:rPr>
                  </w:pPr>
                  <w:r>
                    <w:rPr>
                      <w:rFonts w:hint="eastAsia" w:ascii="Times New Roman" w:hAnsi="Times New Roman" w:eastAsia="宋体"/>
                      <w:b w:val="0"/>
                      <w:bCs w:val="0"/>
                      <w:color w:val="auto"/>
                      <w:highlight w:val="none"/>
                      <w:lang w:val="en-US" w:eastAsia="zh-CN"/>
                    </w:rPr>
                    <w:t>4</w:t>
                  </w:r>
                  <w:r>
                    <w:rPr>
                      <w:rFonts w:hint="eastAsia"/>
                      <w:b w:val="0"/>
                      <w:bCs w:val="0"/>
                      <w:color w:val="auto"/>
                      <w:highlight w:val="none"/>
                      <w:lang w:val="en-US" w:eastAsia="zh-CN"/>
                    </w:rPr>
                    <w:t>.</w:t>
                  </w:r>
                  <w:r>
                    <w:rPr>
                      <w:rFonts w:hint="eastAsia" w:ascii="Times New Roman" w:hAnsi="Times New Roman" w:eastAsia="宋体"/>
                      <w:b w:val="0"/>
                      <w:bCs w:val="0"/>
                      <w:color w:val="auto"/>
                      <w:highlight w:val="none"/>
                      <w:lang w:val="en-US" w:eastAsia="zh-CN"/>
                    </w:rPr>
                    <w:t>健全</w:t>
                  </w:r>
                  <w:r>
                    <w:rPr>
                      <w:rFonts w:hint="default" w:ascii="Times New Roman" w:hAnsi="Times New Roman" w:eastAsia="宋体"/>
                      <w:b w:val="0"/>
                      <w:bCs w:val="0"/>
                      <w:color w:val="auto"/>
                      <w:highlight w:val="none"/>
                      <w:lang w:val="en-US" w:eastAsia="zh-CN"/>
                    </w:rPr>
                    <w:t>安全管理制度</w:t>
                  </w:r>
                  <w:r>
                    <w:rPr>
                      <w:rFonts w:hint="eastAsia" w:ascii="Times New Roman" w:hAnsi="Times New Roman" w:eastAsia="宋体"/>
                      <w:b w:val="0"/>
                      <w:bCs w:val="0"/>
                      <w:color w:val="auto"/>
                      <w:highlight w:val="none"/>
                      <w:lang w:val="en-US" w:eastAsia="zh-CN"/>
                    </w:rPr>
                    <w:t>、</w:t>
                  </w:r>
                  <w:r>
                    <w:rPr>
                      <w:rFonts w:hint="default" w:ascii="Times New Roman" w:hAnsi="Times New Roman" w:eastAsia="宋体"/>
                      <w:b w:val="0"/>
                      <w:bCs w:val="0"/>
                      <w:color w:val="auto"/>
                      <w:highlight w:val="none"/>
                      <w:lang w:val="en-US" w:eastAsia="zh-CN"/>
                    </w:rPr>
                    <w:t>岗位责任制度</w:t>
                  </w:r>
                  <w:r>
                    <w:rPr>
                      <w:rFonts w:hint="eastAsia"/>
                      <w:b w:val="0"/>
                      <w:bCs w:val="0"/>
                      <w:color w:val="auto"/>
                      <w:highlight w:val="none"/>
                      <w:lang w:val="en-US" w:eastAsia="zh-CN"/>
                    </w:rPr>
                    <w:t>，明确各类人员的安全环境执照。</w:t>
                  </w:r>
                </w:p>
                <w:p w14:paraId="17FAAC92">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4"/>
                      <w:lang w:val="en-US" w:eastAsia="zh-CN" w:bidi="ar-SA"/>
                    </w:rPr>
                  </w:pPr>
                  <w:r>
                    <w:rPr>
                      <w:rFonts w:hint="eastAsia"/>
                      <w:b w:val="0"/>
                      <w:bCs w:val="0"/>
                      <w:color w:val="auto"/>
                      <w:highlight w:val="none"/>
                      <w:lang w:val="en-US" w:eastAsia="zh-CN"/>
                    </w:rPr>
                    <w:t>5、建立</w:t>
                  </w:r>
                  <w:r>
                    <w:rPr>
                      <w:rFonts w:hint="eastAsia" w:ascii="Times New Roman" w:hAnsi="Times New Roman" w:eastAsia="宋体"/>
                      <w:b w:val="0"/>
                      <w:bCs w:val="0"/>
                      <w:color w:val="auto"/>
                      <w:highlight w:val="none"/>
                      <w:lang w:val="en-US" w:eastAsia="zh-CN"/>
                    </w:rPr>
                    <w:t>操作规程，</w:t>
                  </w:r>
                  <w:r>
                    <w:rPr>
                      <w:rFonts w:hint="eastAsia"/>
                      <w:b w:val="0"/>
                      <w:bCs w:val="0"/>
                      <w:color w:val="auto"/>
                      <w:highlight w:val="none"/>
                      <w:lang w:val="en-US" w:eastAsia="zh-CN"/>
                    </w:rPr>
                    <w:t>严格按照规程操作，避免操作事故的发生。</w:t>
                  </w:r>
                </w:p>
              </w:tc>
            </w:tr>
          </w:tbl>
          <w:p w14:paraId="02F0AD83">
            <w:pPr>
              <w:numPr>
                <w:ilvl w:val="0"/>
                <w:numId w:val="30"/>
              </w:numPr>
              <w:adjustRightInd w:val="0"/>
              <w:snapToGrid w:val="0"/>
              <w:spacing w:line="360" w:lineRule="auto"/>
              <w:rPr>
                <w:rFonts w:hint="default" w:ascii="Times New Roman" w:hAnsi="Times New Roman" w:eastAsia="宋体" w:cs="Times New Roman"/>
                <w:b/>
                <w:color w:val="auto"/>
                <w:spacing w:val="-4"/>
                <w:kern w:val="0"/>
                <w:sz w:val="24"/>
                <w:highlight w:val="none"/>
              </w:rPr>
            </w:pPr>
            <w:r>
              <w:rPr>
                <w:rFonts w:hint="default" w:ascii="Times New Roman" w:hAnsi="Times New Roman" w:eastAsia="宋体" w:cs="Times New Roman"/>
                <w:b/>
                <w:color w:val="auto"/>
                <w:spacing w:val="-4"/>
                <w:kern w:val="0"/>
                <w:sz w:val="24"/>
                <w:highlight w:val="none"/>
              </w:rPr>
              <w:t>环保投资</w:t>
            </w:r>
          </w:p>
          <w:p w14:paraId="6B949421">
            <w:pPr>
              <w:adjustRightIn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本项目总投资</w:t>
            </w:r>
            <w:r>
              <w:rPr>
                <w:rFonts w:hint="eastAsia" w:cs="Times New Roman"/>
                <w:color w:val="auto"/>
                <w:sz w:val="24"/>
                <w:highlight w:val="none"/>
                <w:lang w:val="en-US" w:eastAsia="zh-CN"/>
              </w:rPr>
              <w:t>1096</w:t>
            </w:r>
            <w:r>
              <w:rPr>
                <w:rFonts w:hint="default" w:ascii="Times New Roman" w:hAnsi="Times New Roman" w:eastAsia="宋体" w:cs="Times New Roman"/>
                <w:color w:val="auto"/>
                <w:sz w:val="24"/>
                <w:highlight w:val="none"/>
              </w:rPr>
              <w:t>万元，其中环保投资</w:t>
            </w:r>
            <w:r>
              <w:rPr>
                <w:rFonts w:hint="eastAsia" w:cs="Times New Roman"/>
                <w:color w:val="auto"/>
                <w:sz w:val="24"/>
                <w:highlight w:val="none"/>
                <w:lang w:val="en-US" w:eastAsia="zh-CN"/>
              </w:rPr>
              <w:t>60</w:t>
            </w:r>
            <w:r>
              <w:rPr>
                <w:rFonts w:hint="default" w:ascii="Times New Roman" w:hAnsi="Times New Roman" w:eastAsia="宋体" w:cs="Times New Roman"/>
                <w:color w:val="auto"/>
                <w:sz w:val="24"/>
                <w:highlight w:val="none"/>
              </w:rPr>
              <w:t>万元，占总投资</w:t>
            </w:r>
            <w:r>
              <w:rPr>
                <w:rFonts w:hint="eastAsia" w:cs="Times New Roman"/>
                <w:color w:val="auto"/>
                <w:sz w:val="24"/>
                <w:highlight w:val="none"/>
                <w:lang w:val="en-US" w:eastAsia="zh-CN"/>
              </w:rPr>
              <w:t>的5.47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。环保投资清单见下表。</w:t>
            </w:r>
          </w:p>
          <w:p w14:paraId="1B3E36B8">
            <w:pPr>
              <w:numPr>
                <w:ilvl w:val="0"/>
                <w:numId w:val="32"/>
              </w:numPr>
              <w:adjustRightInd w:val="0"/>
              <w:spacing w:line="360" w:lineRule="auto"/>
              <w:ind w:left="425" w:leftChars="0" w:hanging="425" w:firstLineChars="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color w:val="auto"/>
                <w:sz w:val="24"/>
                <w:highlight w:val="none"/>
              </w:rPr>
              <w:t>环保</w:t>
            </w:r>
            <w:r>
              <w:rPr>
                <w:rFonts w:hint="default" w:ascii="Times New Roman" w:hAnsi="Times New Roman" w:eastAsia="宋体" w:cs="Times New Roman"/>
                <w:b/>
                <w:bCs/>
                <w:color w:val="auto"/>
                <w:sz w:val="24"/>
                <w:highlight w:val="none"/>
              </w:rPr>
              <w:t>设施及投资清单</w:t>
            </w:r>
          </w:p>
          <w:tbl>
            <w:tblPr>
              <w:tblStyle w:val="23"/>
              <w:tblW w:w="761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969"/>
              <w:gridCol w:w="2639"/>
              <w:gridCol w:w="2288"/>
            </w:tblGrid>
            <w:tr w14:paraId="57F228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722" w:type="dxa"/>
                  <w:tcBorders>
                    <w:tl2br w:val="nil"/>
                    <w:tr2bl w:val="nil"/>
                  </w:tcBorders>
                  <w:vAlign w:val="center"/>
                </w:tcPr>
                <w:p w14:paraId="133759A1">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序号</w:t>
                  </w:r>
                </w:p>
              </w:tc>
              <w:tc>
                <w:tcPr>
                  <w:tcW w:w="1969" w:type="dxa"/>
                  <w:tcBorders>
                    <w:tl2br w:val="nil"/>
                    <w:tr2bl w:val="nil"/>
                  </w:tcBorders>
                  <w:vAlign w:val="center"/>
                </w:tcPr>
                <w:p w14:paraId="43753253">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项目</w:t>
                  </w:r>
                </w:p>
              </w:tc>
              <w:tc>
                <w:tcPr>
                  <w:tcW w:w="2639" w:type="dxa"/>
                  <w:tcBorders>
                    <w:tl2br w:val="nil"/>
                    <w:tr2bl w:val="nil"/>
                  </w:tcBorders>
                  <w:vAlign w:val="center"/>
                </w:tcPr>
                <w:p w14:paraId="51605AC8">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治理措施</w:t>
                  </w:r>
                </w:p>
              </w:tc>
              <w:tc>
                <w:tcPr>
                  <w:tcW w:w="2288" w:type="dxa"/>
                  <w:tcBorders>
                    <w:tl2br w:val="nil"/>
                    <w:tr2bl w:val="nil"/>
                  </w:tcBorders>
                  <w:vAlign w:val="center"/>
                </w:tcPr>
                <w:p w14:paraId="78EBE64E">
                  <w:pPr>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投资金额（万元）</w:t>
                  </w:r>
                </w:p>
              </w:tc>
            </w:tr>
            <w:tr w14:paraId="18AC4C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722" w:type="dxa"/>
                  <w:tcBorders>
                    <w:tl2br w:val="nil"/>
                    <w:tr2bl w:val="nil"/>
                  </w:tcBorders>
                  <w:vAlign w:val="center"/>
                </w:tcPr>
                <w:p w14:paraId="4EE5C003">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969" w:type="dxa"/>
                  <w:tcBorders>
                    <w:tl2br w:val="nil"/>
                    <w:tr2bl w:val="nil"/>
                  </w:tcBorders>
                  <w:vAlign w:val="center"/>
                </w:tcPr>
                <w:p w14:paraId="3DB1883F">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噪声污染防治</w:t>
                  </w:r>
                </w:p>
              </w:tc>
              <w:tc>
                <w:tcPr>
                  <w:tcW w:w="2639" w:type="dxa"/>
                  <w:tcBorders>
                    <w:tl2br w:val="nil"/>
                    <w:tr2bl w:val="nil"/>
                  </w:tcBorders>
                  <w:vAlign w:val="center"/>
                </w:tcPr>
                <w:p w14:paraId="4429FEBA">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基础减振</w:t>
                  </w:r>
                </w:p>
              </w:tc>
              <w:tc>
                <w:tcPr>
                  <w:tcW w:w="2288" w:type="dxa"/>
                  <w:tcBorders>
                    <w:tl2br w:val="nil"/>
                    <w:tr2bl w:val="nil"/>
                  </w:tcBorders>
                  <w:vAlign w:val="center"/>
                </w:tcPr>
                <w:p w14:paraId="78E081A2">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r>
            <w:tr w14:paraId="59F7EA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722" w:type="dxa"/>
                  <w:tcBorders>
                    <w:tl2br w:val="nil"/>
                    <w:tr2bl w:val="nil"/>
                  </w:tcBorders>
                  <w:shd w:val="clear" w:color="auto" w:fill="auto"/>
                  <w:vAlign w:val="center"/>
                </w:tcPr>
                <w:p w14:paraId="4513EEC8">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969" w:type="dxa"/>
                  <w:tcBorders>
                    <w:tl2br w:val="nil"/>
                    <w:tr2bl w:val="nil"/>
                  </w:tcBorders>
                  <w:vAlign w:val="center"/>
                </w:tcPr>
                <w:p w14:paraId="3DF55EDC">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水污染物防治</w:t>
                  </w:r>
                </w:p>
              </w:tc>
              <w:tc>
                <w:tcPr>
                  <w:tcW w:w="2639" w:type="dxa"/>
                  <w:tcBorders>
                    <w:tl2br w:val="nil"/>
                    <w:tr2bl w:val="nil"/>
                  </w:tcBorders>
                  <w:vAlign w:val="center"/>
                </w:tcPr>
                <w:p w14:paraId="492BBD60">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污水管道铺设、地面防渗</w:t>
                  </w:r>
                </w:p>
              </w:tc>
              <w:tc>
                <w:tcPr>
                  <w:tcW w:w="2288" w:type="dxa"/>
                  <w:tcBorders>
                    <w:tl2br w:val="nil"/>
                    <w:tr2bl w:val="nil"/>
                  </w:tcBorders>
                  <w:vAlign w:val="center"/>
                </w:tcPr>
                <w:p w14:paraId="29D5DA99">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r>
            <w:tr w14:paraId="131276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22" w:type="dxa"/>
                  <w:tcBorders>
                    <w:tl2br w:val="nil"/>
                    <w:tr2bl w:val="nil"/>
                  </w:tcBorders>
                  <w:shd w:val="clear" w:color="auto" w:fill="auto"/>
                  <w:vAlign w:val="center"/>
                </w:tcPr>
                <w:p w14:paraId="279B81A3">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1969" w:type="dxa"/>
                  <w:tcBorders>
                    <w:tl2br w:val="nil"/>
                    <w:tr2bl w:val="nil"/>
                  </w:tcBorders>
                  <w:vAlign w:val="center"/>
                </w:tcPr>
                <w:p w14:paraId="54644B84">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大气污染物防治</w:t>
                  </w:r>
                </w:p>
              </w:tc>
              <w:tc>
                <w:tcPr>
                  <w:tcW w:w="2639" w:type="dxa"/>
                  <w:tcBorders>
                    <w:tl2br w:val="nil"/>
                    <w:tr2bl w:val="nil"/>
                  </w:tcBorders>
                  <w:vAlign w:val="center"/>
                </w:tcPr>
                <w:p w14:paraId="696C10D3">
                  <w:pPr>
                    <w:snapToGrid w:val="0"/>
                    <w:jc w:val="center"/>
                    <w:rPr>
                      <w:rFonts w:hint="default" w:ascii="Times New Roman" w:hAnsi="Times New Roman" w:eastAsia="宋体" w:cs="Times New Roman"/>
                      <w:color w:val="auto"/>
                      <w:szCs w:val="21"/>
                      <w:highlight w:val="none"/>
                      <w:lang w:val="en-US"/>
                    </w:rPr>
                  </w:pPr>
                  <w:r>
                    <w:rPr>
                      <w:rFonts w:hint="eastAsia" w:cs="Times New Roman"/>
                      <w:color w:val="auto"/>
                      <w:szCs w:val="21"/>
                      <w:highlight w:val="none"/>
                      <w:lang w:val="en-US" w:eastAsia="zh-CN"/>
                    </w:rPr>
                    <w:t>废气收集设施</w:t>
                  </w:r>
                </w:p>
              </w:tc>
              <w:tc>
                <w:tcPr>
                  <w:tcW w:w="2288" w:type="dxa"/>
                  <w:tcBorders>
                    <w:tl2br w:val="nil"/>
                    <w:tr2bl w:val="nil"/>
                  </w:tcBorders>
                  <w:vAlign w:val="center"/>
                </w:tcPr>
                <w:p w14:paraId="20853AD4">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w:t>
                  </w:r>
                </w:p>
              </w:tc>
            </w:tr>
            <w:tr w14:paraId="2E1EDC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22" w:type="dxa"/>
                  <w:tcBorders>
                    <w:tl2br w:val="nil"/>
                    <w:tr2bl w:val="nil"/>
                  </w:tcBorders>
                  <w:shd w:val="clear" w:color="auto" w:fill="auto"/>
                  <w:vAlign w:val="center"/>
                </w:tcPr>
                <w:p w14:paraId="578660B2">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4</w:t>
                  </w:r>
                </w:p>
              </w:tc>
              <w:tc>
                <w:tcPr>
                  <w:tcW w:w="1969" w:type="dxa"/>
                  <w:tcBorders>
                    <w:tl2br w:val="nil"/>
                    <w:tr2bl w:val="nil"/>
                  </w:tcBorders>
                  <w:vAlign w:val="center"/>
                </w:tcPr>
                <w:p w14:paraId="0C19CC80">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固体废物防治</w:t>
                  </w:r>
                </w:p>
              </w:tc>
              <w:tc>
                <w:tcPr>
                  <w:tcW w:w="2639" w:type="dxa"/>
                  <w:tcBorders>
                    <w:tl2br w:val="nil"/>
                    <w:tr2bl w:val="nil"/>
                  </w:tcBorders>
                  <w:vAlign w:val="center"/>
                </w:tcPr>
                <w:p w14:paraId="2D1762CA">
                  <w:pPr>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规范的危险废物暂存间、一般固废间</w:t>
                  </w:r>
                </w:p>
              </w:tc>
              <w:tc>
                <w:tcPr>
                  <w:tcW w:w="2288" w:type="dxa"/>
                  <w:tcBorders>
                    <w:tl2br w:val="nil"/>
                    <w:tr2bl w:val="nil"/>
                  </w:tcBorders>
                  <w:vAlign w:val="center"/>
                </w:tcPr>
                <w:p w14:paraId="772933B0">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r>
            <w:tr w14:paraId="5B7F1C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22" w:type="dxa"/>
                  <w:tcBorders>
                    <w:tl2br w:val="nil"/>
                    <w:tr2bl w:val="nil"/>
                  </w:tcBorders>
                  <w:shd w:val="clear" w:color="auto" w:fill="auto"/>
                  <w:vAlign w:val="center"/>
                </w:tcPr>
                <w:p w14:paraId="0F60E3E4">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w:t>
                  </w:r>
                </w:p>
              </w:tc>
              <w:tc>
                <w:tcPr>
                  <w:tcW w:w="1969" w:type="dxa"/>
                  <w:tcBorders>
                    <w:tl2br w:val="nil"/>
                    <w:tr2bl w:val="nil"/>
                  </w:tcBorders>
                  <w:vAlign w:val="center"/>
                </w:tcPr>
                <w:p w14:paraId="19926EB8">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环境应急防范</w:t>
                  </w:r>
                </w:p>
              </w:tc>
              <w:tc>
                <w:tcPr>
                  <w:tcW w:w="2639" w:type="dxa"/>
                  <w:tcBorders>
                    <w:tl2br w:val="nil"/>
                    <w:tr2bl w:val="nil"/>
                  </w:tcBorders>
                  <w:vAlign w:val="center"/>
                </w:tcPr>
                <w:p w14:paraId="7D34D5D9">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应急预案、应急物资</w:t>
                  </w:r>
                </w:p>
              </w:tc>
              <w:tc>
                <w:tcPr>
                  <w:tcW w:w="2288" w:type="dxa"/>
                  <w:tcBorders>
                    <w:tl2br w:val="nil"/>
                    <w:tr2bl w:val="nil"/>
                  </w:tcBorders>
                  <w:vAlign w:val="center"/>
                </w:tcPr>
                <w:p w14:paraId="2E289698">
                  <w:pPr>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5</w:t>
                  </w:r>
                </w:p>
              </w:tc>
            </w:tr>
            <w:tr w14:paraId="0050DC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691" w:type="dxa"/>
                  <w:gridSpan w:val="2"/>
                  <w:tcBorders>
                    <w:tl2br w:val="nil"/>
                    <w:tr2bl w:val="nil"/>
                  </w:tcBorders>
                  <w:vAlign w:val="center"/>
                </w:tcPr>
                <w:p w14:paraId="5D8BF5F0">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总计</w:t>
                  </w:r>
                </w:p>
              </w:tc>
              <w:tc>
                <w:tcPr>
                  <w:tcW w:w="2639" w:type="dxa"/>
                  <w:tcBorders>
                    <w:tl2br w:val="nil"/>
                    <w:tr2bl w:val="nil"/>
                  </w:tcBorders>
                  <w:vAlign w:val="center"/>
                </w:tcPr>
                <w:p w14:paraId="7BFA1528">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288" w:type="dxa"/>
                  <w:tcBorders>
                    <w:tl2br w:val="nil"/>
                    <w:tr2bl w:val="nil"/>
                  </w:tcBorders>
                  <w:vAlign w:val="center"/>
                </w:tcPr>
                <w:p w14:paraId="59C2BD0D">
                  <w:pPr>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60</w:t>
                  </w:r>
                </w:p>
              </w:tc>
            </w:tr>
          </w:tbl>
          <w:p w14:paraId="4A34AA4D">
            <w:pPr>
              <w:widowControl/>
              <w:numPr>
                <w:ilvl w:val="0"/>
                <w:numId w:val="0"/>
              </w:numPr>
              <w:spacing w:line="360" w:lineRule="auto"/>
              <w:ind w:firstLine="480" w:firstLineChars="200"/>
              <w:jc w:val="left"/>
              <w:rPr>
                <w:rFonts w:hint="default" w:ascii="Times New Roman" w:hAnsi="Times New Roman" w:eastAsia="宋体" w:cs="Times New Roman"/>
                <w:color w:val="auto"/>
                <w:sz w:val="24"/>
                <w:highlight w:val="none"/>
                <w:lang w:val="en-US" w:eastAsia="zh-CN"/>
              </w:rPr>
            </w:pPr>
          </w:p>
        </w:tc>
      </w:tr>
    </w:tbl>
    <w:p w14:paraId="4AFAE51A">
      <w:pPr>
        <w:widowControl/>
        <w:jc w:val="left"/>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br w:type="page"/>
      </w:r>
    </w:p>
    <w:p w14:paraId="1633F30F">
      <w:pPr>
        <w:pStyle w:val="2"/>
        <w:jc w:val="center"/>
        <w:rPr>
          <w:rFonts w:hint="default" w:ascii="Times New Roman" w:hAnsi="Times New Roman" w:eastAsia="宋体" w:cs="Times New Roman"/>
          <w:b w:val="0"/>
          <w:bCs w:val="0"/>
          <w:color w:val="auto"/>
          <w:sz w:val="36"/>
          <w:szCs w:val="36"/>
          <w:highlight w:val="none"/>
        </w:rPr>
      </w:pPr>
      <w:r>
        <w:rPr>
          <w:rFonts w:hint="default" w:ascii="Times New Roman" w:hAnsi="Times New Roman" w:eastAsia="宋体" w:cs="Times New Roman"/>
          <w:b w:val="0"/>
          <w:bCs w:val="0"/>
          <w:color w:val="auto"/>
          <w:sz w:val="36"/>
          <w:szCs w:val="36"/>
          <w:highlight w:val="none"/>
        </w:rPr>
        <w:t>五、</w:t>
      </w:r>
      <w:bookmarkStart w:id="1" w:name="_Hlk54167917"/>
      <w:r>
        <w:rPr>
          <w:rFonts w:hint="default" w:ascii="Times New Roman" w:hAnsi="Times New Roman" w:eastAsia="宋体" w:cs="Times New Roman"/>
          <w:b w:val="0"/>
          <w:bCs w:val="0"/>
          <w:color w:val="auto"/>
          <w:sz w:val="36"/>
          <w:szCs w:val="36"/>
          <w:highlight w:val="none"/>
        </w:rPr>
        <w:t>环境保护措施监督检查清单</w:t>
      </w:r>
      <w:bookmarkEnd w:id="1"/>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229"/>
        <w:gridCol w:w="1419"/>
        <w:gridCol w:w="2080"/>
        <w:gridCol w:w="2310"/>
        <w:gridCol w:w="1762"/>
      </w:tblGrid>
      <w:tr w14:paraId="1D40B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513" w:hRule="atLeast"/>
          <w:jc w:val="center"/>
        </w:trPr>
        <w:tc>
          <w:tcPr>
            <w:tcW w:w="1229" w:type="dxa"/>
            <w:tcBorders>
              <w:tl2br w:val="single" w:color="auto" w:sz="4" w:space="0"/>
            </w:tcBorders>
          </w:tcPr>
          <w:p w14:paraId="40A66925">
            <w:pPr>
              <w:adjustRightInd w:val="0"/>
              <w:snapToGrid w:val="0"/>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内容</w:t>
            </w:r>
          </w:p>
          <w:p w14:paraId="18C88CF6">
            <w:pPr>
              <w:adjustRightInd w:val="0"/>
              <w:snapToGrid w:val="0"/>
              <w:rPr>
                <w:rFonts w:hint="default" w:ascii="Times New Roman" w:hAnsi="Times New Roman" w:eastAsia="宋体" w:cs="Times New Roman"/>
                <w:b/>
                <w:color w:val="auto"/>
                <w:sz w:val="24"/>
                <w:highlight w:val="none"/>
              </w:rPr>
            </w:pPr>
          </w:p>
          <w:p w14:paraId="4B1C8C87">
            <w:pPr>
              <w:adjustRightInd w:val="0"/>
              <w:snapToGrid w:val="0"/>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要素</w:t>
            </w:r>
          </w:p>
        </w:tc>
        <w:tc>
          <w:tcPr>
            <w:tcW w:w="1419" w:type="dxa"/>
            <w:vAlign w:val="center"/>
          </w:tcPr>
          <w:p w14:paraId="2147F9F3">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排放口(编号、名称)/污染源</w:t>
            </w:r>
          </w:p>
        </w:tc>
        <w:tc>
          <w:tcPr>
            <w:tcW w:w="2080" w:type="dxa"/>
            <w:vAlign w:val="center"/>
          </w:tcPr>
          <w:p w14:paraId="614CB020">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污染物项目</w:t>
            </w:r>
          </w:p>
        </w:tc>
        <w:tc>
          <w:tcPr>
            <w:tcW w:w="2310" w:type="dxa"/>
            <w:vAlign w:val="center"/>
          </w:tcPr>
          <w:p w14:paraId="560D9517">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环境保护措施</w:t>
            </w:r>
          </w:p>
        </w:tc>
        <w:tc>
          <w:tcPr>
            <w:tcW w:w="1762" w:type="dxa"/>
            <w:vAlign w:val="center"/>
          </w:tcPr>
          <w:p w14:paraId="621D688C">
            <w:pPr>
              <w:adjustRightInd w:val="0"/>
              <w:snapToGrid w:val="0"/>
              <w:jc w:val="center"/>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执行标准</w:t>
            </w:r>
          </w:p>
        </w:tc>
      </w:tr>
      <w:tr w14:paraId="52E97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29" w:type="dxa"/>
            <w:vAlign w:val="center"/>
          </w:tcPr>
          <w:p w14:paraId="421C7C61">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大气环境</w:t>
            </w:r>
          </w:p>
        </w:tc>
        <w:tc>
          <w:tcPr>
            <w:tcW w:w="1419" w:type="dxa"/>
            <w:vAlign w:val="center"/>
          </w:tcPr>
          <w:p w14:paraId="78D7A159">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DA00</w:t>
            </w:r>
            <w:r>
              <w:rPr>
                <w:rFonts w:hint="default" w:ascii="Times New Roman" w:hAnsi="Times New Roman" w:eastAsia="宋体" w:cs="Times New Roman"/>
                <w:color w:val="auto"/>
                <w:szCs w:val="21"/>
                <w:highlight w:val="none"/>
                <w:lang w:val="en-US" w:eastAsia="zh-CN"/>
              </w:rPr>
              <w:t>1</w:t>
            </w:r>
          </w:p>
        </w:tc>
        <w:tc>
          <w:tcPr>
            <w:tcW w:w="2080" w:type="dxa"/>
            <w:shd w:val="clear" w:color="auto" w:fill="auto"/>
            <w:vAlign w:val="center"/>
          </w:tcPr>
          <w:p w14:paraId="0DB54B20">
            <w:pP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highlight w:val="none"/>
                <w:vertAlign w:val="baseline"/>
                <w:lang w:val="en-US" w:eastAsia="zh-CN"/>
              </w:rPr>
              <w:t>非甲烷总烃、甲醇、其他A类物质（乙酸）、其他C类物质（乙酸乙酯、乙醚、正己烷、丙酮）、</w:t>
            </w:r>
            <w:r>
              <w:rPr>
                <w:rFonts w:hint="eastAsia" w:cs="Times New Roman"/>
                <w:b w:val="0"/>
                <w:bCs w:val="0"/>
                <w:color w:val="auto"/>
                <w:kern w:val="0"/>
                <w:sz w:val="21"/>
                <w:szCs w:val="21"/>
                <w:highlight w:val="none"/>
                <w:vertAlign w:val="baseline"/>
                <w:lang w:val="en-US" w:eastAsia="zh-CN"/>
              </w:rPr>
              <w:t>氯化氢、</w:t>
            </w:r>
            <w:r>
              <w:rPr>
                <w:rFonts w:hint="eastAsia" w:cs="Times New Roman"/>
                <w:b w:val="0"/>
                <w:bCs w:val="0"/>
                <w:color w:val="auto"/>
                <w:kern w:val="0"/>
                <w:sz w:val="21"/>
                <w:szCs w:val="21"/>
                <w:highlight w:val="none"/>
                <w:vertAlign w:val="baseline"/>
                <w:lang w:val="en-US" w:eastAsia="zh-CN" w:bidi="ar-SA"/>
              </w:rPr>
              <w:t>氮氧化物、硫酸雾</w:t>
            </w:r>
            <w:r>
              <w:rPr>
                <w:rFonts w:hint="eastAsia" w:cs="Times New Roman"/>
                <w:b w:val="0"/>
                <w:bCs w:val="0"/>
                <w:color w:val="auto"/>
                <w:kern w:val="0"/>
                <w:sz w:val="21"/>
                <w:szCs w:val="21"/>
                <w:highlight w:val="none"/>
                <w:vertAlign w:val="baseline"/>
                <w:lang w:val="en-US" w:eastAsia="zh-CN"/>
              </w:rPr>
              <w:t>、氨</w:t>
            </w:r>
          </w:p>
        </w:tc>
        <w:tc>
          <w:tcPr>
            <w:tcW w:w="2310" w:type="dxa"/>
            <w:vAlign w:val="center"/>
          </w:tcPr>
          <w:p w14:paraId="30EF6325">
            <w:pPr>
              <w:rPr>
                <w:rFonts w:hint="default" w:ascii="Times New Roman" w:hAnsi="Times New Roman" w:eastAsia="宋体" w:cs="Times New Roman"/>
                <w:color w:val="auto"/>
                <w:szCs w:val="21"/>
                <w:highlight w:val="none"/>
              </w:rPr>
            </w:pPr>
            <w:r>
              <w:rPr>
                <w:rFonts w:hint="eastAsia" w:cs="Times New Roman"/>
                <w:color w:val="auto"/>
                <w:kern w:val="0"/>
                <w:sz w:val="21"/>
                <w:szCs w:val="21"/>
                <w:lang w:val="en-US" w:eastAsia="zh-CN" w:bidi="ar"/>
              </w:rPr>
              <w:t>通风橱、万向罩</w:t>
            </w:r>
            <w:r>
              <w:rPr>
                <w:rFonts w:hint="default" w:ascii="Times New Roman" w:hAnsi="Times New Roman" w:eastAsia="宋体" w:cs="Times New Roman"/>
                <w:color w:val="auto"/>
                <w:kern w:val="0"/>
                <w:sz w:val="21"/>
                <w:szCs w:val="21"/>
                <w:lang w:val="en-US" w:eastAsia="zh-CN" w:bidi="ar"/>
              </w:rPr>
              <w:t>收集后进</w:t>
            </w:r>
            <w:r>
              <w:rPr>
                <w:rFonts w:hint="eastAsia" w:cs="Times New Roman"/>
                <w:color w:val="auto"/>
                <w:kern w:val="0"/>
                <w:sz w:val="21"/>
                <w:szCs w:val="21"/>
                <w:lang w:val="en-US" w:eastAsia="zh-CN" w:bidi="ar"/>
              </w:rPr>
              <w:t>干式过滤器（酸式吸附剂+碱式吸附剂+活性炭）处理后</w:t>
            </w:r>
            <w:r>
              <w:rPr>
                <w:rFonts w:hint="default" w:ascii="Times New Roman" w:hAnsi="Times New Roman" w:eastAsia="宋体" w:cs="Times New Roman"/>
                <w:color w:val="auto"/>
                <w:kern w:val="0"/>
                <w:sz w:val="21"/>
                <w:szCs w:val="21"/>
                <w:lang w:val="en-US" w:eastAsia="zh-CN" w:bidi="ar"/>
              </w:rPr>
              <w:t>后经</w:t>
            </w:r>
            <w:r>
              <w:rPr>
                <w:rFonts w:hint="eastAsia" w:cs="Times New Roman"/>
                <w:color w:val="auto"/>
                <w:kern w:val="0"/>
                <w:sz w:val="21"/>
                <w:szCs w:val="21"/>
                <w:lang w:val="en-US" w:eastAsia="zh-CN" w:bidi="ar"/>
              </w:rPr>
              <w:t>28m高</w:t>
            </w:r>
            <w:r>
              <w:rPr>
                <w:rFonts w:hint="default" w:ascii="Times New Roman" w:hAnsi="Times New Roman" w:eastAsia="宋体" w:cs="Times New Roman"/>
                <w:color w:val="auto"/>
                <w:kern w:val="0"/>
                <w:sz w:val="21"/>
                <w:szCs w:val="21"/>
                <w:lang w:val="en-US" w:eastAsia="zh-CN" w:bidi="ar"/>
              </w:rPr>
              <w:t>的</w:t>
            </w:r>
            <w:r>
              <w:rPr>
                <w:rFonts w:hint="eastAsia" w:cs="Times New Roman"/>
                <w:color w:val="auto"/>
                <w:kern w:val="0"/>
                <w:sz w:val="21"/>
                <w:szCs w:val="21"/>
                <w:lang w:val="en-US" w:eastAsia="zh-CN" w:bidi="ar"/>
              </w:rPr>
              <w:t>排气筒</w:t>
            </w:r>
            <w:r>
              <w:rPr>
                <w:rFonts w:hint="default" w:ascii="Times New Roman" w:hAnsi="Times New Roman" w:eastAsia="宋体" w:cs="Times New Roman"/>
                <w:color w:val="auto"/>
                <w:kern w:val="0"/>
                <w:sz w:val="21"/>
                <w:szCs w:val="21"/>
                <w:lang w:val="en-US" w:eastAsia="zh-CN" w:bidi="ar"/>
              </w:rPr>
              <w:t>DA001排放。</w:t>
            </w:r>
          </w:p>
        </w:tc>
        <w:tc>
          <w:tcPr>
            <w:tcW w:w="1762" w:type="dxa"/>
            <w:vAlign w:val="center"/>
          </w:tcPr>
          <w:p w14:paraId="19DD1E8B">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北京市《大气污染物综合排放标准》（DB11/501-2017）中Ⅱ时段相应</w:t>
            </w:r>
            <w:r>
              <w:rPr>
                <w:rFonts w:hint="eastAsia" w:cs="Times New Roman"/>
                <w:color w:val="auto"/>
                <w:szCs w:val="21"/>
                <w:highlight w:val="none"/>
                <w:lang w:val="en-US" w:eastAsia="zh-CN"/>
              </w:rPr>
              <w:t>最高允许排放浓度、28m高度排气筒对应的最高允许排放速率的50%</w:t>
            </w:r>
            <w:r>
              <w:rPr>
                <w:rFonts w:hint="default" w:ascii="Times New Roman" w:hAnsi="Times New Roman" w:eastAsia="宋体" w:cs="Times New Roman"/>
                <w:color w:val="auto"/>
                <w:szCs w:val="21"/>
                <w:highlight w:val="none"/>
                <w:lang w:val="zh-CN"/>
              </w:rPr>
              <w:t>限值要求。</w:t>
            </w:r>
          </w:p>
        </w:tc>
      </w:tr>
      <w:tr w14:paraId="799105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982" w:hRule="atLeast"/>
          <w:jc w:val="center"/>
        </w:trPr>
        <w:tc>
          <w:tcPr>
            <w:tcW w:w="1229" w:type="dxa"/>
            <w:shd w:val="clear" w:color="auto" w:fill="auto"/>
            <w:vAlign w:val="center"/>
          </w:tcPr>
          <w:p w14:paraId="6DA8E225">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地表水</w:t>
            </w:r>
          </w:p>
          <w:p w14:paraId="7F6E6DBA">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highlight w:val="none"/>
              </w:rPr>
              <w:t>环境</w:t>
            </w:r>
          </w:p>
        </w:tc>
        <w:tc>
          <w:tcPr>
            <w:tcW w:w="1419" w:type="dxa"/>
            <w:shd w:val="clear" w:color="auto" w:fill="auto"/>
            <w:vAlign w:val="center"/>
          </w:tcPr>
          <w:p w14:paraId="24275F7D">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DW001</w:t>
            </w:r>
          </w:p>
        </w:tc>
        <w:tc>
          <w:tcPr>
            <w:tcW w:w="2080" w:type="dxa"/>
            <w:shd w:val="clear" w:color="auto" w:fill="auto"/>
            <w:vAlign w:val="center"/>
          </w:tcPr>
          <w:p w14:paraId="476680AD">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eastAsia="zh-CN"/>
              </w:rPr>
              <w:t>pH</w:t>
            </w:r>
            <w:r>
              <w:rPr>
                <w:rFonts w:hint="default" w:ascii="Times New Roman" w:hAnsi="Times New Roman" w:eastAsia="宋体" w:cs="Times New Roman"/>
                <w:color w:val="auto"/>
                <w:szCs w:val="21"/>
                <w:highlight w:val="none"/>
              </w:rPr>
              <w:t>、COD</w:t>
            </w:r>
            <w:r>
              <w:rPr>
                <w:rFonts w:hint="default" w:ascii="Times New Roman" w:hAnsi="Times New Roman" w:eastAsia="宋体" w:cs="Times New Roman"/>
                <w:color w:val="auto"/>
                <w:szCs w:val="21"/>
                <w:highlight w:val="none"/>
                <w:vertAlign w:val="subscript"/>
              </w:rPr>
              <w:t>Cr</w:t>
            </w:r>
            <w:r>
              <w:rPr>
                <w:rFonts w:hint="default" w:ascii="Times New Roman" w:hAnsi="Times New Roman" w:eastAsia="宋体" w:cs="Times New Roman"/>
                <w:color w:val="auto"/>
                <w:szCs w:val="21"/>
                <w:highlight w:val="none"/>
              </w:rPr>
              <w:t>、</w:t>
            </w:r>
          </w:p>
          <w:p w14:paraId="451953AF">
            <w:pPr>
              <w:adjustRightInd w:val="0"/>
              <w:snapToGrid w:val="0"/>
              <w:jc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BOD</w:t>
            </w:r>
            <w:r>
              <w:rPr>
                <w:rFonts w:hint="default" w:ascii="Times New Roman" w:hAnsi="Times New Roman" w:eastAsia="宋体" w:cs="Times New Roman"/>
                <w:color w:val="auto"/>
                <w:szCs w:val="21"/>
                <w:highlight w:val="none"/>
                <w:vertAlign w:val="subscript"/>
              </w:rPr>
              <w:t>5</w:t>
            </w:r>
            <w:r>
              <w:rPr>
                <w:rFonts w:hint="default" w:ascii="Times New Roman" w:hAnsi="Times New Roman" w:eastAsia="宋体" w:cs="Times New Roman"/>
                <w:color w:val="auto"/>
                <w:szCs w:val="21"/>
                <w:highlight w:val="none"/>
              </w:rPr>
              <w:t>、SS、氨氮</w:t>
            </w:r>
          </w:p>
        </w:tc>
        <w:tc>
          <w:tcPr>
            <w:tcW w:w="2310" w:type="dxa"/>
            <w:shd w:val="clear" w:color="auto" w:fill="auto"/>
            <w:vAlign w:val="center"/>
          </w:tcPr>
          <w:p w14:paraId="31FCBA6A">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容器第三遍及以后清洗废水</w:t>
            </w:r>
            <w:r>
              <w:rPr>
                <w:rFonts w:hint="eastAsia" w:cs="Times New Roman"/>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生活污水</w:t>
            </w:r>
            <w:r>
              <w:rPr>
                <w:rFonts w:hint="eastAsia" w:eastAsia="宋体" w:cs="Times New Roman"/>
                <w:color w:val="auto"/>
                <w:szCs w:val="21"/>
                <w:highlight w:val="none"/>
                <w:lang w:val="en-US" w:eastAsia="zh-CN"/>
              </w:rPr>
              <w:t>、</w:t>
            </w:r>
            <w:r>
              <w:rPr>
                <w:rFonts w:hint="eastAsia" w:cs="Times New Roman"/>
                <w:color w:val="auto"/>
                <w:szCs w:val="21"/>
                <w:highlight w:val="none"/>
                <w:lang w:val="en-US" w:eastAsia="zh-CN"/>
              </w:rPr>
              <w:t>高压蒸汽灭菌废水、地面清洗废水</w:t>
            </w:r>
            <w:r>
              <w:rPr>
                <w:rFonts w:hint="eastAsia" w:ascii="Times New Roman" w:hAnsi="Times New Roman" w:eastAsia="宋体" w:cs="Times New Roman"/>
                <w:color w:val="auto"/>
                <w:szCs w:val="21"/>
                <w:highlight w:val="none"/>
                <w:lang w:val="en-US" w:eastAsia="zh-CN"/>
              </w:rPr>
              <w:t>一起进园区化粪池，最后经市政管网排入</w:t>
            </w:r>
            <w:r>
              <w:rPr>
                <w:rFonts w:hint="eastAsia" w:cs="Times New Roman"/>
                <w:color w:val="auto"/>
                <w:szCs w:val="21"/>
                <w:highlight w:val="none"/>
                <w:lang w:eastAsia="zh-CN"/>
              </w:rPr>
              <w:t>金桥基地第一污水处理厂</w:t>
            </w:r>
            <w:r>
              <w:rPr>
                <w:rFonts w:hint="eastAsia" w:ascii="Times New Roman" w:hAnsi="Times New Roman" w:eastAsia="宋体" w:cs="Times New Roman"/>
                <w:color w:val="auto"/>
                <w:szCs w:val="21"/>
                <w:highlight w:val="none"/>
                <w:lang w:eastAsia="zh-CN"/>
              </w:rPr>
              <w:t>。</w:t>
            </w:r>
          </w:p>
        </w:tc>
        <w:tc>
          <w:tcPr>
            <w:tcW w:w="1762" w:type="dxa"/>
            <w:shd w:val="clear" w:color="auto" w:fill="auto"/>
            <w:vAlign w:val="center"/>
          </w:tcPr>
          <w:p w14:paraId="7DFF8898">
            <w:pPr>
              <w:keepNext w:val="0"/>
              <w:keepLines w:val="0"/>
              <w:pageBreakBefore w:val="0"/>
              <w:widowControl w:val="0"/>
              <w:kinsoku/>
              <w:wordWrap w:val="0"/>
              <w:overflowPunct/>
              <w:topLinePunct w:val="0"/>
              <w:autoSpaceDE/>
              <w:autoSpaceDN/>
              <w:bidi w:val="0"/>
              <w:adjustRightInd w:val="0"/>
              <w:snapToGrid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Cs w:val="21"/>
                <w:highlight w:val="none"/>
              </w:rPr>
              <w:t>北京市《水污染物综合排放标准》（DB11/307-2013）</w:t>
            </w:r>
            <w:r>
              <w:rPr>
                <w:rFonts w:hint="eastAsia" w:cs="Times New Roman"/>
                <w:color w:val="auto"/>
                <w:szCs w:val="21"/>
                <w:highlight w:val="none"/>
                <w:lang w:eastAsia="zh-CN"/>
              </w:rPr>
              <w:t>“</w:t>
            </w:r>
            <w:r>
              <w:rPr>
                <w:rFonts w:hint="default" w:ascii="Times New Roman" w:hAnsi="Times New Roman" w:eastAsia="宋体" w:cs="Times New Roman"/>
                <w:color w:val="auto"/>
                <w:szCs w:val="21"/>
                <w:highlight w:val="none"/>
              </w:rPr>
              <w:t>表3排入公共污水处理系统的水污染物排放限值</w:t>
            </w:r>
            <w:r>
              <w:rPr>
                <w:rFonts w:hint="eastAsia" w:cs="Times New Roman"/>
                <w:color w:val="auto"/>
                <w:szCs w:val="21"/>
                <w:highlight w:val="none"/>
                <w:lang w:eastAsia="zh-CN"/>
              </w:rPr>
              <w:t>”</w:t>
            </w:r>
          </w:p>
        </w:tc>
      </w:tr>
      <w:tr w14:paraId="4B7823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1229" w:type="dxa"/>
            <w:vAlign w:val="center"/>
          </w:tcPr>
          <w:p w14:paraId="6129AFBF">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声环境</w:t>
            </w:r>
          </w:p>
        </w:tc>
        <w:tc>
          <w:tcPr>
            <w:tcW w:w="1419" w:type="dxa"/>
            <w:vAlign w:val="center"/>
          </w:tcPr>
          <w:p w14:paraId="53D9FAB2">
            <w:pPr>
              <w:adjustRightInd w:val="0"/>
              <w:snapToGrid w:val="0"/>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厂界噪声</w:t>
            </w:r>
          </w:p>
        </w:tc>
        <w:tc>
          <w:tcPr>
            <w:tcW w:w="2080" w:type="dxa"/>
            <w:vAlign w:val="center"/>
          </w:tcPr>
          <w:p w14:paraId="451D7B4F">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等效连续A声级</w:t>
            </w:r>
          </w:p>
        </w:tc>
        <w:tc>
          <w:tcPr>
            <w:tcW w:w="2310" w:type="dxa"/>
            <w:vAlign w:val="center"/>
          </w:tcPr>
          <w:p w14:paraId="17104E75">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低噪声设备</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基础减震、</w:t>
            </w:r>
            <w:r>
              <w:rPr>
                <w:rFonts w:hint="default" w:ascii="Times New Roman" w:hAnsi="Times New Roman" w:eastAsia="宋体" w:cs="Times New Roman"/>
                <w:color w:val="auto"/>
                <w:szCs w:val="21"/>
                <w:highlight w:val="none"/>
              </w:rPr>
              <w:t>墙体隔音</w:t>
            </w:r>
            <w:r>
              <w:rPr>
                <w:rFonts w:hint="default" w:ascii="Times New Roman" w:hAnsi="Times New Roman" w:eastAsia="宋体" w:cs="Times New Roman"/>
                <w:color w:val="auto"/>
                <w:szCs w:val="21"/>
                <w:highlight w:val="none"/>
                <w:lang w:eastAsia="zh-CN"/>
              </w:rPr>
              <w:t>。</w:t>
            </w:r>
          </w:p>
        </w:tc>
        <w:tc>
          <w:tcPr>
            <w:tcW w:w="1762" w:type="dxa"/>
            <w:vAlign w:val="center"/>
          </w:tcPr>
          <w:p w14:paraId="679EA04A">
            <w:pPr>
              <w:keepNext w:val="0"/>
              <w:keepLines w:val="0"/>
              <w:pageBreakBefore w:val="0"/>
              <w:widowControl w:val="0"/>
              <w:kinsoku/>
              <w:wordWrap w:val="0"/>
              <w:overflowPunct/>
              <w:topLinePunct/>
              <w:autoSpaceDE/>
              <w:autoSpaceDN/>
              <w:bidi w:val="0"/>
              <w:adjustRightInd w:val="0"/>
              <w:snapToGrid w:val="0"/>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《工业企业厂界环境噪声排放标准》（GB12348-2008）3</w:t>
            </w:r>
            <w:r>
              <w:rPr>
                <w:rFonts w:hint="default" w:ascii="Times New Roman" w:hAnsi="Times New Roman" w:eastAsia="宋体" w:cs="Times New Roman"/>
                <w:color w:val="auto"/>
                <w:szCs w:val="21"/>
                <w:highlight w:val="none"/>
                <w:lang w:val="en-US" w:eastAsia="zh-CN"/>
              </w:rPr>
              <w:t>类</w:t>
            </w:r>
            <w:r>
              <w:rPr>
                <w:rFonts w:hint="default" w:ascii="Times New Roman" w:hAnsi="Times New Roman" w:eastAsia="宋体" w:cs="Times New Roman"/>
                <w:color w:val="auto"/>
                <w:szCs w:val="21"/>
                <w:highlight w:val="none"/>
              </w:rPr>
              <w:t>标准</w:t>
            </w:r>
          </w:p>
        </w:tc>
      </w:tr>
      <w:tr w14:paraId="7A30A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219" w:hRule="atLeast"/>
          <w:jc w:val="center"/>
        </w:trPr>
        <w:tc>
          <w:tcPr>
            <w:tcW w:w="1229" w:type="dxa"/>
            <w:vAlign w:val="center"/>
          </w:tcPr>
          <w:p w14:paraId="5AE97B10">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电磁辐射</w:t>
            </w:r>
          </w:p>
        </w:tc>
        <w:tc>
          <w:tcPr>
            <w:tcW w:w="1419" w:type="dxa"/>
            <w:vAlign w:val="center"/>
          </w:tcPr>
          <w:p w14:paraId="4A23043B">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080" w:type="dxa"/>
            <w:vAlign w:val="center"/>
          </w:tcPr>
          <w:p w14:paraId="3C662918">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2310" w:type="dxa"/>
            <w:vAlign w:val="center"/>
          </w:tcPr>
          <w:p w14:paraId="36435982">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762" w:type="dxa"/>
            <w:vAlign w:val="center"/>
          </w:tcPr>
          <w:p w14:paraId="50CD9742">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14:paraId="28AD82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42" w:hRule="atLeast"/>
          <w:jc w:val="center"/>
        </w:trPr>
        <w:tc>
          <w:tcPr>
            <w:tcW w:w="1229" w:type="dxa"/>
            <w:vAlign w:val="center"/>
          </w:tcPr>
          <w:p w14:paraId="3682CEAA">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w:t>
            </w:r>
          </w:p>
        </w:tc>
        <w:tc>
          <w:tcPr>
            <w:tcW w:w="7571" w:type="dxa"/>
            <w:gridSpan w:val="4"/>
            <w:vAlign w:val="center"/>
          </w:tcPr>
          <w:p w14:paraId="3E11427F">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项目产生的一般工业固体废物统一收集后交由物资</w:t>
            </w:r>
            <w:r>
              <w:rPr>
                <w:rFonts w:hint="eastAsia" w:cs="Times New Roman"/>
                <w:color w:val="auto"/>
                <w:sz w:val="24"/>
                <w:highlight w:val="none"/>
                <w:lang w:val="en-US" w:eastAsia="zh-CN"/>
              </w:rPr>
              <w:t>回收</w:t>
            </w:r>
            <w:r>
              <w:rPr>
                <w:rFonts w:hint="default" w:ascii="Times New Roman" w:hAnsi="Times New Roman" w:eastAsia="宋体" w:cs="Times New Roman"/>
                <w:color w:val="auto"/>
                <w:sz w:val="24"/>
                <w:highlight w:val="none"/>
                <w:lang w:val="en-US" w:eastAsia="zh-CN"/>
              </w:rPr>
              <w:t>部门回收再利用；危险废物统一收集后暂存于危险废物暂存间，定期交由</w:t>
            </w:r>
            <w:r>
              <w:rPr>
                <w:rFonts w:hint="eastAsia" w:ascii="Times New Roman" w:hAnsi="Times New Roman" w:eastAsia="宋体" w:cs="Times New Roman"/>
                <w:color w:val="auto"/>
                <w:sz w:val="24"/>
                <w:highlight w:val="none"/>
                <w:lang w:val="en-US" w:eastAsia="zh-CN"/>
              </w:rPr>
              <w:t>北京鑫兴众成环境科技有限责任公司</w:t>
            </w:r>
            <w:r>
              <w:rPr>
                <w:rFonts w:hint="default" w:ascii="Times New Roman" w:hAnsi="Times New Roman" w:eastAsia="宋体" w:cs="Times New Roman"/>
                <w:color w:val="auto"/>
                <w:sz w:val="24"/>
                <w:highlight w:val="none"/>
                <w:lang w:val="en-US" w:eastAsia="zh-CN"/>
              </w:rPr>
              <w:t>处置</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生活垃圾统一收集后交环卫部门定期清运。</w:t>
            </w:r>
          </w:p>
          <w:p w14:paraId="3A9B93B3">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生活垃圾处理执行《中华人民共和国固体废物污染环境防治法》（2020年版）及《北京市生活垃圾管理条例》（2020年5月1日起施行，2020年9月25日第二次修正）中的有关规定。</w:t>
            </w:r>
          </w:p>
          <w:p w14:paraId="7D7E1D01">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一般工业固体废物处置执行《中华人民共和国固体废物污染环境防治法》（2020年9月1日起施行）、《一般工业固体废物贮存和填埋污染控制标准》（GB18599-2020）中的有关规定。</w:t>
            </w:r>
          </w:p>
          <w:p w14:paraId="6A2BAD8A">
            <w:pPr>
              <w:snapToGrid w:val="0"/>
              <w:spacing w:line="360" w:lineRule="auto"/>
              <w:ind w:firstLine="48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 w:val="24"/>
                <w:highlight w:val="none"/>
              </w:rPr>
              <w:t>危险废物收集、储存、转运执行《北京市危险废物污染环境防治条例》、（2020年9月1日实施）、《危险废物收集贮存运输技术规范》（HJ2025-2012）、《危险废物贮存污染控制标准》（GB18597-2023）、《危险废物污染防治技术政策》（环发[2021]199号）和《危险废物转移管理办法》（2022年1月1日起施行）、《实验室危险废物污染防治技术规范》（DB11/T1368—2016）中的有关规定。</w:t>
            </w:r>
          </w:p>
        </w:tc>
      </w:tr>
      <w:tr w14:paraId="014B44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29" w:type="dxa"/>
            <w:vAlign w:val="center"/>
          </w:tcPr>
          <w:p w14:paraId="238147AD">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土壤及地下水污染防治措施</w:t>
            </w:r>
          </w:p>
        </w:tc>
        <w:tc>
          <w:tcPr>
            <w:tcW w:w="7571" w:type="dxa"/>
            <w:gridSpan w:val="4"/>
            <w:vAlign w:val="center"/>
          </w:tcPr>
          <w:p w14:paraId="31A77BF5">
            <w:pPr>
              <w:snapToGrid w:val="0"/>
              <w:spacing w:line="360" w:lineRule="auto"/>
              <w:ind w:firstLine="480" w:firstLineChars="20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4"/>
                <w:highlight w:val="none"/>
                <w:lang w:val="en-US" w:eastAsia="zh-CN"/>
              </w:rPr>
              <w:t>本项目防渗分区划分为重点防渗区、一般防渗区和简单防渗区。危险废物暂存间、</w:t>
            </w:r>
            <w:r>
              <w:rPr>
                <w:rFonts w:hint="eastAsia" w:ascii="Times New Roman" w:hAnsi="Times New Roman" w:eastAsia="宋体" w:cs="Times New Roman"/>
                <w:color w:val="auto"/>
                <w:sz w:val="24"/>
                <w:highlight w:val="none"/>
                <w:lang w:val="en-US" w:eastAsia="zh-CN"/>
              </w:rPr>
              <w:t>试剂室、易制毒</w:t>
            </w:r>
            <w:r>
              <w:rPr>
                <w:rFonts w:hint="eastAsia" w:cs="Times New Roman"/>
                <w:color w:val="auto"/>
                <w:sz w:val="24"/>
                <w:highlight w:val="none"/>
                <w:lang w:val="en-US" w:eastAsia="zh-CN"/>
              </w:rPr>
              <w:t>制爆</w:t>
            </w:r>
            <w:r>
              <w:rPr>
                <w:rFonts w:hint="eastAsia" w:ascii="Times New Roman" w:hAnsi="Times New Roman" w:eastAsia="宋体" w:cs="Times New Roman"/>
                <w:color w:val="auto"/>
                <w:sz w:val="24"/>
                <w:highlight w:val="none"/>
                <w:lang w:val="en-US" w:eastAsia="zh-CN"/>
              </w:rPr>
              <w:t>室</w:t>
            </w:r>
            <w:r>
              <w:rPr>
                <w:rFonts w:hint="default" w:ascii="Times New Roman" w:hAnsi="Times New Roman" w:eastAsia="宋体" w:cs="Times New Roman"/>
                <w:color w:val="auto"/>
                <w:sz w:val="24"/>
                <w:highlight w:val="none"/>
                <w:lang w:val="en-US" w:eastAsia="zh-CN"/>
              </w:rPr>
              <w:t>为重点防渗区</w:t>
            </w:r>
            <w:r>
              <w:rPr>
                <w:rFonts w:hint="default" w:ascii="Times New Roman" w:hAnsi="Times New Roman" w:eastAsia="宋体" w:cs="Times New Roman"/>
                <w:color w:val="auto"/>
                <w:sz w:val="24"/>
                <w:highlight w:val="none"/>
                <w:lang w:val="en-US" w:eastAsia="zh-CN"/>
              </w:rPr>
              <w:t>，危险废物暂存间地面与裙脚采取表面防渗措施，使用2mm厚高密度聚乙烯膜或其他防渗材料（渗透系数不大于10</w:t>
            </w:r>
            <w:r>
              <w:rPr>
                <w:rFonts w:hint="default" w:ascii="Times New Roman" w:hAnsi="Times New Roman" w:eastAsia="宋体" w:cs="Times New Roman"/>
                <w:color w:val="auto"/>
                <w:sz w:val="24"/>
                <w:highlight w:val="none"/>
                <w:vertAlign w:val="superscript"/>
                <w:lang w:val="en-US" w:eastAsia="zh-CN"/>
              </w:rPr>
              <w:t>-10</w:t>
            </w:r>
            <w:r>
              <w:rPr>
                <w:rFonts w:hint="default" w:ascii="Times New Roman" w:hAnsi="Times New Roman" w:eastAsia="宋体" w:cs="Times New Roman"/>
                <w:color w:val="auto"/>
                <w:sz w:val="24"/>
                <w:highlight w:val="none"/>
                <w:lang w:val="en-US" w:eastAsia="zh-CN"/>
              </w:rPr>
              <w:t>cm/s）；其他实验贮存区域为一般防渗区，采取等效黏土防渗层Mb≥1.5m，K≤1.0×10</w:t>
            </w:r>
            <w:r>
              <w:rPr>
                <w:rFonts w:hint="default" w:ascii="Times New Roman" w:hAnsi="Times New Roman" w:eastAsia="宋体" w:cs="Times New Roman"/>
                <w:color w:val="auto"/>
                <w:sz w:val="24"/>
                <w:highlight w:val="none"/>
                <w:vertAlign w:val="superscript"/>
                <w:lang w:val="en-US" w:eastAsia="zh-CN"/>
              </w:rPr>
              <w:t>-7</w:t>
            </w:r>
            <w:r>
              <w:rPr>
                <w:rFonts w:hint="default" w:ascii="Times New Roman" w:hAnsi="Times New Roman" w:eastAsia="宋体" w:cs="Times New Roman"/>
                <w:color w:val="auto"/>
                <w:sz w:val="24"/>
                <w:highlight w:val="none"/>
                <w:lang w:val="en-US" w:eastAsia="zh-CN"/>
              </w:rPr>
              <w:t>cm/s</w:t>
            </w:r>
            <w:r>
              <w:rPr>
                <w:rFonts w:hint="eastAsia" w:cs="Times New Roman"/>
                <w:color w:val="auto"/>
                <w:sz w:val="24"/>
                <w:highlight w:val="none"/>
                <w:lang w:val="en-US" w:eastAsia="zh-CN"/>
              </w:rPr>
              <w:t>进行防渗</w:t>
            </w:r>
            <w:r>
              <w:rPr>
                <w:rFonts w:hint="default" w:ascii="Times New Roman" w:hAnsi="Times New Roman" w:eastAsia="宋体" w:cs="Times New Roman"/>
                <w:color w:val="auto"/>
                <w:sz w:val="24"/>
                <w:highlight w:val="none"/>
                <w:lang w:val="en-US" w:eastAsia="zh-CN"/>
              </w:rPr>
              <w:t>；办公区域为简单防渗区，防渗要求为一般地面硬化。</w:t>
            </w:r>
          </w:p>
        </w:tc>
      </w:tr>
      <w:tr w14:paraId="218C21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1229" w:type="dxa"/>
            <w:vAlign w:val="center"/>
          </w:tcPr>
          <w:p w14:paraId="3F80EBC5">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生态保护措施</w:t>
            </w:r>
          </w:p>
        </w:tc>
        <w:tc>
          <w:tcPr>
            <w:tcW w:w="7571" w:type="dxa"/>
            <w:gridSpan w:val="4"/>
            <w:vAlign w:val="center"/>
          </w:tcPr>
          <w:p w14:paraId="4FE1B93C">
            <w:pPr>
              <w:adjustRightInd w:val="0"/>
              <w:snapToGrid w:val="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w:t>
            </w:r>
          </w:p>
        </w:tc>
      </w:tr>
      <w:tr w14:paraId="0279A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29" w:type="dxa"/>
            <w:vAlign w:val="center"/>
          </w:tcPr>
          <w:p w14:paraId="17FB164A">
            <w:pPr>
              <w:adjustRightInd w:val="0"/>
              <w:snapToGrid w:val="0"/>
              <w:jc w:val="center"/>
              <w:rPr>
                <w:rFonts w:hint="default" w:ascii="Times New Roman" w:hAnsi="Times New Roman" w:eastAsia="宋体" w:cs="Times New Roman"/>
                <w:color w:val="auto"/>
                <w:spacing w:val="-8"/>
                <w:sz w:val="24"/>
                <w:highlight w:val="none"/>
              </w:rPr>
            </w:pPr>
            <w:r>
              <w:rPr>
                <w:rFonts w:hint="default" w:ascii="Times New Roman" w:hAnsi="Times New Roman" w:eastAsia="宋体" w:cs="Times New Roman"/>
                <w:color w:val="auto"/>
                <w:spacing w:val="-8"/>
                <w:sz w:val="24"/>
                <w:highlight w:val="none"/>
              </w:rPr>
              <w:t>环境风险防范措施</w:t>
            </w:r>
          </w:p>
        </w:tc>
        <w:tc>
          <w:tcPr>
            <w:tcW w:w="7571" w:type="dxa"/>
            <w:gridSpan w:val="4"/>
            <w:vAlign w:val="center"/>
          </w:tcPr>
          <w:p w14:paraId="0705DBD5">
            <w:pPr>
              <w:snapToGrid w:val="0"/>
              <w:spacing w:line="360" w:lineRule="auto"/>
              <w:ind w:left="0" w:leftChars="0" w:firstLine="0" w:firstLineChars="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1.制定突发环境事故应急预案，并</w:t>
            </w:r>
            <w:r>
              <w:rPr>
                <w:rFonts w:hint="eastAsia" w:cs="Times New Roman"/>
                <w:color w:val="auto"/>
                <w:sz w:val="24"/>
                <w:highlight w:val="none"/>
                <w:lang w:val="en-US" w:eastAsia="zh-CN"/>
              </w:rPr>
              <w:t>与</w:t>
            </w:r>
            <w:r>
              <w:rPr>
                <w:rFonts w:hint="eastAsia" w:ascii="Times New Roman" w:hAnsi="Times New Roman" w:eastAsia="宋体" w:cs="Times New Roman"/>
                <w:color w:val="auto"/>
                <w:sz w:val="24"/>
                <w:highlight w:val="none"/>
                <w:lang w:val="en-US" w:eastAsia="zh-CN"/>
              </w:rPr>
              <w:t>园区、</w:t>
            </w:r>
            <w:r>
              <w:rPr>
                <w:rFonts w:hint="eastAsia" w:cs="Times New Roman"/>
                <w:color w:val="auto"/>
                <w:sz w:val="24"/>
                <w:highlight w:val="none"/>
                <w:lang w:val="en-US" w:eastAsia="zh-CN"/>
              </w:rPr>
              <w:t>地方主管部门</w:t>
            </w:r>
            <w:r>
              <w:rPr>
                <w:rFonts w:hint="eastAsia" w:ascii="Times New Roman" w:hAnsi="Times New Roman" w:eastAsia="宋体" w:cs="Times New Roman"/>
                <w:color w:val="auto"/>
                <w:sz w:val="24"/>
                <w:highlight w:val="none"/>
                <w:lang w:val="en-US" w:eastAsia="zh-CN"/>
              </w:rPr>
              <w:t>做好衔接。</w:t>
            </w:r>
          </w:p>
          <w:p w14:paraId="79A8EB0D">
            <w:pPr>
              <w:snapToGrid w:val="0"/>
              <w:spacing w:line="360" w:lineRule="auto"/>
              <w:ind w:left="0" w:leftChars="0" w:firstLine="0" w:firstLineChars="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2.做好环境安全隐患排查，建立隐患排查档案。</w:t>
            </w:r>
          </w:p>
          <w:p w14:paraId="56902D69">
            <w:pPr>
              <w:snapToGrid w:val="0"/>
              <w:spacing w:line="360" w:lineRule="auto"/>
              <w:ind w:left="0" w:leftChars="0" w:firstLine="0" w:firstLineChars="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3.加强环境安全培训、教育，提高环境安全意识。</w:t>
            </w:r>
          </w:p>
          <w:p w14:paraId="117C8D50">
            <w:pPr>
              <w:snapToGrid w:val="0"/>
              <w:spacing w:line="360" w:lineRule="auto"/>
              <w:ind w:left="0" w:leftChars="0" w:firstLine="0" w:firstLineChars="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w:t>
            </w:r>
            <w:r>
              <w:rPr>
                <w:rFonts w:hint="eastAsia" w:cs="Times New Roman"/>
                <w:color w:val="auto"/>
                <w:sz w:val="24"/>
                <w:highlight w:val="none"/>
                <w:lang w:val="en-US" w:eastAsia="zh-CN"/>
              </w:rPr>
              <w:t>建立</w:t>
            </w:r>
            <w:r>
              <w:rPr>
                <w:rFonts w:hint="default" w:ascii="Times New Roman" w:hAnsi="Times New Roman" w:eastAsia="宋体" w:cs="Times New Roman"/>
                <w:color w:val="auto"/>
                <w:sz w:val="24"/>
                <w:highlight w:val="none"/>
                <w:lang w:val="en-US" w:eastAsia="zh-CN"/>
              </w:rPr>
              <w:t>安全管理制度</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岗位责任制度</w:t>
            </w:r>
            <w:r>
              <w:rPr>
                <w:rFonts w:hint="eastAsia" w:ascii="Times New Roman" w:hAnsi="Times New Roman" w:eastAsia="宋体" w:cs="Times New Roman"/>
                <w:color w:val="auto"/>
                <w:sz w:val="24"/>
                <w:highlight w:val="none"/>
                <w:lang w:val="en-US" w:eastAsia="zh-CN"/>
              </w:rPr>
              <w:t>，明确各类人员的安全环境</w:t>
            </w:r>
            <w:r>
              <w:rPr>
                <w:rFonts w:hint="eastAsia" w:cs="Times New Roman"/>
                <w:color w:val="auto"/>
                <w:sz w:val="24"/>
                <w:highlight w:val="none"/>
                <w:lang w:val="en-US" w:eastAsia="zh-CN"/>
              </w:rPr>
              <w:t>职责</w:t>
            </w:r>
            <w:r>
              <w:rPr>
                <w:rFonts w:hint="eastAsia" w:ascii="Times New Roman" w:hAnsi="Times New Roman" w:eastAsia="宋体" w:cs="Times New Roman"/>
                <w:color w:val="auto"/>
                <w:sz w:val="24"/>
                <w:highlight w:val="none"/>
                <w:lang w:val="en-US" w:eastAsia="zh-CN"/>
              </w:rPr>
              <w:t>。</w:t>
            </w:r>
          </w:p>
          <w:p w14:paraId="459EA6A9">
            <w:pPr>
              <w:snapToGrid w:val="0"/>
              <w:spacing w:line="360" w:lineRule="auto"/>
              <w:ind w:left="0" w:leftChars="0" w:firstLine="0" w:firstLineChars="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5</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建立操作规程，严格按照规程操作，工作人员实验操作期间密切关注实验过程，不可擅自离岗，</w:t>
            </w:r>
            <w:r>
              <w:rPr>
                <w:rFonts w:hint="default" w:ascii="Times New Roman" w:hAnsi="Times New Roman" w:eastAsia="宋体" w:cs="Times New Roman"/>
                <w:color w:val="auto"/>
                <w:sz w:val="24"/>
                <w:highlight w:val="none"/>
              </w:rPr>
              <w:t>在危险物质储存场所内设置灭火器，并配备一定数量的自给式呼吸器、消防防护服等</w:t>
            </w:r>
            <w:r>
              <w:rPr>
                <w:rFonts w:hint="eastAsia" w:cs="Times New Roman"/>
                <w:color w:val="auto"/>
                <w:sz w:val="24"/>
                <w:highlight w:val="none"/>
                <w:lang w:eastAsia="zh-CN"/>
              </w:rPr>
              <w:t>。</w:t>
            </w:r>
          </w:p>
          <w:p w14:paraId="6C210DDE">
            <w:pPr>
              <w:snapToGrid w:val="0"/>
              <w:spacing w:line="360" w:lineRule="auto"/>
              <w:ind w:left="0" w:leftChars="0" w:firstLine="0" w:firstLineChars="0"/>
              <w:rPr>
                <w:rFonts w:hint="eastAsia" w:ascii="Times New Roman" w:hAnsi="Times New Roman" w:eastAsia="宋体" w:cs="Times New Roman"/>
                <w:color w:val="auto"/>
                <w:sz w:val="24"/>
                <w:highlight w:val="none"/>
                <w:lang w:eastAsia="zh-CN"/>
              </w:rPr>
            </w:pPr>
            <w:r>
              <w:rPr>
                <w:rFonts w:hint="eastAsia" w:ascii="Times New Roman" w:hAnsi="Times New Roman" w:cs="Times New Roman"/>
                <w:color w:val="auto"/>
                <w:sz w:val="24"/>
                <w:highlight w:val="none"/>
                <w:lang w:val="en-US" w:eastAsia="zh-CN"/>
              </w:rPr>
              <w:t>6.</w:t>
            </w:r>
            <w:r>
              <w:rPr>
                <w:rFonts w:hint="default" w:ascii="Times New Roman" w:hAnsi="Times New Roman" w:eastAsia="宋体" w:cs="Times New Roman"/>
                <w:color w:val="auto"/>
                <w:sz w:val="24"/>
                <w:highlight w:val="none"/>
              </w:rPr>
              <w:t>加强火源的管理，</w:t>
            </w:r>
            <w:r>
              <w:rPr>
                <w:rFonts w:hint="eastAsia" w:ascii="Times New Roman" w:hAnsi="Times New Roman" w:eastAsia="宋体" w:cs="Times New Roman"/>
                <w:color w:val="auto"/>
                <w:sz w:val="24"/>
                <w:highlight w:val="none"/>
                <w:lang w:val="en-US" w:eastAsia="zh-CN"/>
              </w:rPr>
              <w:t>建设火灾报警装置并定期校验，确保使用效能，</w:t>
            </w:r>
            <w:r>
              <w:rPr>
                <w:rFonts w:hint="default" w:ascii="Times New Roman" w:hAnsi="Times New Roman" w:eastAsia="宋体" w:cs="Times New Roman"/>
                <w:color w:val="auto"/>
                <w:sz w:val="24"/>
                <w:highlight w:val="none"/>
              </w:rPr>
              <w:t>严禁烟火带入，危险物质储存场所应设有明显的禁止烟火安全标志</w:t>
            </w:r>
            <w:r>
              <w:rPr>
                <w:rFonts w:hint="eastAsia" w:ascii="Times New Roman" w:hAnsi="Times New Roman" w:eastAsia="宋体" w:cs="Times New Roman"/>
                <w:color w:val="auto"/>
                <w:sz w:val="24"/>
                <w:highlight w:val="none"/>
                <w:lang w:eastAsia="zh-CN"/>
              </w:rPr>
              <w:t>。</w:t>
            </w:r>
          </w:p>
          <w:p w14:paraId="3E520990">
            <w:pPr>
              <w:snapToGrid w:val="0"/>
              <w:spacing w:line="360" w:lineRule="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7.</w:t>
            </w:r>
            <w:r>
              <w:rPr>
                <w:rFonts w:hint="default" w:ascii="Times New Roman" w:hAnsi="Times New Roman" w:eastAsia="宋体" w:cs="Times New Roman"/>
                <w:color w:val="auto"/>
                <w:sz w:val="24"/>
                <w:highlight w:val="none"/>
                <w:lang w:val="en-US" w:eastAsia="zh-CN"/>
              </w:rPr>
              <w:t>定期开展安全风险辨识评估，</w:t>
            </w:r>
            <w:r>
              <w:rPr>
                <w:rFonts w:hint="eastAsia" w:cs="Times New Roman"/>
                <w:color w:val="auto"/>
                <w:sz w:val="24"/>
                <w:highlight w:val="none"/>
                <w:lang w:val="en-US" w:eastAsia="zh-CN"/>
              </w:rPr>
              <w:t>完善安全防范设施</w:t>
            </w:r>
            <w:r>
              <w:rPr>
                <w:rFonts w:hint="default" w:ascii="Times New Roman" w:hAnsi="Times New Roman" w:eastAsia="宋体" w:cs="Times New Roman"/>
                <w:color w:val="auto"/>
                <w:sz w:val="24"/>
                <w:highlight w:val="none"/>
                <w:lang w:val="en-US" w:eastAsia="zh-CN"/>
              </w:rPr>
              <w:t>。</w:t>
            </w:r>
          </w:p>
        </w:tc>
      </w:tr>
      <w:tr w14:paraId="757CA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229" w:type="dxa"/>
            <w:vAlign w:val="center"/>
          </w:tcPr>
          <w:p w14:paraId="24AA0946">
            <w:pPr>
              <w:adjustRightInd w:val="0"/>
              <w:snapToGrid w:val="0"/>
              <w:jc w:val="center"/>
              <w:rPr>
                <w:rFonts w:hint="default" w:ascii="Times New Roman" w:hAnsi="Times New Roman" w:eastAsia="宋体" w:cs="Times New Roman"/>
                <w:color w:val="auto"/>
                <w:spacing w:val="-8"/>
                <w:sz w:val="24"/>
                <w:highlight w:val="none"/>
              </w:rPr>
            </w:pPr>
            <w:r>
              <w:rPr>
                <w:rFonts w:hint="default" w:ascii="Times New Roman" w:hAnsi="Times New Roman" w:eastAsia="宋体" w:cs="Times New Roman"/>
                <w:color w:val="auto"/>
                <w:spacing w:val="-8"/>
                <w:sz w:val="24"/>
                <w:highlight w:val="none"/>
              </w:rPr>
              <w:t>其他环境管理要求</w:t>
            </w:r>
          </w:p>
        </w:tc>
        <w:tc>
          <w:tcPr>
            <w:tcW w:w="7571" w:type="dxa"/>
            <w:gridSpan w:val="4"/>
            <w:vAlign w:val="center"/>
          </w:tcPr>
          <w:p w14:paraId="794D7C00">
            <w:pPr>
              <w:snapToGrid w:val="0"/>
              <w:spacing w:line="360" w:lineRule="auto"/>
              <w:ind w:firstLine="482" w:firstLineChars="200"/>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与排污许可制衔接要求</w:t>
            </w:r>
          </w:p>
          <w:p w14:paraId="016375BD">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根据《国民经济行业分类》（GB/T4754-2017），本项目属于</w:t>
            </w:r>
            <w:r>
              <w:rPr>
                <w:rFonts w:hint="eastAsia" w:cs="Times New Roman"/>
                <w:color w:val="auto"/>
                <w:sz w:val="24"/>
                <w:highlight w:val="none"/>
                <w:lang w:eastAsia="zh-CN"/>
              </w:rPr>
              <w:t>“</w:t>
            </w:r>
            <w:r>
              <w:rPr>
                <w:rFonts w:hint="eastAsia"/>
                <w:color w:val="auto"/>
                <w:sz w:val="24"/>
                <w:highlight w:val="none"/>
              </w:rPr>
              <w:t>检测服务</w:t>
            </w:r>
            <w:r>
              <w:rPr>
                <w:color w:val="auto"/>
                <w:sz w:val="24"/>
                <w:highlight w:val="none"/>
              </w:rPr>
              <w:t>M7452</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。对照《固定污染源排污许可分类管理名录》（2019版），本项目暂无相关要求。</w:t>
            </w:r>
          </w:p>
          <w:p w14:paraId="685561DD">
            <w:pPr>
              <w:snapToGrid w:val="0"/>
              <w:spacing w:before="120" w:beforeLines="50" w:line="360" w:lineRule="auto"/>
              <w:ind w:firstLine="482" w:firstLineChars="200"/>
              <w:rPr>
                <w:rFonts w:hint="default" w:ascii="Times New Roman" w:hAnsi="Times New Roman" w:eastAsia="宋体" w:cs="Times New Roman"/>
                <w:b/>
                <w:bCs w:val="0"/>
                <w:color w:val="auto"/>
                <w:sz w:val="24"/>
                <w:highlight w:val="none"/>
              </w:rPr>
            </w:pPr>
            <w:r>
              <w:rPr>
                <w:rFonts w:hint="eastAsia" w:cs="Times New Roman"/>
                <w:b/>
                <w:bCs w:val="0"/>
                <w:color w:val="auto"/>
                <w:sz w:val="24"/>
                <w:highlight w:val="none"/>
                <w:lang w:val="en-US" w:eastAsia="zh-CN"/>
              </w:rPr>
              <w:t>2、</w:t>
            </w:r>
            <w:r>
              <w:rPr>
                <w:rFonts w:hint="eastAsia" w:cs="Times New Roman"/>
                <w:b/>
                <w:bCs/>
                <w:color w:val="auto"/>
                <w:sz w:val="24"/>
                <w:highlight w:val="none"/>
                <w:lang w:val="en-US" w:eastAsia="zh-CN"/>
              </w:rPr>
              <w:t>排污口</w:t>
            </w:r>
            <w:r>
              <w:rPr>
                <w:rFonts w:hint="default" w:ascii="Times New Roman" w:hAnsi="Times New Roman" w:eastAsia="宋体" w:cs="Times New Roman"/>
                <w:b/>
                <w:bCs/>
                <w:color w:val="auto"/>
                <w:sz w:val="24"/>
                <w:highlight w:val="none"/>
                <w:lang w:val="en-US" w:eastAsia="zh-CN"/>
              </w:rPr>
              <w:t>标志牌设置</w:t>
            </w:r>
          </w:p>
          <w:p w14:paraId="423C3FE1">
            <w:pPr>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排污口设置应符合《环境保护图形标志》（</w:t>
            </w:r>
            <w:r>
              <w:rPr>
                <w:rFonts w:hint="default" w:ascii="Times New Roman" w:hAnsi="Times New Roman" w:eastAsia="宋体" w:cs="Times New Roman"/>
                <w:color w:val="auto"/>
                <w:sz w:val="24"/>
                <w:highlight w:val="none"/>
                <w:lang w:val="en-US" w:eastAsia="zh-CN"/>
              </w:rPr>
              <w:t>GB15562.1-1995</w:t>
            </w:r>
            <w:r>
              <w:rPr>
                <w:rFonts w:hint="eastAsia" w:ascii="Times New Roman" w:hAnsi="Times New Roman" w:eastAsia="宋体" w:cs="Times New Roman"/>
                <w:color w:val="auto"/>
                <w:sz w:val="24"/>
                <w:highlight w:val="none"/>
                <w:lang w:val="en-US" w:eastAsia="zh-CN"/>
              </w:rPr>
              <w:t>）、《环境保护图形标志》（</w:t>
            </w:r>
            <w:r>
              <w:rPr>
                <w:rFonts w:hint="default" w:ascii="Times New Roman" w:hAnsi="Times New Roman" w:eastAsia="宋体" w:cs="Times New Roman"/>
                <w:color w:val="auto"/>
                <w:sz w:val="24"/>
                <w:highlight w:val="none"/>
                <w:lang w:val="en-US" w:eastAsia="zh-CN"/>
              </w:rPr>
              <w:t>GB15562.2-1995</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《环境保护图形标志</w:t>
            </w:r>
            <w:r>
              <w:rPr>
                <w:rFonts w:hint="eastAsia" w:cs="Times New Roman"/>
                <w:color w:val="auto"/>
                <w:sz w:val="24"/>
                <w:highlight w:val="none"/>
                <w:lang w:val="en-US" w:eastAsia="zh-CN"/>
              </w:rPr>
              <w:t>—固体废物贮存（处置）场</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GB15562.2-1995</w:t>
            </w:r>
            <w:r>
              <w:rPr>
                <w:rFonts w:hint="eastAsia" w:ascii="Times New Roman" w:hAnsi="Times New Roman" w:eastAsia="宋体" w:cs="Times New Roman"/>
                <w:color w:val="auto"/>
                <w:sz w:val="24"/>
                <w:highlight w:val="none"/>
                <w:lang w:val="en-US" w:eastAsia="zh-CN"/>
              </w:rPr>
              <w:t>）</w:t>
            </w:r>
            <w:r>
              <w:rPr>
                <w:rFonts w:hint="eastAsia" w:cs="Times New Roman"/>
                <w:color w:val="auto"/>
                <w:sz w:val="24"/>
                <w:highlight w:val="none"/>
                <w:lang w:val="en-US" w:eastAsia="zh-CN"/>
              </w:rPr>
              <w:t>修改单（2023年2月3日发布）、</w:t>
            </w:r>
            <w:r>
              <w:rPr>
                <w:rFonts w:hint="eastAsia" w:ascii="Times New Roman" w:hAnsi="Times New Roman" w:eastAsia="宋体" w:cs="Times New Roman"/>
                <w:color w:val="auto"/>
                <w:sz w:val="24"/>
                <w:highlight w:val="none"/>
                <w:lang w:val="en-US" w:eastAsia="zh-CN"/>
              </w:rPr>
              <w:t>《危险废物识别标志设置技术规范》（</w:t>
            </w:r>
            <w:r>
              <w:rPr>
                <w:rFonts w:hint="default" w:ascii="Times New Roman" w:hAnsi="Times New Roman" w:eastAsia="宋体" w:cs="Times New Roman"/>
                <w:color w:val="auto"/>
                <w:sz w:val="24"/>
                <w:highlight w:val="none"/>
                <w:lang w:val="en-US" w:eastAsia="zh-CN"/>
              </w:rPr>
              <w:t>HJ1276-2022</w:t>
            </w:r>
            <w:r>
              <w:rPr>
                <w:rFonts w:hint="eastAsia" w:ascii="Times New Roman" w:hAnsi="Times New Roman" w:eastAsia="宋体" w:cs="Times New Roman"/>
                <w:color w:val="auto"/>
                <w:sz w:val="24"/>
                <w:highlight w:val="none"/>
                <w:lang w:val="en-US" w:eastAsia="zh-CN"/>
              </w:rPr>
              <w:t>）的规定。</w:t>
            </w:r>
          </w:p>
          <w:p w14:paraId="56A26EA5">
            <w:pP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本项目排污口主要为废气排口</w:t>
            </w:r>
            <w:r>
              <w:rPr>
                <w:rFonts w:hint="eastAsia" w:cs="Times New Roman"/>
                <w:color w:val="auto"/>
                <w:sz w:val="24"/>
                <w:highlight w:val="none"/>
                <w:lang w:val="en-US" w:eastAsia="zh-CN"/>
              </w:rPr>
              <w:t>1</w:t>
            </w:r>
            <w:r>
              <w:rPr>
                <w:rFonts w:hint="default" w:ascii="Times New Roman" w:hAnsi="Times New Roman" w:eastAsia="宋体" w:cs="Times New Roman"/>
                <w:color w:val="auto"/>
                <w:sz w:val="24"/>
                <w:highlight w:val="none"/>
              </w:rPr>
              <w:t>个（楼顶）和污水总排口1个（</w:t>
            </w:r>
            <w:r>
              <w:rPr>
                <w:rFonts w:hint="eastAsia" w:cs="Times New Roman"/>
                <w:color w:val="auto"/>
                <w:sz w:val="24"/>
                <w:highlight w:val="none"/>
                <w:lang w:val="en-US" w:eastAsia="zh-CN"/>
              </w:rPr>
              <w:t>本幢楼东</w:t>
            </w:r>
            <w:r>
              <w:rPr>
                <w:rFonts w:hint="default" w:ascii="Times New Roman" w:hAnsi="Times New Roman" w:eastAsia="宋体" w:cs="Times New Roman"/>
                <w:color w:val="auto"/>
                <w:sz w:val="24"/>
                <w:highlight w:val="none"/>
              </w:rPr>
              <w:t>侧）。建设项目设置排污口应符合</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一明显、二合理、三便于</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的要求，即环保标志明显；排污口设置合理，排污去向合理；便于采集样品、便于监测计算、便于公众参与监督管理。</w:t>
            </w:r>
            <w:r>
              <w:rPr>
                <w:rFonts w:hint="default" w:ascii="Times New Roman" w:hAnsi="Times New Roman" w:eastAsia="宋体" w:cs="Times New Roman"/>
                <w:color w:val="auto"/>
                <w:sz w:val="24"/>
                <w:highlight w:val="none"/>
                <w:lang w:val="en-US" w:eastAsia="zh-CN"/>
              </w:rPr>
              <w:t>具体标志牌示意图详见下表。</w:t>
            </w:r>
          </w:p>
          <w:p w14:paraId="40B2F56B">
            <w:pPr>
              <w:numPr>
                <w:ilvl w:val="0"/>
                <w:numId w:val="40"/>
              </w:numPr>
              <w:adjustRightInd w:val="0"/>
              <w:spacing w:line="360" w:lineRule="auto"/>
              <w:ind w:left="425" w:leftChars="0" w:hanging="425" w:firstLineChars="0"/>
              <w:jc w:val="center"/>
              <w:rPr>
                <w:rFonts w:hint="default" w:ascii="Times New Roman" w:hAnsi="Times New Roman" w:eastAsia="宋体" w:cs="Times New Roman"/>
                <w:b/>
                <w:color w:val="auto"/>
                <w:spacing w:val="-4"/>
                <w:kern w:val="0"/>
                <w:sz w:val="24"/>
                <w:highlight w:val="none"/>
              </w:rPr>
            </w:pPr>
            <w:r>
              <w:rPr>
                <w:rFonts w:hint="default" w:ascii="Times New Roman" w:hAnsi="Times New Roman" w:eastAsia="宋体" w:cs="Times New Roman"/>
                <w:b/>
                <w:color w:val="auto"/>
                <w:spacing w:val="-4"/>
                <w:kern w:val="0"/>
                <w:sz w:val="24"/>
                <w:highlight w:val="none"/>
              </w:rPr>
              <w:t>环境</w:t>
            </w:r>
            <w:r>
              <w:rPr>
                <w:rFonts w:hint="default" w:ascii="Times New Roman" w:hAnsi="Times New Roman" w:eastAsia="宋体" w:cs="Times New Roman"/>
                <w:b/>
                <w:color w:val="auto"/>
                <w:sz w:val="24"/>
                <w:highlight w:val="none"/>
              </w:rPr>
              <w:t>保护</w:t>
            </w:r>
            <w:r>
              <w:rPr>
                <w:rFonts w:hint="default" w:ascii="Times New Roman" w:hAnsi="Times New Roman" w:eastAsia="宋体" w:cs="Times New Roman"/>
                <w:b/>
                <w:color w:val="auto"/>
                <w:spacing w:val="-4"/>
                <w:kern w:val="0"/>
                <w:sz w:val="24"/>
                <w:highlight w:val="none"/>
              </w:rPr>
              <w:t>图形符号一览表</w:t>
            </w:r>
          </w:p>
          <w:tbl>
            <w:tblPr>
              <w:tblStyle w:val="23"/>
              <w:tblW w:w="7617" w:type="dxa"/>
              <w:tblInd w:w="0" w:type="dxa"/>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2"/>
              <w:gridCol w:w="1297"/>
              <w:gridCol w:w="1438"/>
              <w:gridCol w:w="1431"/>
              <w:gridCol w:w="1386"/>
              <w:gridCol w:w="1363"/>
            </w:tblGrid>
            <w:tr w14:paraId="47B31456">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2" w:type="dxa"/>
                  <w:tcBorders>
                    <w:tl2br w:val="nil"/>
                    <w:tr2bl w:val="nil"/>
                  </w:tcBorders>
                  <w:vAlign w:val="center"/>
                </w:tcPr>
                <w:p w14:paraId="43A40C60">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297" w:type="dxa"/>
                  <w:tcBorders>
                    <w:tl2br w:val="nil"/>
                    <w:tr2bl w:val="nil"/>
                  </w:tcBorders>
                  <w:vAlign w:val="center"/>
                </w:tcPr>
                <w:p w14:paraId="4C231FBC">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废气排放口</w:t>
                  </w:r>
                </w:p>
              </w:tc>
              <w:tc>
                <w:tcPr>
                  <w:tcW w:w="1438" w:type="dxa"/>
                  <w:tcBorders>
                    <w:tl2br w:val="nil"/>
                    <w:tr2bl w:val="nil"/>
                  </w:tcBorders>
                  <w:vAlign w:val="center"/>
                </w:tcPr>
                <w:p w14:paraId="532B7674">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废水排放口</w:t>
                  </w:r>
                </w:p>
              </w:tc>
              <w:tc>
                <w:tcPr>
                  <w:tcW w:w="1431" w:type="dxa"/>
                  <w:tcBorders>
                    <w:tl2br w:val="nil"/>
                    <w:tr2bl w:val="nil"/>
                  </w:tcBorders>
                  <w:vAlign w:val="center"/>
                </w:tcPr>
                <w:p w14:paraId="26CD41E6">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噪声排放源</w:t>
                  </w:r>
                </w:p>
              </w:tc>
              <w:tc>
                <w:tcPr>
                  <w:tcW w:w="1386" w:type="dxa"/>
                  <w:tcBorders>
                    <w:tl2br w:val="nil"/>
                    <w:tr2bl w:val="nil"/>
                  </w:tcBorders>
                  <w:vAlign w:val="center"/>
                </w:tcPr>
                <w:p w14:paraId="3D291DAC">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一般工业固体废物</w:t>
                  </w:r>
                </w:p>
              </w:tc>
              <w:tc>
                <w:tcPr>
                  <w:tcW w:w="1363" w:type="dxa"/>
                  <w:tcBorders>
                    <w:tl2br w:val="nil"/>
                    <w:tr2bl w:val="nil"/>
                  </w:tcBorders>
                  <w:vAlign w:val="center"/>
                </w:tcPr>
                <w:p w14:paraId="21A1DB0B">
                  <w:pPr>
                    <w:pStyle w:val="20"/>
                    <w:widowControl w:val="0"/>
                    <w:snapToGrid w:val="0"/>
                    <w:spacing w:before="0" w:beforeAutospacing="0" w:after="0" w:afterAutospacing="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r>
            <w:tr w14:paraId="6A54C75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55" w:hRule="atLeast"/>
              </w:trPr>
              <w:tc>
                <w:tcPr>
                  <w:tcW w:w="702" w:type="dxa"/>
                  <w:tcBorders>
                    <w:tl2br w:val="nil"/>
                    <w:tr2bl w:val="nil"/>
                  </w:tcBorders>
                  <w:vAlign w:val="center"/>
                </w:tcPr>
                <w:p w14:paraId="6BB27A29">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提示图形符号</w:t>
                  </w:r>
                </w:p>
              </w:tc>
              <w:tc>
                <w:tcPr>
                  <w:tcW w:w="1297" w:type="dxa"/>
                  <w:tcBorders>
                    <w:tl2br w:val="nil"/>
                    <w:tr2bl w:val="nil"/>
                  </w:tcBorders>
                  <w:vAlign w:val="center"/>
                </w:tcPr>
                <w:p w14:paraId="293534E5">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729615" cy="736600"/>
                        <wp:effectExtent l="0" t="0" r="1905" b="10160"/>
                        <wp:docPr id="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5"/>
                                <pic:cNvPicPr>
                                  <a:picLocks noChangeAspect="1" noChangeArrowheads="1"/>
                                </pic:cNvPicPr>
                              </pic:nvPicPr>
                              <pic:blipFill>
                                <a:blip r:embed="rId35"/>
                                <a:srcRect/>
                                <a:stretch>
                                  <a:fillRect/>
                                </a:stretch>
                              </pic:blipFill>
                              <pic:spPr>
                                <a:xfrm>
                                  <a:off x="0" y="0"/>
                                  <a:ext cx="732129" cy="739102"/>
                                </a:xfrm>
                                <a:prstGeom prst="rect">
                                  <a:avLst/>
                                </a:prstGeom>
                                <a:noFill/>
                                <a:ln w="9525">
                                  <a:noFill/>
                                  <a:miter lim="800000"/>
                                  <a:headEnd/>
                                  <a:tailEnd/>
                                </a:ln>
                              </pic:spPr>
                            </pic:pic>
                          </a:graphicData>
                        </a:graphic>
                      </wp:inline>
                    </w:drawing>
                  </w:r>
                </w:p>
              </w:tc>
              <w:tc>
                <w:tcPr>
                  <w:tcW w:w="1438" w:type="dxa"/>
                  <w:tcBorders>
                    <w:tl2br w:val="nil"/>
                    <w:tr2bl w:val="nil"/>
                  </w:tcBorders>
                  <w:vAlign w:val="center"/>
                </w:tcPr>
                <w:p w14:paraId="43E3FA41">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737870" cy="709295"/>
                        <wp:effectExtent l="0" t="0" r="8890" b="6985"/>
                        <wp:docPr id="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pic:cNvPicPr>
                                  <a:picLocks noChangeAspect="1" noChangeArrowheads="1"/>
                                </pic:cNvPicPr>
                              </pic:nvPicPr>
                              <pic:blipFill>
                                <a:blip r:embed="rId36"/>
                                <a:srcRect/>
                                <a:stretch>
                                  <a:fillRect/>
                                </a:stretch>
                              </pic:blipFill>
                              <pic:spPr>
                                <a:xfrm>
                                  <a:off x="0" y="0"/>
                                  <a:ext cx="740105" cy="711911"/>
                                </a:xfrm>
                                <a:prstGeom prst="rect">
                                  <a:avLst/>
                                </a:prstGeom>
                                <a:noFill/>
                                <a:ln w="9525">
                                  <a:noFill/>
                                  <a:miter lim="800000"/>
                                  <a:headEnd/>
                                  <a:tailEnd/>
                                </a:ln>
                              </pic:spPr>
                            </pic:pic>
                          </a:graphicData>
                        </a:graphic>
                      </wp:inline>
                    </w:drawing>
                  </w:r>
                </w:p>
              </w:tc>
              <w:tc>
                <w:tcPr>
                  <w:tcW w:w="1431" w:type="dxa"/>
                  <w:tcBorders>
                    <w:tl2br w:val="nil"/>
                    <w:tr2bl w:val="nil"/>
                  </w:tcBorders>
                  <w:vAlign w:val="center"/>
                </w:tcPr>
                <w:p w14:paraId="6CAA688D">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753745" cy="746125"/>
                        <wp:effectExtent l="0" t="0" r="8255" b="635"/>
                        <wp:docPr id="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1" noChangeArrowheads="1"/>
                                </pic:cNvPicPr>
                              </pic:nvPicPr>
                              <pic:blipFill>
                                <a:blip r:embed="rId37"/>
                                <a:srcRect/>
                                <a:stretch>
                                  <a:fillRect/>
                                </a:stretch>
                              </pic:blipFill>
                              <pic:spPr>
                                <a:xfrm>
                                  <a:off x="0" y="0"/>
                                  <a:ext cx="756054" cy="748854"/>
                                </a:xfrm>
                                <a:prstGeom prst="rect">
                                  <a:avLst/>
                                </a:prstGeom>
                                <a:noFill/>
                                <a:ln w="9525">
                                  <a:noFill/>
                                  <a:miter lim="800000"/>
                                  <a:headEnd/>
                                  <a:tailEnd/>
                                </a:ln>
                              </pic:spPr>
                            </pic:pic>
                          </a:graphicData>
                        </a:graphic>
                      </wp:inline>
                    </w:drawing>
                  </w:r>
                </w:p>
              </w:tc>
              <w:tc>
                <w:tcPr>
                  <w:tcW w:w="1386" w:type="dxa"/>
                  <w:tcBorders>
                    <w:tl2br w:val="nil"/>
                    <w:tr2bl w:val="nil"/>
                  </w:tcBorders>
                  <w:vAlign w:val="center"/>
                </w:tcPr>
                <w:p w14:paraId="562C0C01">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drawing>
                      <wp:inline distT="0" distB="0" distL="0" distR="0">
                        <wp:extent cx="675640" cy="716280"/>
                        <wp:effectExtent l="0" t="0" r="1016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4"/>
                                <pic:cNvPicPr>
                                  <a:picLocks noChangeAspect="1" noChangeArrowheads="1"/>
                                </pic:cNvPicPr>
                              </pic:nvPicPr>
                              <pic:blipFill>
                                <a:blip r:embed="rId38"/>
                                <a:srcRect/>
                                <a:stretch>
                                  <a:fillRect/>
                                </a:stretch>
                              </pic:blipFill>
                              <pic:spPr>
                                <a:xfrm>
                                  <a:off x="0" y="0"/>
                                  <a:ext cx="678262" cy="719370"/>
                                </a:xfrm>
                                <a:prstGeom prst="rect">
                                  <a:avLst/>
                                </a:prstGeom>
                                <a:noFill/>
                                <a:ln w="9525">
                                  <a:noFill/>
                                  <a:miter lim="800000"/>
                                  <a:headEnd/>
                                  <a:tailEnd/>
                                </a:ln>
                              </pic:spPr>
                            </pic:pic>
                          </a:graphicData>
                        </a:graphic>
                      </wp:inline>
                    </w:drawing>
                  </w:r>
                </w:p>
              </w:tc>
              <w:tc>
                <w:tcPr>
                  <w:tcW w:w="1363" w:type="dxa"/>
                  <w:tcBorders>
                    <w:tl2br w:val="nil"/>
                    <w:tr2bl w:val="nil"/>
                  </w:tcBorders>
                  <w:vAlign w:val="center"/>
                </w:tcPr>
                <w:p w14:paraId="55465423">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14:paraId="035DD06E">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2" w:type="dxa"/>
                  <w:tcBorders>
                    <w:tl2br w:val="nil"/>
                    <w:tr2bl w:val="nil"/>
                  </w:tcBorders>
                  <w:vAlign w:val="center"/>
                </w:tcPr>
                <w:p w14:paraId="77290DDF">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警告图形符号</w:t>
                  </w:r>
                </w:p>
              </w:tc>
              <w:tc>
                <w:tcPr>
                  <w:tcW w:w="1297" w:type="dxa"/>
                  <w:tcBorders>
                    <w:tl2br w:val="nil"/>
                    <w:tr2bl w:val="nil"/>
                  </w:tcBorders>
                  <w:vAlign w:val="center"/>
                </w:tcPr>
                <w:p w14:paraId="44F22BFD">
                  <w:pPr>
                    <w:pStyle w:val="20"/>
                    <w:widowControl w:val="0"/>
                    <w:snapToGrid w:val="0"/>
                    <w:spacing w:before="0" w:beforeAutospacing="0" w:after="0" w:afterAutospacing="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438" w:type="dxa"/>
                  <w:tcBorders>
                    <w:tl2br w:val="nil"/>
                    <w:tr2bl w:val="nil"/>
                  </w:tcBorders>
                  <w:vAlign w:val="center"/>
                </w:tcPr>
                <w:p w14:paraId="2FB31A54">
                  <w:pPr>
                    <w:pStyle w:val="20"/>
                    <w:widowControl w:val="0"/>
                    <w:snapToGrid w:val="0"/>
                    <w:spacing w:before="0" w:beforeAutospacing="0" w:after="0" w:afterAutospacing="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w:t>
                  </w:r>
                </w:p>
              </w:tc>
              <w:tc>
                <w:tcPr>
                  <w:tcW w:w="1431" w:type="dxa"/>
                  <w:tcBorders>
                    <w:tl2br w:val="nil"/>
                    <w:tr2bl w:val="nil"/>
                  </w:tcBorders>
                  <w:vAlign w:val="center"/>
                </w:tcPr>
                <w:p w14:paraId="2A667E9A">
                  <w:pPr>
                    <w:pStyle w:val="20"/>
                    <w:widowControl w:val="0"/>
                    <w:snapToGrid w:val="0"/>
                    <w:spacing w:before="0" w:beforeAutospacing="0" w:after="0" w:afterAutospacing="0"/>
                    <w:jc w:val="center"/>
                    <w:rPr>
                      <w:rFonts w:hint="eastAsia"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w:t>
                  </w:r>
                </w:p>
              </w:tc>
              <w:tc>
                <w:tcPr>
                  <w:tcW w:w="1386" w:type="dxa"/>
                  <w:tcBorders>
                    <w:tl2br w:val="nil"/>
                    <w:tr2bl w:val="nil"/>
                  </w:tcBorders>
                  <w:vAlign w:val="center"/>
                </w:tcPr>
                <w:p w14:paraId="263665A0">
                  <w:pPr>
                    <w:pStyle w:val="20"/>
                    <w:widowControl w:val="0"/>
                    <w:snapToGrid w:val="0"/>
                    <w:spacing w:before="0" w:beforeAutospacing="0" w:after="0" w:afterAutospacing="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1363" w:type="dxa"/>
                  <w:tcBorders>
                    <w:tl2br w:val="nil"/>
                    <w:tr2bl w:val="nil"/>
                  </w:tcBorders>
                  <w:vAlign w:val="center"/>
                </w:tcPr>
                <w:p w14:paraId="5CDF9FF9">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32"/>
                      <w:szCs w:val="22"/>
                      <w:highlight w:val="none"/>
                    </w:rPr>
                    <w:drawing>
                      <wp:inline distT="0" distB="0" distL="114300" distR="114300">
                        <wp:extent cx="728345" cy="608330"/>
                        <wp:effectExtent l="0" t="0" r="3175" b="127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9"/>
                                <a:stretch>
                                  <a:fillRect/>
                                </a:stretch>
                              </pic:blipFill>
                              <pic:spPr>
                                <a:xfrm>
                                  <a:off x="0" y="0"/>
                                  <a:ext cx="728345" cy="608330"/>
                                </a:xfrm>
                                <a:prstGeom prst="rect">
                                  <a:avLst/>
                                </a:prstGeom>
                                <a:noFill/>
                                <a:ln>
                                  <a:noFill/>
                                </a:ln>
                              </pic:spPr>
                            </pic:pic>
                          </a:graphicData>
                        </a:graphic>
                      </wp:inline>
                    </w:drawing>
                  </w:r>
                </w:p>
              </w:tc>
            </w:tr>
            <w:tr w14:paraId="7BA4D527">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02" w:type="dxa"/>
                  <w:tcBorders>
                    <w:tl2br w:val="nil"/>
                    <w:tr2bl w:val="nil"/>
                  </w:tcBorders>
                  <w:vAlign w:val="center"/>
                </w:tcPr>
                <w:p w14:paraId="2ACA6D67">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功能</w:t>
                  </w:r>
                </w:p>
              </w:tc>
              <w:tc>
                <w:tcPr>
                  <w:tcW w:w="1297" w:type="dxa"/>
                  <w:tcBorders>
                    <w:tl2br w:val="nil"/>
                    <w:tr2bl w:val="nil"/>
                  </w:tcBorders>
                  <w:vAlign w:val="center"/>
                </w:tcPr>
                <w:p w14:paraId="5AE3E1E3">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废气向大气环境排放</w:t>
                  </w:r>
                </w:p>
              </w:tc>
              <w:tc>
                <w:tcPr>
                  <w:tcW w:w="1438" w:type="dxa"/>
                  <w:tcBorders>
                    <w:tl2br w:val="nil"/>
                    <w:tr2bl w:val="nil"/>
                  </w:tcBorders>
                  <w:vAlign w:val="center"/>
                </w:tcPr>
                <w:p w14:paraId="0EAD4B98">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表示污水向水体排放表示</w:t>
                  </w:r>
                </w:p>
              </w:tc>
              <w:tc>
                <w:tcPr>
                  <w:tcW w:w="1431" w:type="dxa"/>
                  <w:tcBorders>
                    <w:tl2br w:val="nil"/>
                    <w:tr2bl w:val="nil"/>
                  </w:tcBorders>
                  <w:vAlign w:val="center"/>
                </w:tcPr>
                <w:p w14:paraId="6EB708F0">
                  <w:pPr>
                    <w:pStyle w:val="20"/>
                    <w:widowControl w:val="0"/>
                    <w:snapToGrid w:val="0"/>
                    <w:spacing w:before="0" w:beforeAutospacing="0" w:after="0" w:afterAutospacing="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表示噪声向外环境排放</w:t>
                  </w:r>
                </w:p>
              </w:tc>
              <w:tc>
                <w:tcPr>
                  <w:tcW w:w="1386" w:type="dxa"/>
                  <w:tcBorders>
                    <w:tl2br w:val="nil"/>
                    <w:tr2bl w:val="nil"/>
                  </w:tcBorders>
                  <w:vAlign w:val="center"/>
                </w:tcPr>
                <w:p w14:paraId="7D6D6971">
                  <w:pPr>
                    <w:pStyle w:val="20"/>
                    <w:widowControl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表示一般工业固体废物贮存、处置场所</w:t>
                  </w:r>
                </w:p>
              </w:tc>
              <w:tc>
                <w:tcPr>
                  <w:tcW w:w="1363" w:type="dxa"/>
                  <w:tcBorders>
                    <w:tl2br w:val="nil"/>
                    <w:tr2bl w:val="nil"/>
                  </w:tcBorders>
                  <w:vAlign w:val="center"/>
                </w:tcPr>
                <w:p w14:paraId="28C58078">
                  <w:pPr>
                    <w:pStyle w:val="20"/>
                    <w:widowControl w:val="0"/>
                    <w:snapToGrid w:val="0"/>
                    <w:spacing w:before="0" w:beforeAutospacing="0" w:after="0" w:afterAutospacing="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表示危险废物贮存、处置场所</w:t>
                  </w:r>
                </w:p>
              </w:tc>
            </w:tr>
          </w:tbl>
          <w:p w14:paraId="7B78216A">
            <w:pPr>
              <w:snapToGrid w:val="0"/>
              <w:spacing w:before="120" w:beforeLines="50" w:line="360" w:lineRule="auto"/>
              <w:ind w:firstLine="472" w:firstLineChars="196"/>
              <w:rPr>
                <w:rFonts w:hint="default" w:ascii="Times New Roman" w:hAnsi="Times New Roman" w:eastAsia="宋体" w:cs="Times New Roman"/>
                <w:b/>
                <w:bCs/>
                <w:color w:val="auto"/>
                <w:sz w:val="24"/>
                <w:highlight w:val="none"/>
              </w:rPr>
            </w:pPr>
            <w:r>
              <w:rPr>
                <w:rFonts w:hint="eastAsia"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监测点位</w:t>
            </w:r>
            <w:r>
              <w:rPr>
                <w:rFonts w:hint="default" w:ascii="Times New Roman" w:hAnsi="Times New Roman" w:eastAsia="宋体" w:cs="Times New Roman"/>
                <w:b/>
                <w:bCs/>
                <w:color w:val="auto"/>
                <w:sz w:val="24"/>
                <w:highlight w:val="none"/>
              </w:rPr>
              <w:t>设置</w:t>
            </w:r>
          </w:p>
          <w:p w14:paraId="0F28084B">
            <w:pPr>
              <w:spacing w:line="360" w:lineRule="auto"/>
              <w:ind w:firstLine="480" w:firstLineChars="200"/>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rPr>
              <w:t>按照《固定污染源监测点位设置技术规范》（DB11/1195-2015）要求</w:t>
            </w:r>
            <w:r>
              <w:rPr>
                <w:rFonts w:hint="default" w:ascii="Times New Roman" w:hAnsi="Times New Roman" w:eastAsia="宋体" w:cs="Times New Roman"/>
                <w:bCs/>
                <w:color w:val="auto"/>
                <w:sz w:val="24"/>
                <w:highlight w:val="none"/>
                <w:lang w:eastAsia="zh-CN"/>
              </w:rPr>
              <w:t>，</w:t>
            </w:r>
            <w:r>
              <w:rPr>
                <w:rFonts w:hint="default" w:ascii="Times New Roman" w:hAnsi="Times New Roman" w:eastAsia="宋体" w:cs="Times New Roman"/>
                <w:bCs/>
                <w:color w:val="auto"/>
                <w:sz w:val="24"/>
                <w:highlight w:val="none"/>
              </w:rPr>
              <w:t>本项目</w:t>
            </w:r>
            <w:r>
              <w:rPr>
                <w:rFonts w:hint="default" w:ascii="Times New Roman" w:hAnsi="Times New Roman" w:eastAsia="宋体" w:cs="Times New Roman"/>
                <w:bCs/>
                <w:color w:val="auto"/>
                <w:sz w:val="24"/>
                <w:highlight w:val="none"/>
                <w:lang w:val="en-US" w:eastAsia="zh-CN"/>
              </w:rPr>
              <w:t>设置</w:t>
            </w:r>
            <w:r>
              <w:rPr>
                <w:rFonts w:hint="eastAsia" w:cs="Times New Roman"/>
                <w:bCs/>
                <w:color w:val="auto"/>
                <w:sz w:val="24"/>
                <w:highlight w:val="none"/>
                <w:lang w:val="en-US" w:eastAsia="zh-CN"/>
              </w:rPr>
              <w:t>1</w:t>
            </w:r>
            <w:r>
              <w:rPr>
                <w:rFonts w:hint="default" w:ascii="Times New Roman" w:hAnsi="Times New Roman" w:eastAsia="宋体" w:cs="Times New Roman"/>
                <w:bCs/>
                <w:color w:val="auto"/>
                <w:sz w:val="24"/>
                <w:highlight w:val="none"/>
                <w:lang w:val="en-US" w:eastAsia="zh-CN"/>
              </w:rPr>
              <w:t>个废气排放口（DA001）、一个废水排放口（DW001）。</w:t>
            </w:r>
          </w:p>
          <w:p w14:paraId="5866ADE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在排放口设立监测点位标志牌，建立排放口监测点位档案，档案内容应包含监测点位二维码涵盖的信息，以及对监测点位的管理记录，包括对标志牌的标识是否清晰完整，工作平台、梯架是否能正常使用，安全防护装置是否过期失效，防护设施有无破损现象，排放口附近有无堆积物等方面的检查和维修清理</w:t>
            </w:r>
            <w:r>
              <w:rPr>
                <w:rFonts w:hint="eastAsia" w:cs="Times New Roman"/>
                <w:b w:val="0"/>
                <w:bCs w:val="0"/>
                <w:color w:val="auto"/>
                <w:sz w:val="24"/>
                <w:szCs w:val="24"/>
                <w:highlight w:val="none"/>
                <w:lang w:val="en-US" w:eastAsia="zh-CN"/>
              </w:rPr>
              <w:t>的</w:t>
            </w:r>
            <w:r>
              <w:rPr>
                <w:rFonts w:hint="default" w:ascii="Times New Roman" w:hAnsi="Times New Roman" w:eastAsia="宋体" w:cs="Times New Roman"/>
                <w:b w:val="0"/>
                <w:bCs w:val="0"/>
                <w:color w:val="auto"/>
                <w:sz w:val="24"/>
                <w:szCs w:val="24"/>
                <w:highlight w:val="none"/>
                <w:lang w:val="en-US" w:eastAsia="zh-CN"/>
              </w:rPr>
              <w:t>记录，记录周期不少于每半年一次。监测点位标志牌示例图见下图。</w:t>
            </w:r>
          </w:p>
          <w:tbl>
            <w:tblPr>
              <w:tblStyle w:val="24"/>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77"/>
              <w:gridCol w:w="3678"/>
            </w:tblGrid>
            <w:tr w14:paraId="574862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2" w:hRule="atLeast"/>
              </w:trPr>
              <w:tc>
                <w:tcPr>
                  <w:tcW w:w="3677" w:type="dxa"/>
                  <w:tcBorders>
                    <w:tl2br w:val="nil"/>
                    <w:tr2bl w:val="nil"/>
                  </w:tcBorders>
                  <w:vAlign w:val="center"/>
                </w:tcPr>
                <w:p w14:paraId="71F81C09">
                  <w:pPr>
                    <w:spacing w:line="360" w:lineRule="auto"/>
                    <w:jc w:val="center"/>
                    <w:rPr>
                      <w:rFonts w:hint="default" w:ascii="Times New Roman" w:hAnsi="Times New Roman" w:eastAsia="宋体" w:cs="Times New Roman"/>
                      <w:b w:val="0"/>
                      <w:bCs w:val="0"/>
                      <w:color w:val="auto"/>
                      <w:sz w:val="24"/>
                      <w:szCs w:val="24"/>
                      <w:highlight w:val="none"/>
                      <w:vertAlign w:val="baseline"/>
                      <w:lang w:val="en-US" w:eastAsia="zh-CN"/>
                    </w:rPr>
                  </w:pPr>
                  <w:r>
                    <w:drawing>
                      <wp:inline distT="0" distB="0" distL="114300" distR="114300">
                        <wp:extent cx="2195830" cy="1831340"/>
                        <wp:effectExtent l="0" t="0" r="13970" b="1270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0"/>
                                <a:stretch>
                                  <a:fillRect/>
                                </a:stretch>
                              </pic:blipFill>
                              <pic:spPr>
                                <a:xfrm>
                                  <a:off x="0" y="0"/>
                                  <a:ext cx="2195830" cy="1831340"/>
                                </a:xfrm>
                                <a:prstGeom prst="rect">
                                  <a:avLst/>
                                </a:prstGeom>
                                <a:noFill/>
                                <a:ln>
                                  <a:noFill/>
                                </a:ln>
                              </pic:spPr>
                            </pic:pic>
                          </a:graphicData>
                        </a:graphic>
                      </wp:inline>
                    </w:drawing>
                  </w:r>
                </w:p>
              </w:tc>
              <w:tc>
                <w:tcPr>
                  <w:tcW w:w="3678" w:type="dxa"/>
                  <w:tcBorders>
                    <w:tl2br w:val="nil"/>
                    <w:tr2bl w:val="nil"/>
                  </w:tcBorders>
                  <w:vAlign w:val="center"/>
                </w:tcPr>
                <w:p w14:paraId="4A082683">
                  <w:pPr>
                    <w:spacing w:line="360" w:lineRule="auto"/>
                    <w:jc w:val="center"/>
                    <w:rPr>
                      <w:rFonts w:hint="default" w:ascii="Times New Roman" w:hAnsi="Times New Roman" w:eastAsia="宋体" w:cs="Times New Roman"/>
                      <w:b w:val="0"/>
                      <w:bCs w:val="0"/>
                      <w:color w:val="auto"/>
                      <w:sz w:val="24"/>
                      <w:szCs w:val="24"/>
                      <w:highlight w:val="none"/>
                      <w:vertAlign w:val="baseline"/>
                      <w:lang w:val="en-US" w:eastAsia="zh-CN"/>
                    </w:rPr>
                  </w:pPr>
                  <w:r>
                    <w:drawing>
                      <wp:inline distT="0" distB="0" distL="114300" distR="114300">
                        <wp:extent cx="2239645" cy="1777365"/>
                        <wp:effectExtent l="0" t="0" r="635" b="5715"/>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41"/>
                                <a:stretch>
                                  <a:fillRect/>
                                </a:stretch>
                              </pic:blipFill>
                              <pic:spPr>
                                <a:xfrm>
                                  <a:off x="0" y="0"/>
                                  <a:ext cx="2239645" cy="1777365"/>
                                </a:xfrm>
                                <a:prstGeom prst="rect">
                                  <a:avLst/>
                                </a:prstGeom>
                                <a:noFill/>
                                <a:ln>
                                  <a:noFill/>
                                </a:ln>
                              </pic:spPr>
                            </pic:pic>
                          </a:graphicData>
                        </a:graphic>
                      </wp:inline>
                    </w:drawing>
                  </w:r>
                </w:p>
              </w:tc>
            </w:tr>
          </w:tbl>
          <w:p w14:paraId="7E683327">
            <w:pPr>
              <w:spacing w:line="360" w:lineRule="auto"/>
              <w:ind w:firstLine="2409" w:firstLineChars="10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图5-1 监测点位标志牌示意图</w:t>
            </w:r>
          </w:p>
          <w:p w14:paraId="3A6C8C8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lang w:val="en-US" w:eastAsia="zh-CN"/>
              </w:rPr>
              <w:t>项目竣工环境保护验收</w:t>
            </w:r>
          </w:p>
          <w:p w14:paraId="52446ABC">
            <w:pPr>
              <w:snapToGrid w:val="0"/>
              <w:spacing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根据生态环境保护部《关于发布〈建设项目竣工环境保护验收技术指南污染影响类〉的公告》（生态环境部公告，</w:t>
            </w:r>
            <w:r>
              <w:rPr>
                <w:rFonts w:hint="default" w:ascii="Times New Roman" w:hAnsi="Times New Roman" w:eastAsia="宋体" w:cs="Times New Roman"/>
                <w:color w:val="auto"/>
                <w:sz w:val="24"/>
                <w:highlight w:val="none"/>
                <w:lang w:val="en-US" w:eastAsia="zh-CN"/>
              </w:rPr>
              <w:t>2018</w:t>
            </w:r>
            <w:r>
              <w:rPr>
                <w:rFonts w:hint="eastAsia" w:ascii="Times New Roman" w:hAnsi="Times New Roman" w:eastAsia="宋体" w:cs="Times New Roman"/>
                <w:color w:val="auto"/>
                <w:sz w:val="24"/>
                <w:highlight w:val="none"/>
                <w:lang w:val="en-US" w:eastAsia="zh-CN"/>
              </w:rPr>
              <w:t>年第</w:t>
            </w:r>
            <w:r>
              <w:rPr>
                <w:rFonts w:hint="default" w:ascii="Times New Roman" w:hAnsi="Times New Roman" w:eastAsia="宋体" w:cs="Times New Roman"/>
                <w:color w:val="auto"/>
                <w:sz w:val="24"/>
                <w:highlight w:val="none"/>
                <w:lang w:val="en-US" w:eastAsia="zh-CN"/>
              </w:rPr>
              <w:t>9</w:t>
            </w:r>
            <w:r>
              <w:rPr>
                <w:rFonts w:hint="eastAsia" w:ascii="Times New Roman" w:hAnsi="Times New Roman" w:eastAsia="宋体" w:cs="Times New Roman"/>
                <w:color w:val="auto"/>
                <w:sz w:val="24"/>
                <w:highlight w:val="none"/>
                <w:lang w:val="en-US" w:eastAsia="zh-CN"/>
              </w:rPr>
              <w:t>号）中附件《建设项目竣工环境保护验收技术指南污染影响类》，建设项目竣工后，建设单位应对其环境保护设施进行验收，自行或委托技术机构编制验收报告，公开、登记相关信息并建立档案。</w:t>
            </w:r>
          </w:p>
          <w:p w14:paraId="475CFE21">
            <w:pPr>
              <w:snapToGrid w:val="0"/>
              <w:spacing w:line="360" w:lineRule="auto"/>
              <w:rPr>
                <w:rFonts w:hint="default" w:ascii="Times New Roman" w:hAnsi="Times New Roman" w:eastAsia="宋体" w:cs="Times New Roman"/>
                <w:color w:val="auto"/>
                <w:sz w:val="24"/>
                <w:highlight w:val="none"/>
                <w:lang w:val="en-US" w:eastAsia="zh-CN"/>
              </w:rPr>
            </w:pPr>
          </w:p>
          <w:p w14:paraId="7FCF359F">
            <w:pPr>
              <w:snapToGrid w:val="0"/>
              <w:spacing w:line="360" w:lineRule="auto"/>
              <w:rPr>
                <w:rFonts w:hint="default" w:ascii="Times New Roman" w:hAnsi="Times New Roman" w:eastAsia="宋体" w:cs="Times New Roman"/>
                <w:color w:val="auto"/>
                <w:sz w:val="24"/>
                <w:highlight w:val="none"/>
                <w:lang w:val="en-US" w:eastAsia="zh-CN"/>
              </w:rPr>
            </w:pPr>
          </w:p>
          <w:p w14:paraId="5363412D">
            <w:pPr>
              <w:snapToGrid w:val="0"/>
              <w:spacing w:line="360" w:lineRule="auto"/>
              <w:rPr>
                <w:rFonts w:hint="default" w:ascii="Times New Roman" w:hAnsi="Times New Roman" w:eastAsia="宋体" w:cs="Times New Roman"/>
                <w:color w:val="auto"/>
                <w:sz w:val="24"/>
                <w:highlight w:val="none"/>
                <w:lang w:val="en-US" w:eastAsia="zh-CN"/>
              </w:rPr>
            </w:pPr>
          </w:p>
          <w:p w14:paraId="6625DE60">
            <w:pPr>
              <w:snapToGrid w:val="0"/>
              <w:spacing w:line="360" w:lineRule="auto"/>
              <w:rPr>
                <w:rFonts w:hint="default" w:ascii="Times New Roman" w:hAnsi="Times New Roman" w:eastAsia="宋体" w:cs="Times New Roman"/>
                <w:color w:val="auto"/>
                <w:sz w:val="24"/>
                <w:highlight w:val="none"/>
                <w:lang w:val="en-US" w:eastAsia="zh-CN"/>
              </w:rPr>
            </w:pPr>
          </w:p>
          <w:p w14:paraId="5FFF5B2D">
            <w:pPr>
              <w:snapToGrid w:val="0"/>
              <w:spacing w:line="360" w:lineRule="auto"/>
              <w:rPr>
                <w:rFonts w:hint="default" w:ascii="Times New Roman" w:hAnsi="Times New Roman" w:eastAsia="宋体" w:cs="Times New Roman"/>
                <w:color w:val="auto"/>
                <w:sz w:val="24"/>
                <w:highlight w:val="none"/>
                <w:lang w:val="en-US" w:eastAsia="zh-CN"/>
              </w:rPr>
            </w:pPr>
          </w:p>
          <w:p w14:paraId="3EBACA22">
            <w:pPr>
              <w:snapToGrid w:val="0"/>
              <w:spacing w:line="360" w:lineRule="auto"/>
              <w:rPr>
                <w:rFonts w:hint="default" w:ascii="Times New Roman" w:hAnsi="Times New Roman" w:eastAsia="宋体" w:cs="Times New Roman"/>
                <w:color w:val="auto"/>
                <w:sz w:val="24"/>
                <w:highlight w:val="none"/>
                <w:lang w:val="en-US" w:eastAsia="zh-CN"/>
              </w:rPr>
            </w:pPr>
          </w:p>
          <w:p w14:paraId="66F184AD">
            <w:pPr>
              <w:snapToGrid w:val="0"/>
              <w:spacing w:line="360" w:lineRule="auto"/>
              <w:rPr>
                <w:rFonts w:hint="default" w:ascii="Times New Roman" w:hAnsi="Times New Roman" w:eastAsia="宋体" w:cs="Times New Roman"/>
                <w:color w:val="auto"/>
                <w:sz w:val="24"/>
                <w:highlight w:val="none"/>
                <w:lang w:val="en-US" w:eastAsia="zh-CN"/>
              </w:rPr>
            </w:pPr>
          </w:p>
          <w:p w14:paraId="314174CF">
            <w:pPr>
              <w:snapToGrid w:val="0"/>
              <w:spacing w:line="360" w:lineRule="auto"/>
              <w:rPr>
                <w:rFonts w:hint="default" w:ascii="Times New Roman" w:hAnsi="Times New Roman" w:eastAsia="宋体" w:cs="Times New Roman"/>
                <w:color w:val="auto"/>
                <w:sz w:val="24"/>
                <w:highlight w:val="none"/>
                <w:lang w:val="en-US" w:eastAsia="zh-CN"/>
              </w:rPr>
            </w:pPr>
          </w:p>
          <w:p w14:paraId="5400BC54">
            <w:pPr>
              <w:snapToGrid w:val="0"/>
              <w:spacing w:line="360" w:lineRule="auto"/>
              <w:rPr>
                <w:rFonts w:hint="default" w:ascii="Times New Roman" w:hAnsi="Times New Roman" w:eastAsia="宋体" w:cs="Times New Roman"/>
                <w:color w:val="auto"/>
                <w:sz w:val="24"/>
                <w:highlight w:val="none"/>
                <w:lang w:val="en-US" w:eastAsia="zh-CN"/>
              </w:rPr>
            </w:pPr>
          </w:p>
          <w:p w14:paraId="5227EC2D">
            <w:pPr>
              <w:snapToGrid w:val="0"/>
              <w:spacing w:line="360" w:lineRule="auto"/>
              <w:rPr>
                <w:rFonts w:hint="default" w:ascii="Times New Roman" w:hAnsi="Times New Roman" w:eastAsia="宋体" w:cs="Times New Roman"/>
                <w:color w:val="auto"/>
                <w:sz w:val="24"/>
                <w:highlight w:val="none"/>
                <w:lang w:val="en-US" w:eastAsia="zh-CN"/>
              </w:rPr>
            </w:pPr>
          </w:p>
          <w:p w14:paraId="2CE8615E">
            <w:pPr>
              <w:snapToGrid w:val="0"/>
              <w:spacing w:line="360" w:lineRule="auto"/>
              <w:rPr>
                <w:rFonts w:hint="default" w:ascii="Times New Roman" w:hAnsi="Times New Roman" w:eastAsia="宋体" w:cs="Times New Roman"/>
                <w:color w:val="auto"/>
                <w:sz w:val="24"/>
                <w:highlight w:val="none"/>
                <w:lang w:val="en-US" w:eastAsia="zh-CN"/>
              </w:rPr>
            </w:pPr>
          </w:p>
          <w:p w14:paraId="4C40E5CB">
            <w:pPr>
              <w:snapToGrid w:val="0"/>
              <w:spacing w:line="360" w:lineRule="auto"/>
              <w:rPr>
                <w:rFonts w:hint="default" w:ascii="Times New Roman" w:hAnsi="Times New Roman" w:eastAsia="宋体" w:cs="Times New Roman"/>
                <w:color w:val="auto"/>
                <w:sz w:val="24"/>
                <w:highlight w:val="none"/>
                <w:lang w:val="en-US" w:eastAsia="zh-CN"/>
              </w:rPr>
            </w:pPr>
          </w:p>
          <w:p w14:paraId="6BA39729">
            <w:pPr>
              <w:snapToGrid w:val="0"/>
              <w:spacing w:line="360" w:lineRule="auto"/>
              <w:rPr>
                <w:rFonts w:hint="default" w:ascii="Times New Roman" w:hAnsi="Times New Roman" w:eastAsia="宋体" w:cs="Times New Roman"/>
                <w:color w:val="auto"/>
                <w:sz w:val="24"/>
                <w:highlight w:val="none"/>
                <w:lang w:val="en-US" w:eastAsia="zh-CN"/>
              </w:rPr>
            </w:pPr>
          </w:p>
        </w:tc>
      </w:tr>
    </w:tbl>
    <w:p w14:paraId="225E5BA3">
      <w:pPr>
        <w:pStyle w:val="20"/>
        <w:jc w:val="center"/>
        <w:outlineLvl w:val="0"/>
        <w:rPr>
          <w:rFonts w:hint="default" w:ascii="Times New Roman" w:hAnsi="Times New Roman" w:eastAsia="宋体" w:cs="Times New Roman"/>
          <w:snapToGrid w:val="0"/>
          <w:color w:val="auto"/>
          <w:sz w:val="36"/>
          <w:szCs w:val="36"/>
          <w:highlight w:val="none"/>
        </w:rPr>
      </w:pPr>
      <w:r>
        <w:rPr>
          <w:rFonts w:hint="default" w:ascii="Times New Roman" w:hAnsi="Times New Roman" w:eastAsia="宋体" w:cs="Times New Roman"/>
          <w:snapToGrid w:val="0"/>
          <w:color w:val="auto"/>
          <w:sz w:val="32"/>
          <w:szCs w:val="22"/>
          <w:highlight w:val="none"/>
        </w:rPr>
        <w:br w:type="page"/>
      </w:r>
      <w:r>
        <w:rPr>
          <w:rStyle w:val="43"/>
          <w:rFonts w:hint="default" w:ascii="Times New Roman" w:hAnsi="Times New Roman" w:eastAsia="宋体" w:cs="Times New Roman"/>
          <w:b w:val="0"/>
          <w:bCs w:val="0"/>
          <w:color w:val="auto"/>
          <w:sz w:val="36"/>
          <w:szCs w:val="36"/>
          <w:highlight w:val="none"/>
        </w:rPr>
        <w:t>六、结论</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18B7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8EE377C">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本项目的建设符合产业政策及相关规划，符合</w:t>
            </w:r>
            <w:r>
              <w:rPr>
                <w:rFonts w:hint="eastAsia"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三线一单</w:t>
            </w:r>
            <w:r>
              <w:rPr>
                <w:rFonts w:hint="eastAsia"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管理要求，选址合理；污染防治措施切实可行；各污染物经环保设施治理后能够达标排放，对区域环境质量的影响较小；环境风险可控。建设单位在严格落实本报告表和项目设计方案提出的各项环保措施的前提下，从环境保护角度分析，本项目建设是可行的。</w:t>
            </w:r>
          </w:p>
          <w:p w14:paraId="05D35D87">
            <w:pPr>
              <w:spacing w:line="360" w:lineRule="auto"/>
              <w:rPr>
                <w:rFonts w:hint="default" w:ascii="Times New Roman" w:hAnsi="Times New Roman" w:eastAsia="宋体" w:cs="Times New Roman"/>
                <w:color w:val="auto"/>
                <w:sz w:val="32"/>
                <w:szCs w:val="32"/>
                <w:highlight w:val="none"/>
              </w:rPr>
            </w:pPr>
          </w:p>
        </w:tc>
      </w:tr>
    </w:tbl>
    <w:p w14:paraId="59FA0725">
      <w:pPr>
        <w:pStyle w:val="20"/>
        <w:adjustRightInd w:val="0"/>
        <w:snapToGrid w:val="0"/>
        <w:spacing w:before="0" w:beforeAutospacing="0" w:after="0" w:afterAutospacing="0"/>
        <w:jc w:val="both"/>
        <w:outlineLvl w:val="0"/>
        <w:rPr>
          <w:rFonts w:hint="default" w:ascii="Times New Roman" w:hAnsi="Times New Roman" w:eastAsia="宋体" w:cs="Times New Roman"/>
          <w:snapToGrid w:val="0"/>
          <w:color w:val="auto"/>
          <w:sz w:val="32"/>
          <w:szCs w:val="22"/>
          <w:highlight w:val="none"/>
        </w:rPr>
        <w:sectPr>
          <w:pgSz w:w="11906" w:h="16838"/>
          <w:pgMar w:top="1701" w:right="1531" w:bottom="1860"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7F0F393">
      <w:pPr>
        <w:jc w:val="center"/>
        <w:rPr>
          <w:rFonts w:hint="default" w:ascii="Times New Roman" w:hAnsi="Times New Roman" w:eastAsia="宋体" w:cs="Times New Roman"/>
          <w:b/>
          <w:bCs/>
          <w:color w:val="auto"/>
          <w:sz w:val="18"/>
          <w:szCs w:val="21"/>
          <w:highlight w:val="none"/>
        </w:rPr>
      </w:pPr>
      <w:r>
        <w:rPr>
          <w:rFonts w:hint="default" w:ascii="Times New Roman" w:hAnsi="Times New Roman" w:eastAsia="宋体" w:cs="Times New Roman"/>
          <w:snapToGrid w:val="0"/>
          <w:color w:val="auto"/>
          <w:sz w:val="44"/>
          <w:szCs w:val="44"/>
          <w:highlight w:val="none"/>
        </w:rPr>
        <w:t xml:space="preserve">建设项目污染物排放量汇总表 </w:t>
      </w:r>
      <w:r>
        <w:rPr>
          <w:rFonts w:hint="default" w:ascii="Times New Roman" w:hAnsi="Times New Roman" w:eastAsia="宋体" w:cs="Times New Roman"/>
          <w:b/>
          <w:bCs/>
          <w:snapToGrid w:val="0"/>
          <w:color w:val="auto"/>
          <w:sz w:val="28"/>
          <w:szCs w:val="28"/>
          <w:highlight w:val="none"/>
        </w:rPr>
        <w:t>单位：t/a</w:t>
      </w:r>
    </w:p>
    <w:tbl>
      <w:tblPr>
        <w:tblStyle w:val="23"/>
        <w:tblW w:w="1395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2"/>
        <w:gridCol w:w="2906"/>
        <w:gridCol w:w="1407"/>
        <w:gridCol w:w="1101"/>
        <w:gridCol w:w="1469"/>
        <w:gridCol w:w="1458"/>
        <w:gridCol w:w="1264"/>
        <w:gridCol w:w="1642"/>
        <w:gridCol w:w="1396"/>
      </w:tblGrid>
      <w:tr w14:paraId="312F09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tcBorders>
              <w:tl2br w:val="single" w:color="auto" w:sz="4" w:space="0"/>
            </w:tcBorders>
            <w:tcMar>
              <w:left w:w="28" w:type="dxa"/>
              <w:right w:w="28" w:type="dxa"/>
            </w:tcMar>
            <w:vAlign w:val="center"/>
          </w:tcPr>
          <w:p w14:paraId="21BD4624">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项目</w:t>
            </w:r>
          </w:p>
          <w:p w14:paraId="75389097">
            <w:pPr>
              <w:snapToGrid w:val="0"/>
              <w:spacing w:line="240" w:lineRule="auto"/>
              <w:rPr>
                <w:rFonts w:hint="default" w:ascii="Times New Roman" w:hAnsi="Times New Roman" w:eastAsia="宋体" w:cs="Times New Roman"/>
                <w:color w:val="auto"/>
                <w:sz w:val="22"/>
                <w:szCs w:val="22"/>
                <w:highlight w:val="none"/>
              </w:rPr>
            </w:pPr>
          </w:p>
          <w:p w14:paraId="160FF5EE">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分类</w:t>
            </w:r>
          </w:p>
        </w:tc>
        <w:tc>
          <w:tcPr>
            <w:tcW w:w="2906" w:type="dxa"/>
            <w:tcMar>
              <w:left w:w="28" w:type="dxa"/>
              <w:right w:w="28" w:type="dxa"/>
            </w:tcMar>
            <w:vAlign w:val="center"/>
          </w:tcPr>
          <w:p w14:paraId="7D5A75B6">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污染物名称</w:t>
            </w:r>
          </w:p>
        </w:tc>
        <w:tc>
          <w:tcPr>
            <w:tcW w:w="1407" w:type="dxa"/>
            <w:tcMar>
              <w:left w:w="28" w:type="dxa"/>
              <w:right w:w="28" w:type="dxa"/>
            </w:tcMar>
            <w:vAlign w:val="center"/>
          </w:tcPr>
          <w:p w14:paraId="1262C78C">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现有工程排放量（固体废物产生量）</w:t>
            </w: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1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color w:val="auto"/>
                <w:sz w:val="22"/>
                <w:highlight w:val="none"/>
              </w:rPr>
              <w:t>①</w:t>
            </w:r>
            <w:r>
              <w:rPr>
                <w:rFonts w:hint="default" w:ascii="Times New Roman" w:hAnsi="Times New Roman" w:eastAsia="宋体" w:cs="Times New Roman"/>
                <w:b/>
                <w:bCs/>
                <w:snapToGrid w:val="0"/>
                <w:color w:val="auto"/>
                <w:spacing w:val="-6"/>
                <w:kern w:val="21"/>
                <w:sz w:val="22"/>
                <w:highlight w:val="none"/>
              </w:rPr>
              <w:fldChar w:fldCharType="end"/>
            </w:r>
          </w:p>
        </w:tc>
        <w:tc>
          <w:tcPr>
            <w:tcW w:w="1101" w:type="dxa"/>
            <w:tcMar>
              <w:left w:w="28" w:type="dxa"/>
              <w:right w:w="28" w:type="dxa"/>
            </w:tcMar>
            <w:vAlign w:val="center"/>
          </w:tcPr>
          <w:p w14:paraId="728E0638">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现有工程许可排放量</w:t>
            </w: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2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snapToGrid w:val="0"/>
                <w:color w:val="auto"/>
                <w:spacing w:val="-6"/>
                <w:kern w:val="21"/>
                <w:sz w:val="22"/>
                <w:highlight w:val="none"/>
              </w:rPr>
              <w:t>②</w:t>
            </w:r>
            <w:r>
              <w:rPr>
                <w:rFonts w:hint="default" w:ascii="Times New Roman" w:hAnsi="Times New Roman" w:eastAsia="宋体" w:cs="Times New Roman"/>
                <w:b/>
                <w:bCs/>
                <w:snapToGrid w:val="0"/>
                <w:color w:val="auto"/>
                <w:spacing w:val="-6"/>
                <w:kern w:val="21"/>
                <w:sz w:val="22"/>
                <w:highlight w:val="none"/>
              </w:rPr>
              <w:fldChar w:fldCharType="end"/>
            </w:r>
          </w:p>
        </w:tc>
        <w:tc>
          <w:tcPr>
            <w:tcW w:w="1469" w:type="dxa"/>
            <w:tcMar>
              <w:left w:w="28" w:type="dxa"/>
              <w:right w:w="28" w:type="dxa"/>
            </w:tcMar>
            <w:vAlign w:val="center"/>
          </w:tcPr>
          <w:p w14:paraId="4D9193AB">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在建工程排放量（固体废物产生量）</w:t>
            </w: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3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color w:val="auto"/>
                <w:sz w:val="22"/>
                <w:highlight w:val="none"/>
              </w:rPr>
              <w:t>③</w:t>
            </w:r>
            <w:r>
              <w:rPr>
                <w:rFonts w:hint="default" w:ascii="Times New Roman" w:hAnsi="Times New Roman" w:eastAsia="宋体" w:cs="Times New Roman"/>
                <w:b/>
                <w:bCs/>
                <w:snapToGrid w:val="0"/>
                <w:color w:val="auto"/>
                <w:spacing w:val="-6"/>
                <w:kern w:val="21"/>
                <w:sz w:val="22"/>
                <w:highlight w:val="none"/>
              </w:rPr>
              <w:fldChar w:fldCharType="end"/>
            </w:r>
          </w:p>
        </w:tc>
        <w:tc>
          <w:tcPr>
            <w:tcW w:w="1458" w:type="dxa"/>
            <w:tcMar>
              <w:left w:w="28" w:type="dxa"/>
              <w:right w:w="28" w:type="dxa"/>
            </w:tcMar>
            <w:vAlign w:val="center"/>
          </w:tcPr>
          <w:p w14:paraId="64DAF4BD">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本项目排放量（固体废物产生量）</w:t>
            </w: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4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color w:val="auto"/>
                <w:sz w:val="22"/>
                <w:highlight w:val="none"/>
              </w:rPr>
              <w:t>④</w:t>
            </w:r>
            <w:r>
              <w:rPr>
                <w:rFonts w:hint="default" w:ascii="Times New Roman" w:hAnsi="Times New Roman" w:eastAsia="宋体" w:cs="Times New Roman"/>
                <w:b/>
                <w:bCs/>
                <w:snapToGrid w:val="0"/>
                <w:color w:val="auto"/>
                <w:spacing w:val="-6"/>
                <w:kern w:val="21"/>
                <w:sz w:val="22"/>
                <w:highlight w:val="none"/>
              </w:rPr>
              <w:fldChar w:fldCharType="end"/>
            </w:r>
          </w:p>
        </w:tc>
        <w:tc>
          <w:tcPr>
            <w:tcW w:w="1264" w:type="dxa"/>
            <w:tcMar>
              <w:left w:w="28" w:type="dxa"/>
              <w:right w:w="28" w:type="dxa"/>
            </w:tcMar>
            <w:vAlign w:val="center"/>
          </w:tcPr>
          <w:p w14:paraId="3EEBECE6">
            <w:pPr>
              <w:pStyle w:val="44"/>
              <w:spacing w:beforeLines="0" w:afterLines="0" w:line="240" w:lineRule="auto"/>
              <w:rPr>
                <w:rFonts w:hint="default" w:ascii="Times New Roman" w:hAnsi="Times New Roman" w:eastAsia="宋体" w:cs="Times New Roman"/>
                <w:b/>
                <w:bCs/>
                <w:snapToGrid w:val="0"/>
                <w:color w:val="auto"/>
                <w:spacing w:val="-16"/>
                <w:kern w:val="21"/>
                <w:sz w:val="22"/>
                <w:highlight w:val="none"/>
              </w:rPr>
            </w:pPr>
            <w:r>
              <w:rPr>
                <w:rFonts w:hint="default" w:ascii="Times New Roman" w:hAnsi="Times New Roman" w:eastAsia="宋体" w:cs="Times New Roman"/>
                <w:b/>
                <w:bCs/>
                <w:snapToGrid w:val="0"/>
                <w:color w:val="auto"/>
                <w:spacing w:val="-16"/>
                <w:kern w:val="21"/>
                <w:sz w:val="22"/>
                <w:highlight w:val="none"/>
              </w:rPr>
              <w:t>以新带老削减量（新建项目不填）</w:t>
            </w:r>
            <w:r>
              <w:rPr>
                <w:rFonts w:hint="default" w:ascii="Times New Roman" w:hAnsi="Times New Roman" w:eastAsia="宋体" w:cs="Times New Roman"/>
                <w:b/>
                <w:bCs/>
                <w:snapToGrid w:val="0"/>
                <w:color w:val="auto"/>
                <w:spacing w:val="-16"/>
                <w:kern w:val="21"/>
                <w:sz w:val="22"/>
                <w:highlight w:val="none"/>
              </w:rPr>
              <w:fldChar w:fldCharType="begin"/>
            </w:r>
            <w:r>
              <w:rPr>
                <w:rFonts w:hint="default" w:ascii="Times New Roman" w:hAnsi="Times New Roman" w:eastAsia="宋体" w:cs="Times New Roman"/>
                <w:b/>
                <w:bCs/>
                <w:snapToGrid w:val="0"/>
                <w:color w:val="auto"/>
                <w:spacing w:val="-16"/>
                <w:kern w:val="21"/>
                <w:sz w:val="22"/>
                <w:highlight w:val="none"/>
              </w:rPr>
              <w:instrText xml:space="preserve"> = 5 \* GB3 \* MERGEFORMAT </w:instrText>
            </w:r>
            <w:r>
              <w:rPr>
                <w:rFonts w:hint="default" w:ascii="Times New Roman" w:hAnsi="Times New Roman" w:eastAsia="宋体" w:cs="Times New Roman"/>
                <w:b/>
                <w:bCs/>
                <w:snapToGrid w:val="0"/>
                <w:color w:val="auto"/>
                <w:spacing w:val="-16"/>
                <w:kern w:val="21"/>
                <w:sz w:val="22"/>
                <w:highlight w:val="none"/>
              </w:rPr>
              <w:fldChar w:fldCharType="separate"/>
            </w:r>
            <w:r>
              <w:rPr>
                <w:rFonts w:hint="default" w:ascii="Times New Roman" w:hAnsi="Times New Roman" w:eastAsia="宋体" w:cs="Times New Roman"/>
                <w:b/>
                <w:bCs/>
                <w:color w:val="auto"/>
                <w:sz w:val="22"/>
                <w:highlight w:val="none"/>
              </w:rPr>
              <w:t>⑤</w:t>
            </w:r>
            <w:r>
              <w:rPr>
                <w:rFonts w:hint="default" w:ascii="Times New Roman" w:hAnsi="Times New Roman" w:eastAsia="宋体" w:cs="Times New Roman"/>
                <w:b/>
                <w:bCs/>
                <w:snapToGrid w:val="0"/>
                <w:color w:val="auto"/>
                <w:spacing w:val="-16"/>
                <w:kern w:val="21"/>
                <w:sz w:val="22"/>
                <w:highlight w:val="none"/>
              </w:rPr>
              <w:fldChar w:fldCharType="end"/>
            </w:r>
          </w:p>
        </w:tc>
        <w:tc>
          <w:tcPr>
            <w:tcW w:w="1642" w:type="dxa"/>
            <w:tcMar>
              <w:left w:w="28" w:type="dxa"/>
              <w:right w:w="28" w:type="dxa"/>
            </w:tcMar>
            <w:vAlign w:val="center"/>
          </w:tcPr>
          <w:p w14:paraId="7BEBFF27">
            <w:pPr>
              <w:pStyle w:val="44"/>
              <w:spacing w:beforeLines="0" w:afterLines="0" w:line="240" w:lineRule="auto"/>
              <w:rPr>
                <w:rFonts w:hint="default" w:ascii="Times New Roman" w:hAnsi="Times New Roman" w:eastAsia="宋体" w:cs="Times New Roman"/>
                <w:b/>
                <w:bCs/>
                <w:snapToGrid w:val="0"/>
                <w:color w:val="auto"/>
                <w:spacing w:val="-16"/>
                <w:kern w:val="21"/>
                <w:sz w:val="22"/>
                <w:highlight w:val="none"/>
              </w:rPr>
            </w:pPr>
            <w:r>
              <w:rPr>
                <w:rFonts w:hint="default" w:ascii="Times New Roman" w:hAnsi="Times New Roman" w:eastAsia="宋体" w:cs="Times New Roman"/>
                <w:b/>
                <w:bCs/>
                <w:snapToGrid w:val="0"/>
                <w:color w:val="auto"/>
                <w:spacing w:val="-16"/>
                <w:kern w:val="21"/>
                <w:sz w:val="22"/>
                <w:highlight w:val="none"/>
              </w:rPr>
              <w:t>本项目建成后</w:t>
            </w:r>
          </w:p>
          <w:p w14:paraId="27A885F0">
            <w:pPr>
              <w:pStyle w:val="44"/>
              <w:spacing w:beforeLines="0" w:afterLines="0" w:line="240" w:lineRule="auto"/>
              <w:rPr>
                <w:rFonts w:hint="default" w:ascii="Times New Roman" w:hAnsi="Times New Roman" w:eastAsia="宋体" w:cs="Times New Roman"/>
                <w:b/>
                <w:bCs/>
                <w:snapToGrid w:val="0"/>
                <w:color w:val="auto"/>
                <w:spacing w:val="-16"/>
                <w:kern w:val="21"/>
                <w:sz w:val="22"/>
                <w:highlight w:val="none"/>
              </w:rPr>
            </w:pPr>
            <w:r>
              <w:rPr>
                <w:rFonts w:hint="default" w:ascii="Times New Roman" w:hAnsi="Times New Roman" w:eastAsia="宋体" w:cs="Times New Roman"/>
                <w:b/>
                <w:bCs/>
                <w:snapToGrid w:val="0"/>
                <w:color w:val="auto"/>
                <w:spacing w:val="-16"/>
                <w:kern w:val="21"/>
                <w:sz w:val="22"/>
                <w:highlight w:val="none"/>
              </w:rPr>
              <w:t>全厂排放量（固体废物产生量）</w:t>
            </w:r>
            <w:r>
              <w:rPr>
                <w:rFonts w:hint="default" w:ascii="Times New Roman" w:hAnsi="Times New Roman" w:eastAsia="宋体" w:cs="Times New Roman"/>
                <w:b/>
                <w:bCs/>
                <w:snapToGrid w:val="0"/>
                <w:color w:val="auto"/>
                <w:spacing w:val="-16"/>
                <w:kern w:val="21"/>
                <w:sz w:val="22"/>
                <w:highlight w:val="none"/>
              </w:rPr>
              <w:fldChar w:fldCharType="begin"/>
            </w:r>
            <w:r>
              <w:rPr>
                <w:rFonts w:hint="default" w:ascii="Times New Roman" w:hAnsi="Times New Roman" w:eastAsia="宋体" w:cs="Times New Roman"/>
                <w:b/>
                <w:bCs/>
                <w:snapToGrid w:val="0"/>
                <w:color w:val="auto"/>
                <w:spacing w:val="-16"/>
                <w:kern w:val="21"/>
                <w:sz w:val="22"/>
                <w:highlight w:val="none"/>
              </w:rPr>
              <w:instrText xml:space="preserve"> = 6 \* GB3 \* MERGEFORMAT </w:instrText>
            </w:r>
            <w:r>
              <w:rPr>
                <w:rFonts w:hint="default" w:ascii="Times New Roman" w:hAnsi="Times New Roman" w:eastAsia="宋体" w:cs="Times New Roman"/>
                <w:b/>
                <w:bCs/>
                <w:snapToGrid w:val="0"/>
                <w:color w:val="auto"/>
                <w:spacing w:val="-16"/>
                <w:kern w:val="21"/>
                <w:sz w:val="22"/>
                <w:highlight w:val="none"/>
              </w:rPr>
              <w:fldChar w:fldCharType="separate"/>
            </w:r>
            <w:r>
              <w:rPr>
                <w:rFonts w:hint="default" w:ascii="Times New Roman" w:hAnsi="Times New Roman" w:eastAsia="宋体" w:cs="Times New Roman"/>
                <w:b/>
                <w:bCs/>
                <w:color w:val="auto"/>
                <w:sz w:val="22"/>
                <w:highlight w:val="none"/>
              </w:rPr>
              <w:t>⑥</w:t>
            </w:r>
            <w:r>
              <w:rPr>
                <w:rFonts w:hint="default" w:ascii="Times New Roman" w:hAnsi="Times New Roman" w:eastAsia="宋体" w:cs="Times New Roman"/>
                <w:b/>
                <w:bCs/>
                <w:snapToGrid w:val="0"/>
                <w:color w:val="auto"/>
                <w:spacing w:val="-16"/>
                <w:kern w:val="21"/>
                <w:sz w:val="22"/>
                <w:highlight w:val="none"/>
              </w:rPr>
              <w:fldChar w:fldCharType="end"/>
            </w:r>
          </w:p>
        </w:tc>
        <w:tc>
          <w:tcPr>
            <w:tcW w:w="1396" w:type="dxa"/>
            <w:tcMar>
              <w:left w:w="28" w:type="dxa"/>
              <w:right w:w="28" w:type="dxa"/>
            </w:tcMar>
            <w:vAlign w:val="center"/>
          </w:tcPr>
          <w:p w14:paraId="07270AF4">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t>变化量</w:t>
            </w:r>
          </w:p>
          <w:p w14:paraId="7FDBE00B">
            <w:pPr>
              <w:pStyle w:val="44"/>
              <w:spacing w:beforeLines="0" w:afterLines="0" w:line="240" w:lineRule="auto"/>
              <w:rPr>
                <w:rFonts w:hint="default" w:ascii="Times New Roman" w:hAnsi="Times New Roman" w:eastAsia="宋体" w:cs="Times New Roman"/>
                <w:b/>
                <w:bCs/>
                <w:snapToGrid w:val="0"/>
                <w:color w:val="auto"/>
                <w:spacing w:val="-6"/>
                <w:kern w:val="21"/>
                <w:sz w:val="22"/>
                <w:highlight w:val="none"/>
              </w:rPr>
            </w:pPr>
            <w:r>
              <w:rPr>
                <w:rFonts w:hint="default" w:ascii="Times New Roman" w:hAnsi="Times New Roman" w:eastAsia="宋体" w:cs="Times New Roman"/>
                <w:b/>
                <w:bCs/>
                <w:snapToGrid w:val="0"/>
                <w:color w:val="auto"/>
                <w:spacing w:val="-6"/>
                <w:kern w:val="21"/>
                <w:sz w:val="22"/>
                <w:highlight w:val="none"/>
              </w:rPr>
              <w:fldChar w:fldCharType="begin"/>
            </w:r>
            <w:r>
              <w:rPr>
                <w:rFonts w:hint="default" w:ascii="Times New Roman" w:hAnsi="Times New Roman" w:eastAsia="宋体" w:cs="Times New Roman"/>
                <w:b/>
                <w:bCs/>
                <w:snapToGrid w:val="0"/>
                <w:color w:val="auto"/>
                <w:spacing w:val="-6"/>
                <w:kern w:val="21"/>
                <w:sz w:val="22"/>
                <w:highlight w:val="none"/>
              </w:rPr>
              <w:instrText xml:space="preserve"> = 7 \* GB3 \* MERGEFORMAT </w:instrText>
            </w:r>
            <w:r>
              <w:rPr>
                <w:rFonts w:hint="default" w:ascii="Times New Roman" w:hAnsi="Times New Roman" w:eastAsia="宋体" w:cs="Times New Roman"/>
                <w:b/>
                <w:bCs/>
                <w:snapToGrid w:val="0"/>
                <w:color w:val="auto"/>
                <w:spacing w:val="-6"/>
                <w:kern w:val="21"/>
                <w:sz w:val="22"/>
                <w:highlight w:val="none"/>
              </w:rPr>
              <w:fldChar w:fldCharType="separate"/>
            </w:r>
            <w:r>
              <w:rPr>
                <w:rFonts w:hint="default" w:ascii="Times New Roman" w:hAnsi="Times New Roman" w:eastAsia="宋体" w:cs="Times New Roman"/>
                <w:b/>
                <w:bCs/>
                <w:color w:val="auto"/>
                <w:sz w:val="22"/>
                <w:highlight w:val="none"/>
              </w:rPr>
              <w:t>⑦</w:t>
            </w:r>
            <w:r>
              <w:rPr>
                <w:rFonts w:hint="default" w:ascii="Times New Roman" w:hAnsi="Times New Roman" w:eastAsia="宋体" w:cs="Times New Roman"/>
                <w:b/>
                <w:bCs/>
                <w:snapToGrid w:val="0"/>
                <w:color w:val="auto"/>
                <w:spacing w:val="-6"/>
                <w:kern w:val="21"/>
                <w:sz w:val="22"/>
                <w:highlight w:val="none"/>
              </w:rPr>
              <w:fldChar w:fldCharType="end"/>
            </w:r>
          </w:p>
        </w:tc>
      </w:tr>
      <w:tr w14:paraId="555EC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restart"/>
            <w:vAlign w:val="center"/>
          </w:tcPr>
          <w:p w14:paraId="747ADF5B">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废气</w:t>
            </w:r>
          </w:p>
        </w:tc>
        <w:tc>
          <w:tcPr>
            <w:tcW w:w="2906" w:type="dxa"/>
            <w:shd w:val="clear" w:color="auto" w:fill="auto"/>
            <w:vAlign w:val="center"/>
          </w:tcPr>
          <w:p w14:paraId="28D7A9A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en-US"/>
              </w:rPr>
            </w:pPr>
            <w:r>
              <w:rPr>
                <w:rFonts w:hint="default" w:ascii="Times New Roman" w:hAnsi="Times New Roman" w:eastAsia="宋体" w:cs="Times New Roman"/>
                <w:color w:val="auto"/>
                <w:sz w:val="22"/>
                <w:szCs w:val="22"/>
                <w:highlight w:val="none"/>
                <w:lang w:val="en-US" w:eastAsia="zh-CN"/>
              </w:rPr>
              <w:t>甲醇</w:t>
            </w:r>
          </w:p>
        </w:tc>
        <w:tc>
          <w:tcPr>
            <w:tcW w:w="1407" w:type="dxa"/>
            <w:shd w:val="clear" w:color="auto" w:fill="auto"/>
            <w:vAlign w:val="center"/>
          </w:tcPr>
          <w:p w14:paraId="7493843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vAlign w:val="center"/>
          </w:tcPr>
          <w:p w14:paraId="5A432B8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vAlign w:val="center"/>
          </w:tcPr>
          <w:p w14:paraId="5DEAEC2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18739BB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1346</w:t>
            </w:r>
          </w:p>
        </w:tc>
        <w:tc>
          <w:tcPr>
            <w:tcW w:w="1264" w:type="dxa"/>
            <w:vAlign w:val="center"/>
          </w:tcPr>
          <w:p w14:paraId="262AAB9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E061C25">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1346 </w:t>
            </w:r>
          </w:p>
        </w:tc>
        <w:tc>
          <w:tcPr>
            <w:tcW w:w="1396" w:type="dxa"/>
            <w:shd w:val="clear" w:color="auto" w:fill="auto"/>
            <w:vAlign w:val="center"/>
          </w:tcPr>
          <w:p w14:paraId="5B72922E">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1346 </w:t>
            </w:r>
          </w:p>
        </w:tc>
      </w:tr>
      <w:tr w14:paraId="2B5D85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572E68B0">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4B73FD8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其他A类物质（</w:t>
            </w:r>
            <w:r>
              <w:rPr>
                <w:rFonts w:hint="default" w:ascii="Times New Roman" w:hAnsi="Times New Roman" w:eastAsia="宋体" w:cs="Times New Roman"/>
                <w:color w:val="auto"/>
                <w:sz w:val="22"/>
                <w:szCs w:val="22"/>
                <w:highlight w:val="none"/>
                <w:lang w:val="en-US" w:eastAsia="zh-CN"/>
              </w:rPr>
              <w:t>乙酸</w:t>
            </w:r>
            <w:r>
              <w:rPr>
                <w:rFonts w:hint="eastAsia" w:ascii="Times New Roman" w:hAnsi="Times New Roman" w:eastAsia="宋体" w:cs="Times New Roman"/>
                <w:color w:val="auto"/>
                <w:sz w:val="22"/>
                <w:szCs w:val="22"/>
                <w:highlight w:val="none"/>
                <w:lang w:val="en-US" w:eastAsia="zh-CN"/>
              </w:rPr>
              <w:t>）</w:t>
            </w:r>
          </w:p>
        </w:tc>
        <w:tc>
          <w:tcPr>
            <w:tcW w:w="1407" w:type="dxa"/>
            <w:shd w:val="clear" w:color="auto" w:fill="auto"/>
            <w:vAlign w:val="center"/>
          </w:tcPr>
          <w:p w14:paraId="2E2B1DE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vAlign w:val="center"/>
          </w:tcPr>
          <w:p w14:paraId="04154F7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vAlign w:val="center"/>
          </w:tcPr>
          <w:p w14:paraId="7608433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2CB2A86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1783</w:t>
            </w:r>
          </w:p>
        </w:tc>
        <w:tc>
          <w:tcPr>
            <w:tcW w:w="1264" w:type="dxa"/>
            <w:vAlign w:val="center"/>
          </w:tcPr>
          <w:p w14:paraId="4DCC718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3F666DD">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1783 </w:t>
            </w:r>
          </w:p>
        </w:tc>
        <w:tc>
          <w:tcPr>
            <w:tcW w:w="1396" w:type="dxa"/>
            <w:shd w:val="clear" w:color="auto" w:fill="auto"/>
            <w:vAlign w:val="center"/>
          </w:tcPr>
          <w:p w14:paraId="293DDA7D">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1783 </w:t>
            </w:r>
          </w:p>
        </w:tc>
      </w:tr>
      <w:tr w14:paraId="7F3E8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770EDD7C">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28DFDD4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其他C类物质（</w:t>
            </w:r>
            <w:r>
              <w:rPr>
                <w:rFonts w:hint="default" w:ascii="Times New Roman" w:hAnsi="Times New Roman" w:eastAsia="宋体" w:cs="Times New Roman"/>
                <w:color w:val="auto"/>
                <w:sz w:val="22"/>
                <w:szCs w:val="22"/>
                <w:highlight w:val="none"/>
                <w:lang w:val="en-US" w:eastAsia="zh-CN"/>
              </w:rPr>
              <w:t>乙酸乙酯</w:t>
            </w:r>
            <w:r>
              <w:rPr>
                <w:rFonts w:hint="eastAsia" w:ascii="Times New Roman" w:hAnsi="Times New Roman" w:eastAsia="宋体" w:cs="Times New Roman"/>
                <w:color w:val="auto"/>
                <w:sz w:val="22"/>
                <w:szCs w:val="22"/>
                <w:highlight w:val="none"/>
                <w:lang w:val="en-US" w:eastAsia="zh-CN"/>
              </w:rPr>
              <w:t>）</w:t>
            </w:r>
          </w:p>
        </w:tc>
        <w:tc>
          <w:tcPr>
            <w:tcW w:w="1407" w:type="dxa"/>
            <w:shd w:val="clear" w:color="auto" w:fill="auto"/>
            <w:vAlign w:val="center"/>
          </w:tcPr>
          <w:p w14:paraId="7E22E02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vAlign w:val="center"/>
          </w:tcPr>
          <w:p w14:paraId="74208DF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vAlign w:val="center"/>
          </w:tcPr>
          <w:p w14:paraId="649731F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1A8D376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2296</w:t>
            </w:r>
          </w:p>
        </w:tc>
        <w:tc>
          <w:tcPr>
            <w:tcW w:w="1264" w:type="dxa"/>
            <w:vAlign w:val="center"/>
          </w:tcPr>
          <w:p w14:paraId="43CC9B6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E7C22D4">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2296 </w:t>
            </w:r>
          </w:p>
        </w:tc>
        <w:tc>
          <w:tcPr>
            <w:tcW w:w="1396" w:type="dxa"/>
            <w:shd w:val="clear" w:color="auto" w:fill="auto"/>
            <w:vAlign w:val="center"/>
          </w:tcPr>
          <w:p w14:paraId="6126BA3B">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2296 </w:t>
            </w:r>
          </w:p>
        </w:tc>
      </w:tr>
      <w:tr w14:paraId="373CC9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5BC47675">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1455EB6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其他C类物质（</w:t>
            </w:r>
            <w:r>
              <w:rPr>
                <w:rFonts w:hint="default" w:ascii="Times New Roman" w:hAnsi="Times New Roman" w:eastAsia="宋体" w:cs="Times New Roman"/>
                <w:color w:val="auto"/>
                <w:sz w:val="22"/>
                <w:szCs w:val="22"/>
                <w:highlight w:val="none"/>
                <w:lang w:val="en-US" w:eastAsia="zh-CN"/>
              </w:rPr>
              <w:t>乙醚</w:t>
            </w:r>
            <w:r>
              <w:rPr>
                <w:rFonts w:hint="eastAsia" w:ascii="Times New Roman" w:hAnsi="Times New Roman" w:eastAsia="宋体" w:cs="Times New Roman"/>
                <w:color w:val="auto"/>
                <w:sz w:val="22"/>
                <w:szCs w:val="22"/>
                <w:highlight w:val="none"/>
                <w:lang w:val="en-US" w:eastAsia="zh-CN"/>
              </w:rPr>
              <w:t>）</w:t>
            </w:r>
          </w:p>
        </w:tc>
        <w:tc>
          <w:tcPr>
            <w:tcW w:w="1407" w:type="dxa"/>
            <w:shd w:val="clear" w:color="auto" w:fill="auto"/>
            <w:vAlign w:val="center"/>
          </w:tcPr>
          <w:p w14:paraId="4742560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vAlign w:val="center"/>
          </w:tcPr>
          <w:p w14:paraId="2D8C080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vAlign w:val="center"/>
          </w:tcPr>
          <w:p w14:paraId="408AB73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3A986A7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1819 </w:t>
            </w:r>
          </w:p>
        </w:tc>
        <w:tc>
          <w:tcPr>
            <w:tcW w:w="1264" w:type="dxa"/>
            <w:vAlign w:val="center"/>
          </w:tcPr>
          <w:p w14:paraId="7A965B2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08C46880">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1819 </w:t>
            </w:r>
          </w:p>
        </w:tc>
        <w:tc>
          <w:tcPr>
            <w:tcW w:w="1396" w:type="dxa"/>
            <w:shd w:val="clear" w:color="auto" w:fill="auto"/>
            <w:vAlign w:val="center"/>
          </w:tcPr>
          <w:p w14:paraId="091EDD5B">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default"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1819 </w:t>
            </w:r>
          </w:p>
        </w:tc>
      </w:tr>
      <w:tr w14:paraId="1D363A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123D9F96">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66D6147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其他C类物质（正己烷）</w:t>
            </w:r>
          </w:p>
        </w:tc>
        <w:tc>
          <w:tcPr>
            <w:tcW w:w="1407" w:type="dxa"/>
            <w:shd w:val="clear" w:color="auto" w:fill="auto"/>
            <w:vAlign w:val="center"/>
          </w:tcPr>
          <w:p w14:paraId="3DDAFAE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vAlign w:val="center"/>
          </w:tcPr>
          <w:p w14:paraId="14D8778B">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vAlign w:val="center"/>
          </w:tcPr>
          <w:p w14:paraId="4F6EBA2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65E76B6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17925 </w:t>
            </w:r>
          </w:p>
        </w:tc>
        <w:tc>
          <w:tcPr>
            <w:tcW w:w="1264" w:type="dxa"/>
            <w:vAlign w:val="center"/>
          </w:tcPr>
          <w:p w14:paraId="7A0FA84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5B79A89">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17925 </w:t>
            </w:r>
          </w:p>
        </w:tc>
        <w:tc>
          <w:tcPr>
            <w:tcW w:w="1396" w:type="dxa"/>
            <w:shd w:val="clear" w:color="auto" w:fill="auto"/>
            <w:vAlign w:val="center"/>
          </w:tcPr>
          <w:p w14:paraId="2FB06598">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17925 </w:t>
            </w:r>
          </w:p>
        </w:tc>
      </w:tr>
      <w:tr w14:paraId="45A3EB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536F46A4">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6083653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其他C类物质（丙酮）</w:t>
            </w:r>
          </w:p>
        </w:tc>
        <w:tc>
          <w:tcPr>
            <w:tcW w:w="1407" w:type="dxa"/>
            <w:shd w:val="clear" w:color="auto" w:fill="auto"/>
            <w:vAlign w:val="center"/>
          </w:tcPr>
          <w:p w14:paraId="6409829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vAlign w:val="center"/>
          </w:tcPr>
          <w:p w14:paraId="5126349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vAlign w:val="center"/>
          </w:tcPr>
          <w:p w14:paraId="1EF7160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FA2297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12877 </w:t>
            </w:r>
          </w:p>
        </w:tc>
        <w:tc>
          <w:tcPr>
            <w:tcW w:w="1264" w:type="dxa"/>
            <w:vAlign w:val="center"/>
          </w:tcPr>
          <w:p w14:paraId="7909B59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719BC017">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12877 </w:t>
            </w:r>
          </w:p>
        </w:tc>
        <w:tc>
          <w:tcPr>
            <w:tcW w:w="1396" w:type="dxa"/>
            <w:shd w:val="clear" w:color="auto" w:fill="auto"/>
            <w:vAlign w:val="center"/>
          </w:tcPr>
          <w:p w14:paraId="539EDC46">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12877 </w:t>
            </w:r>
          </w:p>
        </w:tc>
      </w:tr>
      <w:tr w14:paraId="261EB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14:paraId="5B392CA0">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5FC8537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非甲烷总烃</w:t>
            </w:r>
          </w:p>
        </w:tc>
        <w:tc>
          <w:tcPr>
            <w:tcW w:w="1407" w:type="dxa"/>
            <w:shd w:val="clear" w:color="auto" w:fill="auto"/>
            <w:vAlign w:val="center"/>
          </w:tcPr>
          <w:p w14:paraId="1DD50EF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20B1A5F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45E6C70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A2D9FC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43411 </w:t>
            </w:r>
          </w:p>
        </w:tc>
        <w:tc>
          <w:tcPr>
            <w:tcW w:w="1264" w:type="dxa"/>
            <w:shd w:val="clear" w:color="auto" w:fill="auto"/>
            <w:vAlign w:val="center"/>
          </w:tcPr>
          <w:p w14:paraId="034A208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631C041">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43411 </w:t>
            </w:r>
          </w:p>
        </w:tc>
        <w:tc>
          <w:tcPr>
            <w:tcW w:w="1396" w:type="dxa"/>
            <w:shd w:val="clear" w:color="auto" w:fill="auto"/>
            <w:vAlign w:val="center"/>
          </w:tcPr>
          <w:p w14:paraId="3924D601">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+0.00</w:t>
            </w:r>
            <w:r>
              <w:rPr>
                <w:rFonts w:hint="default" w:ascii="Times New Roman" w:hAnsi="Times New Roman" w:eastAsia="宋体" w:cs="Times New Roman"/>
                <w:color w:val="auto"/>
                <w:sz w:val="22"/>
                <w:szCs w:val="22"/>
                <w:highlight w:val="none"/>
                <w:lang w:val="en-US" w:eastAsia="zh-CN"/>
              </w:rPr>
              <w:t xml:space="preserve">43411 </w:t>
            </w:r>
          </w:p>
        </w:tc>
      </w:tr>
      <w:tr w14:paraId="57A19D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6F5D2933">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2EE3591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氯化氢</w:t>
            </w:r>
          </w:p>
        </w:tc>
        <w:tc>
          <w:tcPr>
            <w:tcW w:w="1407" w:type="dxa"/>
            <w:shd w:val="clear" w:color="auto" w:fill="auto"/>
            <w:vAlign w:val="center"/>
          </w:tcPr>
          <w:p w14:paraId="6438A6B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3ACADA0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0627E25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57EB7A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eastAsia" w:ascii="Times New Roman" w:hAnsi="Times New Roman" w:eastAsia="宋体" w:cs="Times New Roman"/>
                <w:color w:val="auto"/>
                <w:sz w:val="22"/>
                <w:szCs w:val="22"/>
                <w:highlight w:val="none"/>
                <w:lang w:val="en-US" w:eastAsia="zh-CN"/>
              </w:rPr>
              <w:t xml:space="preserve">7945 </w:t>
            </w:r>
          </w:p>
        </w:tc>
        <w:tc>
          <w:tcPr>
            <w:tcW w:w="1264" w:type="dxa"/>
            <w:shd w:val="clear" w:color="auto" w:fill="auto"/>
            <w:vAlign w:val="center"/>
          </w:tcPr>
          <w:p w14:paraId="408CF94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26005979">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eastAsia" w:ascii="Times New Roman" w:hAnsi="Times New Roman" w:eastAsia="宋体" w:cs="Times New Roman"/>
                <w:color w:val="auto"/>
                <w:sz w:val="22"/>
                <w:szCs w:val="22"/>
                <w:highlight w:val="none"/>
                <w:lang w:val="en-US" w:eastAsia="zh-CN"/>
              </w:rPr>
              <w:t xml:space="preserve">7945 </w:t>
            </w:r>
          </w:p>
        </w:tc>
        <w:tc>
          <w:tcPr>
            <w:tcW w:w="1396" w:type="dxa"/>
            <w:shd w:val="clear" w:color="auto" w:fill="auto"/>
            <w:vAlign w:val="center"/>
          </w:tcPr>
          <w:p w14:paraId="1FAA8372">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eastAsia" w:ascii="Times New Roman" w:hAnsi="Times New Roman" w:eastAsia="宋体" w:cs="Times New Roman"/>
                <w:color w:val="auto"/>
                <w:sz w:val="22"/>
                <w:szCs w:val="22"/>
                <w:highlight w:val="none"/>
                <w:lang w:val="en-US" w:eastAsia="zh-CN"/>
              </w:rPr>
              <w:t xml:space="preserve">7945 </w:t>
            </w:r>
          </w:p>
        </w:tc>
      </w:tr>
      <w:tr w14:paraId="6AA2CF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51C4E105">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67A8D38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氮氧化物</w:t>
            </w:r>
          </w:p>
        </w:tc>
        <w:tc>
          <w:tcPr>
            <w:tcW w:w="1407" w:type="dxa"/>
            <w:shd w:val="clear" w:color="auto" w:fill="auto"/>
            <w:vAlign w:val="center"/>
          </w:tcPr>
          <w:p w14:paraId="014A352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7BD312C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5DC55CD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317BD9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eastAsia" w:ascii="Times New Roman" w:hAnsi="Times New Roman" w:eastAsia="宋体" w:cs="Times New Roman"/>
                <w:color w:val="auto"/>
                <w:sz w:val="22"/>
                <w:szCs w:val="22"/>
                <w:highlight w:val="none"/>
                <w:lang w:val="en-US" w:eastAsia="zh-CN"/>
              </w:rPr>
              <w:t xml:space="preserve">2450 </w:t>
            </w:r>
          </w:p>
        </w:tc>
        <w:tc>
          <w:tcPr>
            <w:tcW w:w="1264" w:type="dxa"/>
            <w:shd w:val="clear" w:color="auto" w:fill="auto"/>
            <w:vAlign w:val="center"/>
          </w:tcPr>
          <w:p w14:paraId="3C14AFD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026F70DF">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eastAsia" w:ascii="Times New Roman" w:hAnsi="Times New Roman" w:eastAsia="宋体" w:cs="Times New Roman"/>
                <w:color w:val="auto"/>
                <w:sz w:val="22"/>
                <w:szCs w:val="22"/>
                <w:highlight w:val="none"/>
                <w:lang w:val="en-US" w:eastAsia="zh-CN"/>
              </w:rPr>
              <w:t xml:space="preserve">2450 </w:t>
            </w:r>
          </w:p>
        </w:tc>
        <w:tc>
          <w:tcPr>
            <w:tcW w:w="1396" w:type="dxa"/>
            <w:shd w:val="clear" w:color="auto" w:fill="auto"/>
            <w:vAlign w:val="center"/>
          </w:tcPr>
          <w:p w14:paraId="1A7E60A7">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eastAsia" w:ascii="Times New Roman" w:hAnsi="Times New Roman" w:eastAsia="宋体" w:cs="Times New Roman"/>
                <w:color w:val="auto"/>
                <w:sz w:val="22"/>
                <w:szCs w:val="22"/>
                <w:highlight w:val="none"/>
                <w:lang w:val="en-US" w:eastAsia="zh-CN"/>
              </w:rPr>
              <w:t xml:space="preserve">2450 </w:t>
            </w:r>
          </w:p>
        </w:tc>
      </w:tr>
      <w:tr w14:paraId="2A18B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0F225F1F">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19FCD39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硫酸雾</w:t>
            </w:r>
          </w:p>
        </w:tc>
        <w:tc>
          <w:tcPr>
            <w:tcW w:w="1407" w:type="dxa"/>
            <w:shd w:val="clear" w:color="auto" w:fill="auto"/>
            <w:vAlign w:val="center"/>
          </w:tcPr>
          <w:p w14:paraId="378CAE3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7EA75D8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5EFDA89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3204CC1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eastAsia" w:ascii="Times New Roman" w:hAnsi="Times New Roman" w:eastAsia="宋体" w:cs="Times New Roman"/>
                <w:color w:val="auto"/>
                <w:sz w:val="22"/>
                <w:szCs w:val="22"/>
                <w:highlight w:val="none"/>
                <w:lang w:val="en-US" w:eastAsia="zh-CN"/>
              </w:rPr>
              <w:t xml:space="preserve">0175 </w:t>
            </w:r>
          </w:p>
        </w:tc>
        <w:tc>
          <w:tcPr>
            <w:tcW w:w="1264" w:type="dxa"/>
            <w:shd w:val="clear" w:color="auto" w:fill="auto"/>
            <w:vAlign w:val="center"/>
          </w:tcPr>
          <w:p w14:paraId="5069D8E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133266CC">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eastAsia" w:ascii="Times New Roman" w:hAnsi="Times New Roman" w:eastAsia="宋体" w:cs="Times New Roman"/>
                <w:color w:val="auto"/>
                <w:sz w:val="22"/>
                <w:szCs w:val="22"/>
                <w:highlight w:val="none"/>
                <w:lang w:val="en-US" w:eastAsia="zh-CN"/>
              </w:rPr>
              <w:t xml:space="preserve">0175 </w:t>
            </w:r>
          </w:p>
        </w:tc>
        <w:tc>
          <w:tcPr>
            <w:tcW w:w="1396" w:type="dxa"/>
            <w:shd w:val="clear" w:color="auto" w:fill="auto"/>
            <w:vAlign w:val="center"/>
          </w:tcPr>
          <w:p w14:paraId="3FC5119F">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eastAsia" w:ascii="Times New Roman" w:hAnsi="Times New Roman" w:eastAsia="宋体" w:cs="Times New Roman"/>
                <w:color w:val="auto"/>
                <w:sz w:val="22"/>
                <w:szCs w:val="22"/>
                <w:highlight w:val="none"/>
                <w:lang w:val="en-US" w:eastAsia="zh-CN"/>
              </w:rPr>
              <w:t xml:space="preserve">0175 </w:t>
            </w:r>
          </w:p>
        </w:tc>
      </w:tr>
      <w:tr w14:paraId="4F27B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78888732">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570FEE4F">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氨</w:t>
            </w:r>
          </w:p>
        </w:tc>
        <w:tc>
          <w:tcPr>
            <w:tcW w:w="1407" w:type="dxa"/>
            <w:shd w:val="clear" w:color="auto" w:fill="auto"/>
            <w:vAlign w:val="center"/>
          </w:tcPr>
          <w:p w14:paraId="19363D9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50E6A5F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3B7A178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5E64AB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eastAsia" w:ascii="Times New Roman" w:hAnsi="Times New Roman" w:eastAsia="宋体" w:cs="Times New Roman"/>
                <w:color w:val="auto"/>
                <w:sz w:val="22"/>
                <w:szCs w:val="22"/>
                <w:highlight w:val="none"/>
                <w:lang w:val="en-US" w:eastAsia="zh-CN"/>
              </w:rPr>
              <w:t xml:space="preserve">0650 </w:t>
            </w:r>
          </w:p>
        </w:tc>
        <w:tc>
          <w:tcPr>
            <w:tcW w:w="1264" w:type="dxa"/>
            <w:shd w:val="clear" w:color="auto" w:fill="auto"/>
            <w:vAlign w:val="center"/>
          </w:tcPr>
          <w:p w14:paraId="7ECE690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F9F79F2">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eastAsia" w:ascii="Times New Roman" w:hAnsi="Times New Roman" w:eastAsia="宋体" w:cs="Times New Roman"/>
                <w:color w:val="auto"/>
                <w:sz w:val="22"/>
                <w:szCs w:val="22"/>
                <w:highlight w:val="none"/>
                <w:lang w:val="en-US" w:eastAsia="zh-CN"/>
              </w:rPr>
              <w:t xml:space="preserve">0650 </w:t>
            </w:r>
          </w:p>
        </w:tc>
        <w:tc>
          <w:tcPr>
            <w:tcW w:w="1396" w:type="dxa"/>
            <w:shd w:val="clear" w:color="auto" w:fill="auto"/>
            <w:vAlign w:val="center"/>
          </w:tcPr>
          <w:p w14:paraId="34161B72">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0.</w:t>
            </w:r>
            <w:r>
              <w:rPr>
                <w:rFonts w:hint="eastAsia" w:cs="Times New Roman"/>
                <w:color w:val="auto"/>
                <w:sz w:val="22"/>
                <w:szCs w:val="22"/>
                <w:highlight w:val="none"/>
                <w:lang w:val="en-US" w:eastAsia="zh-CN"/>
              </w:rPr>
              <w:t>000</w:t>
            </w:r>
            <w:r>
              <w:rPr>
                <w:rFonts w:hint="eastAsia" w:ascii="Times New Roman" w:hAnsi="Times New Roman" w:eastAsia="宋体" w:cs="Times New Roman"/>
                <w:color w:val="auto"/>
                <w:sz w:val="22"/>
                <w:szCs w:val="22"/>
                <w:highlight w:val="none"/>
                <w:lang w:val="en-US" w:eastAsia="zh-CN"/>
              </w:rPr>
              <w:t xml:space="preserve">0650 </w:t>
            </w:r>
          </w:p>
        </w:tc>
      </w:tr>
      <w:tr w14:paraId="3590E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restart"/>
            <w:vAlign w:val="center"/>
          </w:tcPr>
          <w:p w14:paraId="41E8BEBA">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废水</w:t>
            </w:r>
          </w:p>
        </w:tc>
        <w:tc>
          <w:tcPr>
            <w:tcW w:w="2906" w:type="dxa"/>
            <w:shd w:val="clear" w:color="auto" w:fill="auto"/>
            <w:vAlign w:val="center"/>
          </w:tcPr>
          <w:p w14:paraId="18E9B8E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en-US"/>
              </w:rPr>
            </w:pPr>
            <w:r>
              <w:rPr>
                <w:rFonts w:hint="default" w:ascii="Times New Roman" w:hAnsi="Times New Roman" w:eastAsia="宋体" w:cs="Times New Roman"/>
                <w:color w:val="auto"/>
                <w:sz w:val="22"/>
                <w:szCs w:val="22"/>
                <w:highlight w:val="none"/>
                <w:lang w:val="en-US" w:eastAsia="zh-CN"/>
              </w:rPr>
              <w:t>COD</w:t>
            </w:r>
            <w:r>
              <w:rPr>
                <w:rFonts w:hint="eastAsia" w:cs="Times New Roman"/>
                <w:color w:val="auto"/>
                <w:sz w:val="22"/>
                <w:szCs w:val="22"/>
                <w:highlight w:val="none"/>
                <w:vertAlign w:val="subscript"/>
                <w:lang w:val="en-US" w:eastAsia="zh-CN"/>
              </w:rPr>
              <w:t>cr</w:t>
            </w:r>
          </w:p>
        </w:tc>
        <w:tc>
          <w:tcPr>
            <w:tcW w:w="1407" w:type="dxa"/>
            <w:shd w:val="clear" w:color="auto" w:fill="auto"/>
            <w:vAlign w:val="center"/>
          </w:tcPr>
          <w:p w14:paraId="5966DC11">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5A155ED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00E3BF0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3C23A152">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0.1540 </w:t>
            </w:r>
          </w:p>
        </w:tc>
        <w:tc>
          <w:tcPr>
            <w:tcW w:w="1264" w:type="dxa"/>
            <w:vAlign w:val="center"/>
          </w:tcPr>
          <w:p w14:paraId="3DF0885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FABC786">
            <w:pPr>
              <w:keepNext w:val="0"/>
              <w:keepLines w:val="0"/>
              <w:widowControl/>
              <w:suppressLineNumbers w:val="0"/>
              <w:jc w:val="center"/>
              <w:textAlignment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0.1540 </w:t>
            </w:r>
          </w:p>
        </w:tc>
        <w:tc>
          <w:tcPr>
            <w:tcW w:w="1396" w:type="dxa"/>
            <w:shd w:val="clear" w:color="auto" w:fill="auto"/>
            <w:vAlign w:val="center"/>
          </w:tcPr>
          <w:p w14:paraId="0C124FED">
            <w:pPr>
              <w:keepNext w:val="0"/>
              <w:keepLines w:val="0"/>
              <w:widowControl/>
              <w:suppressLineNumbers w:val="0"/>
              <w:jc w:val="center"/>
              <w:textAlignment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0.1540 </w:t>
            </w:r>
          </w:p>
        </w:tc>
      </w:tr>
      <w:tr w14:paraId="7CAE1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6D359DC9">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2A6735C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BOD</w:t>
            </w:r>
            <w:r>
              <w:rPr>
                <w:rFonts w:hint="default" w:ascii="Times New Roman" w:hAnsi="Times New Roman" w:eastAsia="宋体" w:cs="Times New Roman"/>
                <w:color w:val="auto"/>
                <w:sz w:val="22"/>
                <w:szCs w:val="22"/>
                <w:highlight w:val="none"/>
                <w:vertAlign w:val="subscript"/>
                <w:lang w:val="en-US" w:eastAsia="zh-CN"/>
              </w:rPr>
              <w:t>5</w:t>
            </w:r>
          </w:p>
        </w:tc>
        <w:tc>
          <w:tcPr>
            <w:tcW w:w="1407" w:type="dxa"/>
            <w:shd w:val="clear" w:color="auto" w:fill="auto"/>
            <w:vAlign w:val="center"/>
          </w:tcPr>
          <w:p w14:paraId="01957B1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77702A7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62100E8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vAlign w:val="center"/>
          </w:tcPr>
          <w:p w14:paraId="32118367">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0.0917 </w:t>
            </w:r>
          </w:p>
        </w:tc>
        <w:tc>
          <w:tcPr>
            <w:tcW w:w="1264" w:type="dxa"/>
            <w:vAlign w:val="center"/>
          </w:tcPr>
          <w:p w14:paraId="4B603D1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5A39EE87">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0.0917 </w:t>
            </w:r>
          </w:p>
        </w:tc>
        <w:tc>
          <w:tcPr>
            <w:tcW w:w="1396" w:type="dxa"/>
            <w:shd w:val="clear" w:color="auto" w:fill="auto"/>
            <w:vAlign w:val="center"/>
          </w:tcPr>
          <w:p w14:paraId="24C21EF3">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 xml:space="preserve">0.0917 </w:t>
            </w:r>
          </w:p>
        </w:tc>
      </w:tr>
      <w:tr w14:paraId="7B673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3F8A11ED">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5155DA2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SS</w:t>
            </w:r>
          </w:p>
        </w:tc>
        <w:tc>
          <w:tcPr>
            <w:tcW w:w="1407" w:type="dxa"/>
            <w:shd w:val="clear" w:color="auto" w:fill="auto"/>
            <w:vAlign w:val="center"/>
          </w:tcPr>
          <w:p w14:paraId="2C0749E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0590BE0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0EA77E3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vAlign w:val="center"/>
          </w:tcPr>
          <w:p w14:paraId="08222F1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0846</w:t>
            </w:r>
          </w:p>
        </w:tc>
        <w:tc>
          <w:tcPr>
            <w:tcW w:w="1264" w:type="dxa"/>
            <w:vAlign w:val="center"/>
          </w:tcPr>
          <w:p w14:paraId="0E2E1A1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2F44678E">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0846</w:t>
            </w:r>
          </w:p>
        </w:tc>
        <w:tc>
          <w:tcPr>
            <w:tcW w:w="1396" w:type="dxa"/>
            <w:shd w:val="clear" w:color="auto" w:fill="auto"/>
            <w:vAlign w:val="center"/>
          </w:tcPr>
          <w:p w14:paraId="341AA00D">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0846</w:t>
            </w:r>
          </w:p>
        </w:tc>
      </w:tr>
      <w:tr w14:paraId="1D16A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60A38E1D">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6AA3A23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氨氮</w:t>
            </w:r>
          </w:p>
        </w:tc>
        <w:tc>
          <w:tcPr>
            <w:tcW w:w="1407" w:type="dxa"/>
            <w:shd w:val="clear" w:color="auto" w:fill="auto"/>
            <w:vAlign w:val="center"/>
          </w:tcPr>
          <w:p w14:paraId="3FC8BD4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2E9776E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3C4A44D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vAlign w:val="center"/>
          </w:tcPr>
          <w:p w14:paraId="52F5A00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i w:val="0"/>
                <w:iCs w:val="0"/>
                <w:color w:val="000000"/>
                <w:kern w:val="0"/>
                <w:sz w:val="21"/>
                <w:szCs w:val="21"/>
                <w:u w:val="none"/>
                <w:lang w:val="en-US" w:eastAsia="zh-CN" w:bidi="ar"/>
              </w:rPr>
              <w:t>0.0156</w:t>
            </w:r>
            <w:r>
              <w:rPr>
                <w:rFonts w:hint="default" w:ascii="Times New Roman" w:hAnsi="Times New Roman" w:eastAsia="宋体" w:cs="Times New Roman"/>
                <w:color w:val="auto"/>
                <w:sz w:val="22"/>
                <w:szCs w:val="22"/>
                <w:highlight w:val="none"/>
                <w:lang w:val="en-US" w:eastAsia="zh-CN"/>
              </w:rPr>
              <w:t xml:space="preserve"> </w:t>
            </w:r>
          </w:p>
        </w:tc>
        <w:tc>
          <w:tcPr>
            <w:tcW w:w="1264" w:type="dxa"/>
            <w:vAlign w:val="center"/>
          </w:tcPr>
          <w:p w14:paraId="1B399D1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6303B6B6">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i w:val="0"/>
                <w:iCs w:val="0"/>
                <w:color w:val="000000"/>
                <w:kern w:val="0"/>
                <w:sz w:val="21"/>
                <w:szCs w:val="21"/>
                <w:u w:val="none"/>
                <w:lang w:val="en-US" w:eastAsia="zh-CN" w:bidi="ar"/>
              </w:rPr>
              <w:t>0.0156</w:t>
            </w:r>
            <w:r>
              <w:rPr>
                <w:rFonts w:hint="default" w:ascii="Times New Roman" w:hAnsi="Times New Roman" w:eastAsia="宋体" w:cs="Times New Roman"/>
                <w:color w:val="auto"/>
                <w:sz w:val="22"/>
                <w:szCs w:val="22"/>
                <w:highlight w:val="none"/>
                <w:lang w:val="en-US" w:eastAsia="zh-CN"/>
              </w:rPr>
              <w:t xml:space="preserve"> </w:t>
            </w:r>
          </w:p>
        </w:tc>
        <w:tc>
          <w:tcPr>
            <w:tcW w:w="1396" w:type="dxa"/>
            <w:shd w:val="clear" w:color="auto" w:fill="auto"/>
            <w:vAlign w:val="center"/>
          </w:tcPr>
          <w:p w14:paraId="42A1BA3B">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i w:val="0"/>
                <w:iCs w:val="0"/>
                <w:color w:val="000000"/>
                <w:kern w:val="0"/>
                <w:sz w:val="21"/>
                <w:szCs w:val="21"/>
                <w:u w:val="none"/>
                <w:lang w:val="en-US" w:eastAsia="zh-CN" w:bidi="ar"/>
              </w:rPr>
              <w:t>+0.0156</w:t>
            </w:r>
            <w:r>
              <w:rPr>
                <w:rFonts w:hint="default" w:ascii="Times New Roman" w:hAnsi="Times New Roman" w:eastAsia="宋体" w:cs="Times New Roman"/>
                <w:color w:val="auto"/>
                <w:sz w:val="22"/>
                <w:szCs w:val="22"/>
                <w:highlight w:val="none"/>
                <w:lang w:val="en-US" w:eastAsia="zh-CN"/>
              </w:rPr>
              <w:t xml:space="preserve"> </w:t>
            </w:r>
          </w:p>
        </w:tc>
      </w:tr>
      <w:tr w14:paraId="5CCD8A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restart"/>
            <w:vAlign w:val="center"/>
          </w:tcPr>
          <w:p w14:paraId="3ABD959E">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一般工业固体废物</w:t>
            </w:r>
          </w:p>
        </w:tc>
        <w:tc>
          <w:tcPr>
            <w:tcW w:w="2906" w:type="dxa"/>
            <w:shd w:val="clear" w:color="auto" w:fill="auto"/>
            <w:vAlign w:val="center"/>
          </w:tcPr>
          <w:p w14:paraId="16218F4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default" w:ascii="Times New Roman" w:hAnsi="Times New Roman" w:eastAsia="宋体" w:cs="Times New Roman"/>
                <w:color w:val="auto"/>
                <w:sz w:val="22"/>
                <w:szCs w:val="22"/>
                <w:highlight w:val="none"/>
                <w:lang w:val="en-US" w:eastAsia="zh-CN"/>
              </w:rPr>
              <w:t>未沾染化学试剂的废包装物</w:t>
            </w:r>
          </w:p>
        </w:tc>
        <w:tc>
          <w:tcPr>
            <w:tcW w:w="1407" w:type="dxa"/>
            <w:shd w:val="clear" w:color="auto" w:fill="auto"/>
            <w:vAlign w:val="center"/>
          </w:tcPr>
          <w:p w14:paraId="2082C8E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5461F02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4C47D94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B670D9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1.5</w:t>
            </w:r>
          </w:p>
        </w:tc>
        <w:tc>
          <w:tcPr>
            <w:tcW w:w="1264" w:type="dxa"/>
            <w:shd w:val="clear" w:color="auto" w:fill="auto"/>
            <w:vAlign w:val="center"/>
          </w:tcPr>
          <w:p w14:paraId="3B8279A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178112D9">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1.5</w:t>
            </w:r>
          </w:p>
        </w:tc>
        <w:tc>
          <w:tcPr>
            <w:tcW w:w="1396" w:type="dxa"/>
            <w:shd w:val="clear" w:color="auto" w:fill="auto"/>
            <w:vAlign w:val="center"/>
          </w:tcPr>
          <w:p w14:paraId="4DBCBDE3">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1.5</w:t>
            </w:r>
          </w:p>
        </w:tc>
      </w:tr>
      <w:tr w14:paraId="300CB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312" w:type="dxa"/>
            <w:vMerge w:val="continue"/>
            <w:vAlign w:val="center"/>
          </w:tcPr>
          <w:p w14:paraId="356BD797">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584A7B7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default" w:ascii="Times New Roman" w:hAnsi="Times New Roman" w:eastAsia="宋体" w:cs="Times New Roman"/>
                <w:color w:val="auto"/>
                <w:sz w:val="22"/>
                <w:szCs w:val="22"/>
                <w:highlight w:val="none"/>
                <w:lang w:val="en-US" w:eastAsia="zh-CN"/>
              </w:rPr>
              <w:t>生活垃圾</w:t>
            </w:r>
          </w:p>
        </w:tc>
        <w:tc>
          <w:tcPr>
            <w:tcW w:w="1407" w:type="dxa"/>
            <w:shd w:val="clear" w:color="auto" w:fill="auto"/>
            <w:vAlign w:val="center"/>
          </w:tcPr>
          <w:p w14:paraId="5EF988C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5194A22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5A2935A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ECF1FC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4.68</w:t>
            </w:r>
          </w:p>
        </w:tc>
        <w:tc>
          <w:tcPr>
            <w:tcW w:w="1264" w:type="dxa"/>
            <w:shd w:val="clear" w:color="auto" w:fill="auto"/>
            <w:vAlign w:val="center"/>
          </w:tcPr>
          <w:p w14:paraId="50F07DB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zh-CN"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3D77F0D7">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zh-CN" w:eastAsia="zh-CN" w:bidi="ar-SA"/>
              </w:rPr>
            </w:pPr>
            <w:r>
              <w:rPr>
                <w:rFonts w:hint="eastAsia" w:cs="Times New Roman"/>
                <w:color w:val="auto"/>
                <w:sz w:val="22"/>
                <w:szCs w:val="22"/>
                <w:highlight w:val="none"/>
                <w:lang w:val="en-US" w:eastAsia="zh-CN"/>
              </w:rPr>
              <w:t>4.68</w:t>
            </w:r>
          </w:p>
        </w:tc>
        <w:tc>
          <w:tcPr>
            <w:tcW w:w="1396" w:type="dxa"/>
            <w:shd w:val="clear" w:color="auto" w:fill="auto"/>
            <w:vAlign w:val="center"/>
          </w:tcPr>
          <w:p w14:paraId="080CB3F7">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zh-CN" w:eastAsia="zh-CN" w:bidi="ar-SA"/>
              </w:rPr>
            </w:pPr>
            <w:r>
              <w:rPr>
                <w:rFonts w:hint="eastAsia" w:cs="Times New Roman"/>
                <w:color w:val="auto"/>
                <w:sz w:val="22"/>
                <w:szCs w:val="22"/>
                <w:highlight w:val="none"/>
                <w:lang w:val="en-US" w:eastAsia="zh-CN"/>
              </w:rPr>
              <w:t>+4.68</w:t>
            </w:r>
          </w:p>
        </w:tc>
      </w:tr>
      <w:tr w14:paraId="7A329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restart"/>
            <w:vAlign w:val="center"/>
          </w:tcPr>
          <w:p w14:paraId="4713A51E">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危险废物</w:t>
            </w:r>
          </w:p>
        </w:tc>
        <w:tc>
          <w:tcPr>
            <w:tcW w:w="2906" w:type="dxa"/>
            <w:shd w:val="clear" w:color="auto" w:fill="auto"/>
            <w:vAlign w:val="center"/>
          </w:tcPr>
          <w:p w14:paraId="57B2541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废试剂瓶</w:t>
            </w:r>
          </w:p>
        </w:tc>
        <w:tc>
          <w:tcPr>
            <w:tcW w:w="1407" w:type="dxa"/>
            <w:shd w:val="clear" w:color="auto" w:fill="auto"/>
            <w:vAlign w:val="center"/>
          </w:tcPr>
          <w:p w14:paraId="6F50577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7839102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402E9059">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56485DD">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0.5</w:t>
            </w:r>
          </w:p>
        </w:tc>
        <w:tc>
          <w:tcPr>
            <w:tcW w:w="1264" w:type="dxa"/>
            <w:shd w:val="clear" w:color="auto" w:fill="auto"/>
            <w:vAlign w:val="center"/>
          </w:tcPr>
          <w:p w14:paraId="0C705FD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E191B1C">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0.5</w:t>
            </w:r>
          </w:p>
        </w:tc>
        <w:tc>
          <w:tcPr>
            <w:tcW w:w="1396" w:type="dxa"/>
            <w:shd w:val="clear" w:color="auto" w:fill="auto"/>
            <w:vAlign w:val="center"/>
          </w:tcPr>
          <w:p w14:paraId="3431EBDF">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0.5</w:t>
            </w:r>
          </w:p>
        </w:tc>
      </w:tr>
      <w:tr w14:paraId="03AF77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01CACAA2">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5BCC586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废试剂</w:t>
            </w:r>
          </w:p>
        </w:tc>
        <w:tc>
          <w:tcPr>
            <w:tcW w:w="1407" w:type="dxa"/>
            <w:shd w:val="clear" w:color="auto" w:fill="auto"/>
            <w:vAlign w:val="center"/>
          </w:tcPr>
          <w:p w14:paraId="49695AE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69D1A38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2A7AD6F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4596B886">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0.02</w:t>
            </w:r>
          </w:p>
        </w:tc>
        <w:tc>
          <w:tcPr>
            <w:tcW w:w="1264" w:type="dxa"/>
            <w:shd w:val="clear" w:color="auto" w:fill="auto"/>
            <w:vAlign w:val="center"/>
          </w:tcPr>
          <w:p w14:paraId="4231B5E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081B8AB4">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0.02</w:t>
            </w:r>
          </w:p>
        </w:tc>
        <w:tc>
          <w:tcPr>
            <w:tcW w:w="1396" w:type="dxa"/>
            <w:shd w:val="clear" w:color="auto" w:fill="auto"/>
            <w:vAlign w:val="center"/>
          </w:tcPr>
          <w:p w14:paraId="23A4C893">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0.02</w:t>
            </w:r>
          </w:p>
        </w:tc>
      </w:tr>
      <w:tr w14:paraId="657494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7D7C205C">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1DF264E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废一次性实验耗材</w:t>
            </w:r>
          </w:p>
        </w:tc>
        <w:tc>
          <w:tcPr>
            <w:tcW w:w="1407" w:type="dxa"/>
            <w:shd w:val="clear" w:color="auto" w:fill="auto"/>
            <w:vAlign w:val="center"/>
          </w:tcPr>
          <w:p w14:paraId="7715D8F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1C308C64">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0D868F1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7E2CA9D0">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0.05</w:t>
            </w:r>
          </w:p>
        </w:tc>
        <w:tc>
          <w:tcPr>
            <w:tcW w:w="1264" w:type="dxa"/>
            <w:shd w:val="clear" w:color="auto" w:fill="auto"/>
            <w:vAlign w:val="center"/>
          </w:tcPr>
          <w:p w14:paraId="127B9AC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2AEEAF9F">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0.05</w:t>
            </w:r>
          </w:p>
        </w:tc>
        <w:tc>
          <w:tcPr>
            <w:tcW w:w="1396" w:type="dxa"/>
            <w:shd w:val="clear" w:color="auto" w:fill="auto"/>
            <w:vAlign w:val="center"/>
          </w:tcPr>
          <w:p w14:paraId="21D437FC">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0.05</w:t>
            </w:r>
          </w:p>
        </w:tc>
      </w:tr>
      <w:tr w14:paraId="3E749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14:paraId="4471665D">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4D70C74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废培养基</w:t>
            </w:r>
          </w:p>
        </w:tc>
        <w:tc>
          <w:tcPr>
            <w:tcW w:w="1407" w:type="dxa"/>
            <w:shd w:val="clear" w:color="auto" w:fill="auto"/>
            <w:vAlign w:val="center"/>
          </w:tcPr>
          <w:p w14:paraId="7A9A42FD">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0B08CD5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6BBA259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5F4131C0">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0.005</w:t>
            </w:r>
          </w:p>
        </w:tc>
        <w:tc>
          <w:tcPr>
            <w:tcW w:w="1264" w:type="dxa"/>
            <w:shd w:val="clear" w:color="auto" w:fill="auto"/>
            <w:vAlign w:val="center"/>
          </w:tcPr>
          <w:p w14:paraId="631E849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24D08525">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0.005</w:t>
            </w:r>
          </w:p>
        </w:tc>
        <w:tc>
          <w:tcPr>
            <w:tcW w:w="1396" w:type="dxa"/>
            <w:shd w:val="clear" w:color="auto" w:fill="auto"/>
            <w:vAlign w:val="center"/>
          </w:tcPr>
          <w:p w14:paraId="6E90A771">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0.005</w:t>
            </w:r>
          </w:p>
        </w:tc>
      </w:tr>
      <w:tr w14:paraId="4DD23F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1948ED0E">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1DBB02D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检测废液</w:t>
            </w:r>
          </w:p>
        </w:tc>
        <w:tc>
          <w:tcPr>
            <w:tcW w:w="1407" w:type="dxa"/>
            <w:shd w:val="clear" w:color="auto" w:fill="auto"/>
            <w:vAlign w:val="center"/>
          </w:tcPr>
          <w:p w14:paraId="2A69846B">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2D09D630">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6D6AB6B1">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31EF9A8A">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0.45</w:t>
            </w:r>
          </w:p>
        </w:tc>
        <w:tc>
          <w:tcPr>
            <w:tcW w:w="1264" w:type="dxa"/>
            <w:shd w:val="clear" w:color="auto" w:fill="auto"/>
            <w:vAlign w:val="center"/>
          </w:tcPr>
          <w:p w14:paraId="50086BE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6E1FAF71">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0.45</w:t>
            </w:r>
          </w:p>
        </w:tc>
        <w:tc>
          <w:tcPr>
            <w:tcW w:w="1396" w:type="dxa"/>
            <w:shd w:val="clear" w:color="auto" w:fill="auto"/>
            <w:vAlign w:val="center"/>
          </w:tcPr>
          <w:p w14:paraId="509A62EF">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0.45</w:t>
            </w:r>
          </w:p>
        </w:tc>
      </w:tr>
      <w:tr w14:paraId="71F47C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12" w:type="dxa"/>
            <w:vMerge w:val="continue"/>
            <w:vAlign w:val="center"/>
          </w:tcPr>
          <w:p w14:paraId="15D7C87C">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1233040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清洗废液</w:t>
            </w:r>
          </w:p>
        </w:tc>
        <w:tc>
          <w:tcPr>
            <w:tcW w:w="1407" w:type="dxa"/>
            <w:shd w:val="clear" w:color="auto" w:fill="auto"/>
            <w:vAlign w:val="center"/>
          </w:tcPr>
          <w:p w14:paraId="4A2D74BA">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4CE3DFA8">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5D0812E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19CB520A">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0.9</w:t>
            </w:r>
          </w:p>
        </w:tc>
        <w:tc>
          <w:tcPr>
            <w:tcW w:w="1264" w:type="dxa"/>
            <w:shd w:val="clear" w:color="auto" w:fill="auto"/>
            <w:vAlign w:val="center"/>
          </w:tcPr>
          <w:p w14:paraId="2816FCB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14EA8D7E">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0.9</w:t>
            </w:r>
          </w:p>
        </w:tc>
        <w:tc>
          <w:tcPr>
            <w:tcW w:w="1396" w:type="dxa"/>
            <w:shd w:val="clear" w:color="auto" w:fill="auto"/>
            <w:vAlign w:val="center"/>
          </w:tcPr>
          <w:p w14:paraId="0542E269">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0.9</w:t>
            </w:r>
          </w:p>
        </w:tc>
      </w:tr>
      <w:tr w14:paraId="3BE530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14:paraId="4B4B01B6">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178D898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废样品</w:t>
            </w:r>
          </w:p>
        </w:tc>
        <w:tc>
          <w:tcPr>
            <w:tcW w:w="1407" w:type="dxa"/>
            <w:shd w:val="clear" w:color="auto" w:fill="auto"/>
            <w:vAlign w:val="center"/>
          </w:tcPr>
          <w:p w14:paraId="2BE27EF3">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2B2D07DF">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7993B672">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32CB3BB6">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0.05</w:t>
            </w:r>
          </w:p>
        </w:tc>
        <w:tc>
          <w:tcPr>
            <w:tcW w:w="1264" w:type="dxa"/>
            <w:shd w:val="clear" w:color="auto" w:fill="auto"/>
            <w:vAlign w:val="center"/>
          </w:tcPr>
          <w:p w14:paraId="39BE782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5B1545FD">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ascii="Times New Roman" w:hAnsi="Times New Roman" w:eastAsia="宋体" w:cs="Times New Roman"/>
                <w:color w:val="auto"/>
                <w:sz w:val="22"/>
                <w:szCs w:val="22"/>
                <w:highlight w:val="none"/>
                <w:lang w:val="en-US" w:eastAsia="zh-CN"/>
              </w:rPr>
              <w:t>0.05</w:t>
            </w:r>
          </w:p>
        </w:tc>
        <w:tc>
          <w:tcPr>
            <w:tcW w:w="1396" w:type="dxa"/>
            <w:shd w:val="clear" w:color="auto" w:fill="auto"/>
            <w:vAlign w:val="center"/>
          </w:tcPr>
          <w:p w14:paraId="5A2AED79">
            <w:pPr>
              <w:widowControl/>
              <w:adjustRightInd w:val="0"/>
              <w:snapToGrid w:val="0"/>
              <w:spacing w:line="240" w:lineRule="auto"/>
              <w:jc w:val="center"/>
              <w:rPr>
                <w:rFonts w:hint="default"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w:t>
            </w:r>
            <w:r>
              <w:rPr>
                <w:rFonts w:hint="eastAsia" w:ascii="Times New Roman" w:hAnsi="Times New Roman" w:eastAsia="宋体" w:cs="Times New Roman"/>
                <w:color w:val="auto"/>
                <w:sz w:val="22"/>
                <w:szCs w:val="22"/>
                <w:highlight w:val="none"/>
                <w:lang w:val="en-US" w:eastAsia="zh-CN"/>
              </w:rPr>
              <w:t>0.05</w:t>
            </w:r>
          </w:p>
        </w:tc>
      </w:tr>
      <w:tr w14:paraId="23A6D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14:paraId="714347D8">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7C617726">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废活性炭</w:t>
            </w:r>
          </w:p>
        </w:tc>
        <w:tc>
          <w:tcPr>
            <w:tcW w:w="1407" w:type="dxa"/>
            <w:shd w:val="clear" w:color="auto" w:fill="auto"/>
            <w:vAlign w:val="center"/>
          </w:tcPr>
          <w:p w14:paraId="7ACB3EC4">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04E78546">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2C71987F">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0AC8061C">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0.1358</w:t>
            </w:r>
          </w:p>
        </w:tc>
        <w:tc>
          <w:tcPr>
            <w:tcW w:w="1264" w:type="dxa"/>
            <w:shd w:val="clear" w:color="auto" w:fill="auto"/>
            <w:vAlign w:val="center"/>
          </w:tcPr>
          <w:p w14:paraId="01EAE2F9">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5E7ABC97">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0.1358</w:t>
            </w:r>
          </w:p>
        </w:tc>
        <w:tc>
          <w:tcPr>
            <w:tcW w:w="1396" w:type="dxa"/>
            <w:shd w:val="clear" w:color="auto" w:fill="auto"/>
            <w:vAlign w:val="center"/>
          </w:tcPr>
          <w:p w14:paraId="04574AAD">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+0.1358</w:t>
            </w:r>
          </w:p>
        </w:tc>
      </w:tr>
      <w:tr w14:paraId="1548C3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2" w:type="dxa"/>
            <w:vMerge w:val="continue"/>
            <w:vAlign w:val="center"/>
          </w:tcPr>
          <w:p w14:paraId="1A939A4B">
            <w:pPr>
              <w:widowControl/>
              <w:adjustRightInd w:val="0"/>
              <w:snapToGrid w:val="0"/>
              <w:spacing w:line="240" w:lineRule="auto"/>
              <w:jc w:val="center"/>
              <w:rPr>
                <w:rFonts w:hint="default" w:ascii="Times New Roman" w:hAnsi="Times New Roman" w:eastAsia="宋体" w:cs="Times New Roman"/>
                <w:color w:val="auto"/>
                <w:sz w:val="22"/>
                <w:szCs w:val="22"/>
                <w:highlight w:val="none"/>
              </w:rPr>
            </w:pPr>
          </w:p>
        </w:tc>
        <w:tc>
          <w:tcPr>
            <w:tcW w:w="2906" w:type="dxa"/>
            <w:shd w:val="clear" w:color="auto" w:fill="auto"/>
            <w:vAlign w:val="center"/>
          </w:tcPr>
          <w:p w14:paraId="7B53E23E">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废吸附剂</w:t>
            </w:r>
          </w:p>
        </w:tc>
        <w:tc>
          <w:tcPr>
            <w:tcW w:w="1407" w:type="dxa"/>
            <w:shd w:val="clear" w:color="auto" w:fill="auto"/>
            <w:vAlign w:val="center"/>
          </w:tcPr>
          <w:p w14:paraId="42D5EB5F">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101" w:type="dxa"/>
            <w:shd w:val="clear" w:color="auto" w:fill="auto"/>
            <w:vAlign w:val="center"/>
          </w:tcPr>
          <w:p w14:paraId="29107506">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69" w:type="dxa"/>
            <w:shd w:val="clear" w:color="auto" w:fill="auto"/>
            <w:vAlign w:val="center"/>
          </w:tcPr>
          <w:p w14:paraId="1F3A4BE5">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458" w:type="dxa"/>
            <w:shd w:val="clear" w:color="auto" w:fill="auto"/>
            <w:vAlign w:val="center"/>
          </w:tcPr>
          <w:p w14:paraId="63262065">
            <w:pPr>
              <w:widowControl/>
              <w:adjustRightInd w:val="0"/>
              <w:snapToGrid w:val="0"/>
              <w:spacing w:line="240" w:lineRule="auto"/>
              <w:jc w:val="center"/>
              <w:rPr>
                <w:rFonts w:hint="default" w:ascii="Times New Roman" w:hAnsi="Times New Roman" w:eastAsia="宋体" w:cs="Times New Roman"/>
                <w:color w:val="auto"/>
                <w:sz w:val="22"/>
                <w:szCs w:val="22"/>
                <w:highlight w:val="none"/>
                <w:lang w:val="en-US" w:eastAsia="zh-CN"/>
              </w:rPr>
            </w:pPr>
            <w:r>
              <w:rPr>
                <w:rFonts w:hint="eastAsia" w:cs="Times New Roman"/>
                <w:color w:val="auto"/>
                <w:sz w:val="22"/>
                <w:szCs w:val="22"/>
                <w:highlight w:val="none"/>
                <w:lang w:val="en-US" w:eastAsia="zh-CN"/>
              </w:rPr>
              <w:t>0.1805</w:t>
            </w:r>
          </w:p>
        </w:tc>
        <w:tc>
          <w:tcPr>
            <w:tcW w:w="1264" w:type="dxa"/>
            <w:shd w:val="clear" w:color="auto" w:fill="auto"/>
            <w:vAlign w:val="center"/>
          </w:tcPr>
          <w:p w14:paraId="2CE8C629">
            <w:pPr>
              <w:widowControl/>
              <w:adjustRightInd w:val="0"/>
              <w:snapToGrid w:val="0"/>
              <w:spacing w:line="240" w:lineRule="auto"/>
              <w:jc w:val="center"/>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w:t>
            </w:r>
          </w:p>
        </w:tc>
        <w:tc>
          <w:tcPr>
            <w:tcW w:w="1642" w:type="dxa"/>
            <w:shd w:val="clear" w:color="auto" w:fill="auto"/>
            <w:vAlign w:val="center"/>
          </w:tcPr>
          <w:p w14:paraId="4AC05734">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0.1805</w:t>
            </w:r>
          </w:p>
        </w:tc>
        <w:tc>
          <w:tcPr>
            <w:tcW w:w="1396" w:type="dxa"/>
            <w:shd w:val="clear" w:color="auto" w:fill="auto"/>
            <w:vAlign w:val="center"/>
          </w:tcPr>
          <w:p w14:paraId="33980CFC">
            <w:pPr>
              <w:widowControl/>
              <w:adjustRightInd w:val="0"/>
              <w:snapToGrid w:val="0"/>
              <w:spacing w:line="240" w:lineRule="auto"/>
              <w:jc w:val="center"/>
              <w:rPr>
                <w:rFonts w:hint="eastAsia" w:ascii="Times New Roman" w:hAnsi="Times New Roman" w:eastAsia="宋体" w:cs="Times New Roman"/>
                <w:color w:val="auto"/>
                <w:kern w:val="2"/>
                <w:sz w:val="22"/>
                <w:szCs w:val="22"/>
                <w:highlight w:val="none"/>
                <w:lang w:val="en-US" w:eastAsia="zh-CN" w:bidi="ar-SA"/>
              </w:rPr>
            </w:pPr>
            <w:r>
              <w:rPr>
                <w:rFonts w:hint="eastAsia" w:cs="Times New Roman"/>
                <w:color w:val="auto"/>
                <w:sz w:val="22"/>
                <w:szCs w:val="22"/>
                <w:highlight w:val="none"/>
                <w:lang w:val="en-US" w:eastAsia="zh-CN"/>
              </w:rPr>
              <w:t>+0.1805</w:t>
            </w:r>
          </w:p>
        </w:tc>
      </w:tr>
    </w:tbl>
    <w:p w14:paraId="586156F7">
      <w:pPr>
        <w:pStyle w:val="44"/>
        <w:spacing w:before="192" w:beforeLines="80" w:after="24"/>
        <w:jc w:val="left"/>
        <w:rPr>
          <w:rFonts w:hint="default" w:ascii="Times New Roman" w:hAnsi="Times New Roman" w:eastAsia="宋体" w:cs="Times New Roman"/>
          <w:snapToGrid w:val="0"/>
          <w:color w:val="auto"/>
          <w:spacing w:val="-6"/>
          <w:kern w:val="21"/>
          <w:sz w:val="24"/>
          <w:szCs w:val="24"/>
          <w:highlight w:val="none"/>
        </w:rPr>
      </w:pPr>
      <w:r>
        <w:rPr>
          <w:rFonts w:hint="default" w:ascii="Times New Roman" w:hAnsi="Times New Roman" w:eastAsia="宋体" w:cs="Times New Roman"/>
          <w:snapToGrid w:val="0"/>
          <w:color w:val="auto"/>
          <w:kern w:val="21"/>
          <w:sz w:val="24"/>
          <w:szCs w:val="24"/>
          <w:highlight w:val="none"/>
        </w:rPr>
        <w:t>注：</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sz w:val="24"/>
          <w:szCs w:val="24"/>
          <w:highlight w:val="none"/>
        </w:rPr>
        <w:t>⑥</w:t>
      </w:r>
      <w:r>
        <w:rPr>
          <w:rFonts w:hint="default" w:ascii="Times New Roman" w:hAnsi="Times New Roman" w:eastAsia="宋体" w:cs="Times New Roman"/>
          <w:snapToGrid w:val="0"/>
          <w:color w:val="auto"/>
          <w:spacing w:val="-16"/>
          <w:kern w:val="21"/>
          <w:sz w:val="24"/>
          <w:szCs w:val="24"/>
          <w:highlight w:val="none"/>
        </w:rPr>
        <w:fldChar w:fldCharType="end"/>
      </w:r>
      <w:r>
        <w:rPr>
          <w:rFonts w:hint="default" w:ascii="Times New Roman" w:hAnsi="Times New Roman" w:eastAsia="宋体" w:cs="Times New Roman"/>
          <w:snapToGrid w:val="0"/>
          <w:color w:val="auto"/>
          <w:spacing w:val="-1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snapToGrid w:val="0"/>
          <w:color w:val="auto"/>
          <w:spacing w:val="-6"/>
          <w:kern w:val="21"/>
          <w:sz w:val="24"/>
          <w:szCs w:val="24"/>
          <w:highlight w:val="none"/>
        </w:rPr>
        <w:fldChar w:fldCharType="end"/>
      </w:r>
      <w:r>
        <w:rPr>
          <w:rFonts w:hint="default" w:ascii="Times New Roman" w:hAnsi="Times New Roman" w:eastAsia="宋体" w:cs="Times New Roman"/>
          <w:snapToGrid w:val="0"/>
          <w:color w:val="auto"/>
          <w:spacing w:val="-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3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③</w:t>
      </w:r>
      <w:r>
        <w:rPr>
          <w:rFonts w:hint="default" w:ascii="Times New Roman" w:hAnsi="Times New Roman" w:eastAsia="宋体" w:cs="Times New Roman"/>
          <w:snapToGrid w:val="0"/>
          <w:color w:val="auto"/>
          <w:spacing w:val="-6"/>
          <w:kern w:val="21"/>
          <w:sz w:val="24"/>
          <w:szCs w:val="24"/>
          <w:highlight w:val="none"/>
        </w:rPr>
        <w:fldChar w:fldCharType="end"/>
      </w:r>
      <w:r>
        <w:rPr>
          <w:rFonts w:hint="default" w:ascii="Times New Roman" w:hAnsi="Times New Roman" w:eastAsia="宋体" w:cs="Times New Roman"/>
          <w:snapToGrid w:val="0"/>
          <w:color w:val="auto"/>
          <w:spacing w:val="-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4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④</w:t>
      </w:r>
      <w:r>
        <w:rPr>
          <w:rFonts w:hint="default" w:ascii="Times New Roman" w:hAnsi="Times New Roman" w:eastAsia="宋体" w:cs="Times New Roman"/>
          <w:snapToGrid w:val="0"/>
          <w:color w:val="auto"/>
          <w:spacing w:val="-6"/>
          <w:kern w:val="21"/>
          <w:sz w:val="24"/>
          <w:szCs w:val="24"/>
          <w:highlight w:val="none"/>
        </w:rPr>
        <w:fldChar w:fldCharType="end"/>
      </w:r>
      <w:r>
        <w:rPr>
          <w:rFonts w:hint="default" w:ascii="Times New Roman" w:hAnsi="Times New Roman" w:eastAsia="宋体" w:cs="Times New Roman"/>
          <w:snapToGrid w:val="0"/>
          <w:color w:val="auto"/>
          <w:spacing w:val="-6"/>
          <w:kern w:val="21"/>
          <w:sz w:val="24"/>
          <w:szCs w:val="24"/>
          <w:highlight w:val="none"/>
        </w:rPr>
        <w:t>-</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5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sz w:val="24"/>
          <w:szCs w:val="24"/>
          <w:highlight w:val="none"/>
        </w:rPr>
        <w:t>⑤</w:t>
      </w:r>
      <w:r>
        <w:rPr>
          <w:rFonts w:hint="default" w:ascii="Times New Roman" w:hAnsi="Times New Roman" w:eastAsia="宋体" w:cs="Times New Roman"/>
          <w:snapToGrid w:val="0"/>
          <w:color w:val="auto"/>
          <w:spacing w:val="-16"/>
          <w:kern w:val="21"/>
          <w:sz w:val="24"/>
          <w:szCs w:val="24"/>
          <w:highlight w:val="none"/>
        </w:rPr>
        <w:fldChar w:fldCharType="end"/>
      </w:r>
      <w:r>
        <w:rPr>
          <w:rFonts w:hint="default" w:ascii="Times New Roman" w:hAnsi="Times New Roman" w:eastAsia="宋体" w:cs="Times New Roman"/>
          <w:snapToGrid w:val="0"/>
          <w:color w:val="auto"/>
          <w:spacing w:val="-1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7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⑦</w:t>
      </w:r>
      <w:r>
        <w:rPr>
          <w:rFonts w:hint="default" w:ascii="Times New Roman" w:hAnsi="Times New Roman" w:eastAsia="宋体" w:cs="Times New Roman"/>
          <w:snapToGrid w:val="0"/>
          <w:color w:val="auto"/>
          <w:spacing w:val="-6"/>
          <w:kern w:val="21"/>
          <w:sz w:val="24"/>
          <w:szCs w:val="24"/>
          <w:highlight w:val="none"/>
        </w:rPr>
        <w:fldChar w:fldCharType="end"/>
      </w:r>
      <w:r>
        <w:rPr>
          <w:rFonts w:hint="default" w:ascii="Times New Roman" w:hAnsi="Times New Roman" w:eastAsia="宋体" w:cs="Times New Roman"/>
          <w:snapToGrid w:val="0"/>
          <w:color w:val="auto"/>
          <w:spacing w:val="-6"/>
          <w:kern w:val="21"/>
          <w:sz w:val="24"/>
          <w:szCs w:val="24"/>
          <w:highlight w:val="none"/>
        </w:rPr>
        <w:t>=</w:t>
      </w:r>
      <w:r>
        <w:rPr>
          <w:rFonts w:hint="default" w:ascii="Times New Roman" w:hAnsi="Times New Roman" w:eastAsia="宋体" w:cs="Times New Roman"/>
          <w:snapToGrid w:val="0"/>
          <w:color w:val="auto"/>
          <w:spacing w:val="-16"/>
          <w:kern w:val="21"/>
          <w:sz w:val="24"/>
          <w:szCs w:val="24"/>
          <w:highlight w:val="none"/>
        </w:rPr>
        <w:fldChar w:fldCharType="begin"/>
      </w:r>
      <w:r>
        <w:rPr>
          <w:rFonts w:hint="default" w:ascii="Times New Roman" w:hAnsi="Times New Roman" w:eastAsia="宋体" w:cs="Times New Roman"/>
          <w:snapToGrid w:val="0"/>
          <w:color w:val="auto"/>
          <w:spacing w:val="-16"/>
          <w:kern w:val="21"/>
          <w:sz w:val="24"/>
          <w:szCs w:val="24"/>
          <w:highlight w:val="none"/>
        </w:rPr>
        <w:instrText xml:space="preserve"> = 6 \* GB3 \* MERGEFORMAT </w:instrText>
      </w:r>
      <w:r>
        <w:rPr>
          <w:rFonts w:hint="default" w:ascii="Times New Roman" w:hAnsi="Times New Roman" w:eastAsia="宋体" w:cs="Times New Roman"/>
          <w:snapToGrid w:val="0"/>
          <w:color w:val="auto"/>
          <w:spacing w:val="-16"/>
          <w:kern w:val="21"/>
          <w:sz w:val="24"/>
          <w:szCs w:val="24"/>
          <w:highlight w:val="none"/>
        </w:rPr>
        <w:fldChar w:fldCharType="separate"/>
      </w:r>
      <w:r>
        <w:rPr>
          <w:rFonts w:hint="default" w:ascii="Times New Roman" w:hAnsi="Times New Roman" w:eastAsia="宋体" w:cs="Times New Roman"/>
          <w:color w:val="auto"/>
          <w:sz w:val="24"/>
          <w:szCs w:val="24"/>
          <w:highlight w:val="none"/>
        </w:rPr>
        <w:t>⑥</w:t>
      </w:r>
      <w:r>
        <w:rPr>
          <w:rFonts w:hint="default" w:ascii="Times New Roman" w:hAnsi="Times New Roman" w:eastAsia="宋体" w:cs="Times New Roman"/>
          <w:snapToGrid w:val="0"/>
          <w:color w:val="auto"/>
          <w:spacing w:val="-16"/>
          <w:kern w:val="21"/>
          <w:sz w:val="24"/>
          <w:szCs w:val="24"/>
          <w:highlight w:val="none"/>
        </w:rPr>
        <w:fldChar w:fldCharType="end"/>
      </w:r>
      <w:r>
        <w:rPr>
          <w:rFonts w:hint="default" w:ascii="Times New Roman" w:hAnsi="Times New Roman" w:eastAsia="宋体" w:cs="Times New Roman"/>
          <w:snapToGrid w:val="0"/>
          <w:color w:val="auto"/>
          <w:spacing w:val="-16"/>
          <w:kern w:val="21"/>
          <w:sz w:val="24"/>
          <w:szCs w:val="24"/>
          <w:highlight w:val="none"/>
        </w:rPr>
        <w:t>-</w:t>
      </w:r>
      <w:r>
        <w:rPr>
          <w:rFonts w:hint="default" w:ascii="Times New Roman" w:hAnsi="Times New Roman" w:eastAsia="宋体" w:cs="Times New Roman"/>
          <w:snapToGrid w:val="0"/>
          <w:color w:val="auto"/>
          <w:spacing w:val="-6"/>
          <w:kern w:val="21"/>
          <w:sz w:val="24"/>
          <w:szCs w:val="24"/>
          <w:highlight w:val="none"/>
        </w:rPr>
        <w:fldChar w:fldCharType="begin"/>
      </w:r>
      <w:r>
        <w:rPr>
          <w:rFonts w:hint="default" w:ascii="Times New Roman" w:hAnsi="Times New Roman" w:eastAsia="宋体" w:cs="Times New Roman"/>
          <w:snapToGrid w:val="0"/>
          <w:color w:val="auto"/>
          <w:spacing w:val="-6"/>
          <w:kern w:val="21"/>
          <w:sz w:val="24"/>
          <w:szCs w:val="24"/>
          <w:highlight w:val="none"/>
        </w:rPr>
        <w:instrText xml:space="preserve"> = 1 \* GB3 \* MERGEFORMAT </w:instrText>
      </w:r>
      <w:r>
        <w:rPr>
          <w:rFonts w:hint="default" w:ascii="Times New Roman" w:hAnsi="Times New Roman" w:eastAsia="宋体" w:cs="Times New Roman"/>
          <w:snapToGrid w:val="0"/>
          <w:color w:val="auto"/>
          <w:spacing w:val="-6"/>
          <w:kern w:val="21"/>
          <w:sz w:val="24"/>
          <w:szCs w:val="24"/>
          <w:highlight w:val="none"/>
        </w:rPr>
        <w:fldChar w:fldCharType="separate"/>
      </w:r>
      <w:r>
        <w:rPr>
          <w:rFonts w:hint="default" w:ascii="Times New Roman" w:hAnsi="Times New Roman" w:eastAsia="宋体" w:cs="Times New Roman"/>
          <w:color w:val="auto"/>
          <w:sz w:val="24"/>
          <w:szCs w:val="24"/>
          <w:highlight w:val="none"/>
        </w:rPr>
        <w:t>①</w:t>
      </w:r>
      <w:r>
        <w:rPr>
          <w:rFonts w:hint="default" w:ascii="Times New Roman" w:hAnsi="Times New Roman" w:eastAsia="宋体" w:cs="Times New Roman"/>
          <w:snapToGrid w:val="0"/>
          <w:color w:val="auto"/>
          <w:spacing w:val="-6"/>
          <w:kern w:val="21"/>
          <w:sz w:val="24"/>
          <w:szCs w:val="24"/>
          <w:highlight w:val="none"/>
        </w:rPr>
        <w:fldChar w:fldCharType="end"/>
      </w:r>
    </w:p>
    <w:p w14:paraId="295217E6">
      <w:pPr>
        <w:pStyle w:val="20"/>
        <w:adjustRightInd w:val="0"/>
        <w:snapToGrid w:val="0"/>
        <w:spacing w:before="0" w:beforeAutospacing="0" w:after="0" w:afterAutospacing="0"/>
        <w:jc w:val="both"/>
        <w:outlineLvl w:val="0"/>
        <w:rPr>
          <w:rFonts w:hint="default" w:ascii="Times New Roman" w:hAnsi="Times New Roman" w:eastAsia="宋体" w:cs="Times New Roman"/>
          <w:b/>
          <w:color w:val="auto"/>
          <w:sz w:val="36"/>
          <w:szCs w:val="36"/>
          <w:highlight w:val="none"/>
          <w:lang w:val="en-US" w:eastAsia="zh-CN"/>
        </w:rPr>
      </w:pPr>
    </w:p>
    <w:p w14:paraId="49D2903D">
      <w:pPr>
        <w:pStyle w:val="20"/>
        <w:adjustRightInd w:val="0"/>
        <w:snapToGrid w:val="0"/>
        <w:spacing w:before="0" w:beforeAutospacing="0" w:after="0" w:afterAutospacing="0"/>
        <w:jc w:val="both"/>
        <w:outlineLvl w:val="0"/>
        <w:rPr>
          <w:rFonts w:hint="default" w:ascii="Times New Roman" w:hAnsi="Times New Roman" w:eastAsia="宋体" w:cs="Times New Roman"/>
          <w:b/>
          <w:color w:val="auto"/>
          <w:sz w:val="36"/>
          <w:szCs w:val="36"/>
          <w:highlight w:val="none"/>
          <w:lang w:val="en-US" w:eastAsia="zh-CN"/>
        </w:rPr>
      </w:pPr>
    </w:p>
    <w:p w14:paraId="1C47F756">
      <w:pPr>
        <w:pStyle w:val="20"/>
        <w:adjustRightInd w:val="0"/>
        <w:snapToGrid w:val="0"/>
        <w:spacing w:before="0" w:beforeAutospacing="0" w:after="0" w:afterAutospacing="0"/>
        <w:jc w:val="both"/>
        <w:outlineLvl w:val="0"/>
        <w:rPr>
          <w:rFonts w:hint="default" w:ascii="Times New Roman" w:hAnsi="Times New Roman" w:eastAsia="宋体" w:cs="Times New Roman"/>
          <w:b/>
          <w:color w:val="auto"/>
          <w:sz w:val="36"/>
          <w:szCs w:val="36"/>
          <w:highlight w:val="none"/>
          <w:lang w:val="en-US" w:eastAsia="zh-CN"/>
        </w:rPr>
      </w:pPr>
    </w:p>
    <w:p w14:paraId="5A07DDD9">
      <w:pPr>
        <w:pStyle w:val="20"/>
        <w:adjustRightInd w:val="0"/>
        <w:snapToGrid w:val="0"/>
        <w:spacing w:before="0" w:beforeAutospacing="0" w:after="0" w:afterAutospacing="0"/>
        <w:jc w:val="both"/>
        <w:outlineLvl w:val="0"/>
        <w:rPr>
          <w:rFonts w:hint="default" w:ascii="Times New Roman" w:hAnsi="Times New Roman" w:eastAsia="宋体" w:cs="Times New Roman"/>
          <w:b/>
          <w:color w:val="auto"/>
          <w:sz w:val="36"/>
          <w:szCs w:val="36"/>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138158A">
      <w:pPr>
        <w:rPr>
          <w:rFonts w:hint="eastAsia"/>
          <w:color w:val="auto"/>
          <w:lang w:val="en-US" w:eastAsia="zh-CN"/>
        </w:rPr>
      </w:pPr>
      <w:r>
        <w:rPr>
          <w:rFonts w:hint="eastAsia"/>
          <w:b/>
          <w:bCs/>
          <w:color w:val="auto"/>
          <w:sz w:val="24"/>
          <w:szCs w:val="24"/>
          <w:lang w:val="en-US" w:eastAsia="zh-CN"/>
        </w:rPr>
        <w:t>附图</w:t>
      </w:r>
    </w:p>
    <w:p w14:paraId="2A840484">
      <w:pPr>
        <w:spacing w:line="360" w:lineRule="auto"/>
        <w:rPr>
          <w:rFonts w:hint="eastAsia"/>
          <w:color w:val="auto"/>
          <w:sz w:val="24"/>
          <w:szCs w:val="24"/>
          <w:lang w:val="en-US" w:eastAsia="zh-CN"/>
        </w:rPr>
      </w:pPr>
      <w:r>
        <w:rPr>
          <w:rFonts w:hint="eastAsia"/>
          <w:color w:val="auto"/>
          <w:sz w:val="24"/>
          <w:szCs w:val="24"/>
          <w:lang w:val="en-US" w:eastAsia="zh-CN"/>
        </w:rPr>
        <w:t>附图1项目地理位置示意图</w:t>
      </w:r>
    </w:p>
    <w:p w14:paraId="0E3A572B">
      <w:pPr>
        <w:spacing w:line="360" w:lineRule="auto"/>
        <w:rPr>
          <w:rFonts w:hint="eastAsia"/>
          <w:color w:val="auto"/>
          <w:sz w:val="24"/>
          <w:szCs w:val="24"/>
          <w:lang w:val="en-US" w:eastAsia="zh-CN"/>
        </w:rPr>
      </w:pPr>
      <w:r>
        <w:rPr>
          <w:rFonts w:hint="eastAsia"/>
          <w:color w:val="auto"/>
          <w:sz w:val="24"/>
          <w:szCs w:val="24"/>
          <w:lang w:val="en-US" w:eastAsia="zh-CN"/>
        </w:rPr>
        <w:t>附图2项目周边关系图</w:t>
      </w:r>
    </w:p>
    <w:p w14:paraId="48B263DD">
      <w:pPr>
        <w:spacing w:line="360" w:lineRule="auto"/>
        <w:rPr>
          <w:rFonts w:hint="default"/>
          <w:color w:val="auto"/>
          <w:sz w:val="24"/>
          <w:szCs w:val="24"/>
          <w:lang w:val="en-US" w:eastAsia="zh-CN"/>
        </w:rPr>
      </w:pPr>
      <w:r>
        <w:rPr>
          <w:rFonts w:hint="eastAsia"/>
          <w:color w:val="auto"/>
          <w:sz w:val="24"/>
          <w:szCs w:val="24"/>
          <w:lang w:val="en-US" w:eastAsia="zh-CN"/>
        </w:rPr>
        <w:t>附图3-1项目1层平面布局图</w:t>
      </w:r>
    </w:p>
    <w:p w14:paraId="7E0EE9E0">
      <w:pPr>
        <w:spacing w:line="360" w:lineRule="auto"/>
        <w:rPr>
          <w:rFonts w:hint="eastAsia"/>
          <w:color w:val="auto"/>
          <w:sz w:val="24"/>
          <w:szCs w:val="24"/>
          <w:lang w:val="en-US" w:eastAsia="zh-CN"/>
        </w:rPr>
      </w:pPr>
      <w:r>
        <w:rPr>
          <w:rFonts w:hint="eastAsia"/>
          <w:color w:val="auto"/>
          <w:sz w:val="24"/>
          <w:szCs w:val="24"/>
          <w:lang w:val="en-US" w:eastAsia="zh-CN"/>
        </w:rPr>
        <w:t>附图3-2项目2层平面布局图</w:t>
      </w:r>
    </w:p>
    <w:p w14:paraId="63E3B760">
      <w:pPr>
        <w:spacing w:line="360" w:lineRule="auto"/>
        <w:rPr>
          <w:rFonts w:hint="eastAsia"/>
          <w:color w:val="auto"/>
          <w:sz w:val="24"/>
          <w:szCs w:val="24"/>
          <w:lang w:val="en-US" w:eastAsia="zh-CN"/>
        </w:rPr>
      </w:pPr>
      <w:r>
        <w:rPr>
          <w:rFonts w:hint="eastAsia"/>
          <w:color w:val="auto"/>
          <w:sz w:val="24"/>
          <w:szCs w:val="24"/>
          <w:lang w:val="en-US" w:eastAsia="zh-CN"/>
        </w:rPr>
        <w:t>附图3-3项目3层平面布局图</w:t>
      </w:r>
    </w:p>
    <w:p w14:paraId="759B476B">
      <w:pPr>
        <w:spacing w:line="360" w:lineRule="auto"/>
        <w:rPr>
          <w:rFonts w:hint="eastAsia"/>
          <w:color w:val="auto"/>
          <w:sz w:val="24"/>
          <w:szCs w:val="24"/>
          <w:lang w:val="en-US" w:eastAsia="zh-CN"/>
        </w:rPr>
      </w:pPr>
      <w:r>
        <w:rPr>
          <w:rFonts w:hint="eastAsia"/>
          <w:color w:val="auto"/>
          <w:sz w:val="24"/>
          <w:szCs w:val="24"/>
          <w:lang w:val="en-US" w:eastAsia="zh-CN"/>
        </w:rPr>
        <w:t>附图3-4项目4层平面布局图</w:t>
      </w:r>
    </w:p>
    <w:p w14:paraId="3B481E58">
      <w:pPr>
        <w:spacing w:line="360" w:lineRule="auto"/>
        <w:rPr>
          <w:rFonts w:hint="eastAsia"/>
          <w:color w:val="auto"/>
          <w:sz w:val="24"/>
          <w:szCs w:val="24"/>
          <w:lang w:val="en-US" w:eastAsia="zh-CN"/>
        </w:rPr>
      </w:pPr>
      <w:r>
        <w:rPr>
          <w:rFonts w:hint="eastAsia"/>
          <w:color w:val="auto"/>
          <w:sz w:val="24"/>
          <w:szCs w:val="24"/>
          <w:lang w:val="en-US" w:eastAsia="zh-CN"/>
        </w:rPr>
        <w:t>附图3-5项目5层平面布局图</w:t>
      </w:r>
    </w:p>
    <w:p w14:paraId="49E35F7C">
      <w:pPr>
        <w:spacing w:line="360" w:lineRule="auto"/>
        <w:rPr>
          <w:rFonts w:hint="default"/>
          <w:color w:val="auto"/>
          <w:sz w:val="24"/>
          <w:szCs w:val="24"/>
          <w:lang w:val="en-US" w:eastAsia="zh-CN"/>
        </w:rPr>
      </w:pPr>
      <w:r>
        <w:rPr>
          <w:rFonts w:hint="eastAsia"/>
          <w:color w:val="auto"/>
          <w:sz w:val="24"/>
          <w:szCs w:val="24"/>
          <w:lang w:val="en-US" w:eastAsia="zh-CN"/>
        </w:rPr>
        <w:t>附图4项目周边敏感目标分布图</w:t>
      </w:r>
    </w:p>
    <w:p w14:paraId="064A03BB">
      <w:pPr>
        <w:rPr>
          <w:rFonts w:hint="eastAsia"/>
          <w:color w:val="auto"/>
          <w:lang w:val="en-US" w:eastAsia="zh-CN"/>
        </w:rPr>
      </w:pPr>
    </w:p>
    <w:p w14:paraId="036C8A3C">
      <w:pPr>
        <w:rPr>
          <w:rFonts w:hint="default"/>
          <w:b/>
          <w:bCs/>
          <w:color w:val="auto"/>
          <w:sz w:val="24"/>
          <w:szCs w:val="24"/>
          <w:lang w:val="en-US" w:eastAsia="zh-CN"/>
        </w:rPr>
      </w:pPr>
      <w:r>
        <w:rPr>
          <w:rFonts w:hint="eastAsia"/>
          <w:b/>
          <w:bCs/>
          <w:color w:val="auto"/>
          <w:sz w:val="24"/>
          <w:szCs w:val="24"/>
          <w:lang w:val="en-US" w:eastAsia="zh-CN"/>
        </w:rPr>
        <w:t>附件</w:t>
      </w:r>
    </w:p>
    <w:p w14:paraId="5CE7AC54">
      <w:pPr>
        <w:spacing w:line="360" w:lineRule="auto"/>
        <w:rPr>
          <w:rFonts w:hint="eastAsia"/>
          <w:color w:val="auto"/>
          <w:sz w:val="24"/>
          <w:szCs w:val="24"/>
          <w:lang w:val="en-US" w:eastAsia="zh-CN"/>
        </w:rPr>
      </w:pPr>
      <w:r>
        <w:rPr>
          <w:rFonts w:hint="eastAsia"/>
          <w:color w:val="auto"/>
          <w:sz w:val="24"/>
          <w:szCs w:val="24"/>
          <w:lang w:val="en-US" w:eastAsia="zh-CN"/>
        </w:rPr>
        <w:t>附件1营业执照</w:t>
      </w:r>
    </w:p>
    <w:p w14:paraId="0C9CB50C">
      <w:pPr>
        <w:spacing w:line="360" w:lineRule="auto"/>
        <w:rPr>
          <w:rFonts w:hint="eastAsia"/>
          <w:color w:val="auto"/>
          <w:sz w:val="24"/>
          <w:szCs w:val="24"/>
          <w:lang w:val="en-US" w:eastAsia="zh-CN"/>
        </w:rPr>
      </w:pPr>
      <w:r>
        <w:rPr>
          <w:rFonts w:hint="eastAsia"/>
          <w:color w:val="auto"/>
          <w:sz w:val="24"/>
          <w:szCs w:val="24"/>
          <w:lang w:val="en-US" w:eastAsia="zh-CN"/>
        </w:rPr>
        <w:t>附件2项目备案文件</w:t>
      </w:r>
    </w:p>
    <w:p w14:paraId="6D489815">
      <w:pPr>
        <w:spacing w:line="360" w:lineRule="auto"/>
        <w:rPr>
          <w:rFonts w:hint="default"/>
          <w:color w:val="auto"/>
          <w:sz w:val="24"/>
          <w:szCs w:val="24"/>
          <w:lang w:val="en-US" w:eastAsia="zh-CN"/>
        </w:rPr>
      </w:pPr>
      <w:r>
        <w:rPr>
          <w:rFonts w:hint="eastAsia"/>
          <w:color w:val="auto"/>
          <w:sz w:val="24"/>
          <w:szCs w:val="24"/>
          <w:lang w:val="en-US" w:eastAsia="zh-CN"/>
        </w:rPr>
        <w:t>附件3现有项目环评批复</w:t>
      </w:r>
    </w:p>
    <w:p w14:paraId="142887CE">
      <w:pPr>
        <w:spacing w:line="360" w:lineRule="auto"/>
        <w:rPr>
          <w:rFonts w:hint="eastAsia"/>
          <w:color w:val="auto"/>
          <w:sz w:val="24"/>
          <w:szCs w:val="24"/>
          <w:lang w:val="en-US" w:eastAsia="zh-CN"/>
        </w:rPr>
      </w:pPr>
      <w:r>
        <w:rPr>
          <w:rFonts w:hint="eastAsia"/>
          <w:color w:val="auto"/>
          <w:sz w:val="24"/>
          <w:szCs w:val="24"/>
          <w:lang w:val="en-US" w:eastAsia="zh-CN"/>
        </w:rPr>
        <w:t>附件4房产证</w:t>
      </w:r>
    </w:p>
    <w:p w14:paraId="2D48549A">
      <w:pPr>
        <w:spacing w:line="360" w:lineRule="auto"/>
        <w:rPr>
          <w:rFonts w:hint="eastAsia"/>
          <w:color w:val="auto"/>
          <w:sz w:val="24"/>
          <w:szCs w:val="24"/>
          <w:lang w:val="en-US" w:eastAsia="zh-CN"/>
        </w:rPr>
      </w:pPr>
      <w:r>
        <w:rPr>
          <w:rFonts w:hint="eastAsia"/>
          <w:color w:val="auto"/>
          <w:sz w:val="24"/>
          <w:szCs w:val="24"/>
          <w:lang w:val="en-US" w:eastAsia="zh-CN"/>
        </w:rPr>
        <w:t>附件5房屋租赁合同</w:t>
      </w:r>
    </w:p>
    <w:p w14:paraId="72ED0CB8">
      <w:pPr>
        <w:spacing w:line="360" w:lineRule="auto"/>
        <w:rPr>
          <w:rFonts w:hint="default"/>
          <w:color w:val="auto"/>
          <w:sz w:val="24"/>
          <w:szCs w:val="24"/>
          <w:lang w:val="en-US" w:eastAsia="zh-CN"/>
        </w:rPr>
      </w:pPr>
      <w:r>
        <w:rPr>
          <w:rFonts w:hint="eastAsia"/>
          <w:color w:val="auto"/>
          <w:sz w:val="24"/>
          <w:szCs w:val="24"/>
          <w:lang w:val="en-US" w:eastAsia="zh-CN"/>
        </w:rPr>
        <w:t>附件6危废处置合同</w:t>
      </w:r>
    </w:p>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roman"/>
    <w:pitch w:val="default"/>
    <w:sig w:usb0="F7FFAEFF" w:usb1="F9DFFFFF" w:usb2="0000007F" w:usb3="00000000" w:csb0="203F01FF" w:csb1="DFFF0000"/>
  </w:font>
  <w:font w:name="TimesNewRoman">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F2B62">
    <w:pPr>
      <w:pStyle w:val="14"/>
      <w:tabs>
        <w:tab w:val="center" w:pos="4422"/>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1EB4F">
                          <w:pPr>
                            <w:pStyle w:val="14"/>
                            <w:rPr>
                              <w:sz w:val="32"/>
                              <w:szCs w:val="36"/>
                            </w:rPr>
                          </w:pPr>
                          <w:r>
                            <w:rPr>
                              <w:sz w:val="32"/>
                              <w:szCs w:val="36"/>
                            </w:rPr>
                            <w:t xml:space="preserve">— </w:t>
                          </w:r>
                          <w:r>
                            <w:rPr>
                              <w:sz w:val="32"/>
                              <w:szCs w:val="36"/>
                            </w:rPr>
                            <w:fldChar w:fldCharType="begin"/>
                          </w:r>
                          <w:r>
                            <w:rPr>
                              <w:sz w:val="32"/>
                              <w:szCs w:val="36"/>
                            </w:rPr>
                            <w:instrText xml:space="preserve"> PAGE  \* MERGEFORMAT </w:instrText>
                          </w:r>
                          <w:r>
                            <w:rPr>
                              <w:sz w:val="32"/>
                              <w:szCs w:val="36"/>
                            </w:rPr>
                            <w:fldChar w:fldCharType="separate"/>
                          </w:r>
                          <w:r>
                            <w:rPr>
                              <w:sz w:val="32"/>
                              <w:szCs w:val="36"/>
                            </w:rPr>
                            <w:t>1</w:t>
                          </w:r>
                          <w:r>
                            <w:rPr>
                              <w:sz w:val="32"/>
                              <w:szCs w:val="36"/>
                            </w:rPr>
                            <w:fldChar w:fldCharType="end"/>
                          </w:r>
                          <w:r>
                            <w:rPr>
                              <w:sz w:val="32"/>
                              <w:szCs w:val="36"/>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78F1EB4F">
                    <w:pPr>
                      <w:pStyle w:val="14"/>
                      <w:rPr>
                        <w:sz w:val="32"/>
                        <w:szCs w:val="36"/>
                      </w:rPr>
                    </w:pPr>
                    <w:r>
                      <w:rPr>
                        <w:sz w:val="32"/>
                        <w:szCs w:val="36"/>
                      </w:rPr>
                      <w:t xml:space="preserve">— </w:t>
                    </w:r>
                    <w:r>
                      <w:rPr>
                        <w:sz w:val="32"/>
                        <w:szCs w:val="36"/>
                      </w:rPr>
                      <w:fldChar w:fldCharType="begin"/>
                    </w:r>
                    <w:r>
                      <w:rPr>
                        <w:sz w:val="32"/>
                        <w:szCs w:val="36"/>
                      </w:rPr>
                      <w:instrText xml:space="preserve"> PAGE  \* MERGEFORMAT </w:instrText>
                    </w:r>
                    <w:r>
                      <w:rPr>
                        <w:sz w:val="32"/>
                        <w:szCs w:val="36"/>
                      </w:rPr>
                      <w:fldChar w:fldCharType="separate"/>
                    </w:r>
                    <w:r>
                      <w:rPr>
                        <w:sz w:val="32"/>
                        <w:szCs w:val="36"/>
                      </w:rPr>
                      <w:t>1</w:t>
                    </w:r>
                    <w:r>
                      <w:rPr>
                        <w:sz w:val="32"/>
                        <w:szCs w:val="36"/>
                      </w:rPr>
                      <w:fldChar w:fldCharType="end"/>
                    </w:r>
                    <w:r>
                      <w:rPr>
                        <w:sz w:val="32"/>
                        <w:szCs w:val="36"/>
                      </w:rPr>
                      <w:t xml:space="preserve"> —</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C5AB4">
                          <w:pPr>
                            <w:pStyle w:val="14"/>
                            <w:rPr>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78C5AB4">
                    <w:pPr>
                      <w:pStyle w:val="14"/>
                      <w:rPr>
                        <w:sz w:val="28"/>
                        <w:szCs w:val="28"/>
                      </w:rPr>
                    </w:pPr>
                  </w:p>
                </w:txbxContent>
              </v:textbox>
            </v:shape>
          </w:pict>
        </mc:Fallback>
      </mc:AlternateConten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00E57">
    <w:pPr>
      <w:pStyle w:val="14"/>
      <w:ind w:firstLine="36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4397D1">
                          <w:pPr>
                            <w:pStyle w:val="1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24</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wfDAy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QizZ1nY&#10;6QfLI3SUx9v1MUDOpHIUpVMC3YkHTF/qU78pcbz/PKeox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jB8MDICAABlBAAADgAAAAAAAAABACAAAAAfAQAAZHJzL2Uyb0RvYy54bWxQSwUG&#10;AAAAAAYABgBZAQAAwwUAAAAA&#10;">
              <v:fill on="f" focussize="0,0"/>
              <v:stroke on="f" weight="0.5pt"/>
              <v:imagedata o:title=""/>
              <o:lock v:ext="edit" aspectratio="f"/>
              <v:textbox inset="0mm,0mm,0mm,0mm" style="mso-fit-shape-to-text:t;">
                <w:txbxContent>
                  <w:p w14:paraId="214397D1">
                    <w:pPr>
                      <w:pStyle w:val="1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24</w:t>
                    </w:r>
                    <w:r>
                      <w:rPr>
                        <w:sz w:val="28"/>
                        <w:szCs w:val="28"/>
                      </w:rPr>
                      <w:fldChar w:fldCharType="end"/>
                    </w:r>
                    <w:r>
                      <w:rPr>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BAA6B">
    <w:r>
      <w:pict>
        <v:shape id="IPGWMV_P-BB50_T-3_U-94D9AAC8" o:spid="_x0000_s2049" o:spt="75" alt="IPGWMV_P-BB50_T-3_U-94D9AAC8" type="#_x0000_t75" style="position:absolute;left:0pt;margin-left:0pt;margin-top:0pt;height:840pt;width:594pt;mso-position-horizontal-relative:page;mso-position-vertical-relative:page;z-index:-251657216;mso-width-relative:page;mso-height-relative:page;" filled="f" stroked="f" coordsize="21600,21600">
          <v:path/>
          <v:fill on="f" focussize="0,0"/>
          <v:stroke on="f"/>
          <v:imagedata r:id="rId1" o:title="QK-C561E1DC-B45C7407-DE741D22-319-461.png"/>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A49F6"/>
    <w:multiLevelType w:val="singleLevel"/>
    <w:tmpl w:val="82CA49F6"/>
    <w:lvl w:ilvl="0" w:tentative="0">
      <w:start w:val="1"/>
      <w:numFmt w:val="decimal"/>
      <w:lvlText w:val="表2-%1"/>
      <w:lvlJc w:val="left"/>
      <w:pPr>
        <w:tabs>
          <w:tab w:val="left" w:pos="420"/>
        </w:tabs>
        <w:ind w:left="425" w:hanging="425"/>
      </w:pPr>
      <w:rPr>
        <w:rFonts w:hint="default"/>
        <w:b/>
        <w:bCs/>
        <w:color w:val="auto"/>
      </w:rPr>
    </w:lvl>
  </w:abstractNum>
  <w:abstractNum w:abstractNumId="1">
    <w:nsid w:val="8F6CC6E6"/>
    <w:multiLevelType w:val="singleLevel"/>
    <w:tmpl w:val="8F6CC6E6"/>
    <w:lvl w:ilvl="0" w:tentative="0">
      <w:start w:val="1"/>
      <w:numFmt w:val="chineseCounting"/>
      <w:suff w:val="nothing"/>
      <w:lvlText w:val="%1、"/>
      <w:lvlJc w:val="left"/>
      <w:rPr>
        <w:rFonts w:hint="eastAsia"/>
      </w:rPr>
    </w:lvl>
  </w:abstractNum>
  <w:abstractNum w:abstractNumId="2">
    <w:nsid w:val="95F4319A"/>
    <w:multiLevelType w:val="singleLevel"/>
    <w:tmpl w:val="95F4319A"/>
    <w:lvl w:ilvl="0" w:tentative="0">
      <w:start w:val="1"/>
      <w:numFmt w:val="decimal"/>
      <w:lvlText w:val="%1."/>
      <w:lvlJc w:val="left"/>
      <w:pPr>
        <w:tabs>
          <w:tab w:val="left" w:pos="312"/>
        </w:tabs>
      </w:pPr>
    </w:lvl>
  </w:abstractNum>
  <w:abstractNum w:abstractNumId="3">
    <w:nsid w:val="9718922B"/>
    <w:multiLevelType w:val="singleLevel"/>
    <w:tmpl w:val="9718922B"/>
    <w:lvl w:ilvl="0" w:tentative="0">
      <w:start w:val="1"/>
      <w:numFmt w:val="decimalEnclosedCircleChinese"/>
      <w:suff w:val="nothing"/>
      <w:lvlText w:val="%1　"/>
      <w:lvlJc w:val="left"/>
      <w:pPr>
        <w:ind w:left="0" w:firstLine="400"/>
      </w:pPr>
      <w:rPr>
        <w:rFonts w:hint="eastAsia"/>
      </w:rPr>
    </w:lvl>
  </w:abstractNum>
  <w:abstractNum w:abstractNumId="4">
    <w:nsid w:val="9A9116C9"/>
    <w:multiLevelType w:val="singleLevel"/>
    <w:tmpl w:val="9A9116C9"/>
    <w:lvl w:ilvl="0" w:tentative="0">
      <w:start w:val="1"/>
      <w:numFmt w:val="decimalEnclosedCircleChinese"/>
      <w:suff w:val="nothing"/>
      <w:lvlText w:val="%1　"/>
      <w:lvlJc w:val="left"/>
      <w:pPr>
        <w:ind w:left="0" w:firstLine="400"/>
      </w:pPr>
      <w:rPr>
        <w:rFonts w:hint="eastAsia"/>
      </w:rPr>
    </w:lvl>
  </w:abstractNum>
  <w:abstractNum w:abstractNumId="5">
    <w:nsid w:val="A377B6BD"/>
    <w:multiLevelType w:val="singleLevel"/>
    <w:tmpl w:val="A377B6BD"/>
    <w:lvl w:ilvl="0" w:tentative="0">
      <w:start w:val="1"/>
      <w:numFmt w:val="chineseCounting"/>
      <w:suff w:val="nothing"/>
      <w:lvlText w:val="%1、"/>
      <w:lvlJc w:val="left"/>
      <w:pPr>
        <w:ind w:left="0" w:firstLine="420"/>
      </w:pPr>
      <w:rPr>
        <w:rFonts w:hint="eastAsia"/>
      </w:rPr>
    </w:lvl>
  </w:abstractNum>
  <w:abstractNum w:abstractNumId="6">
    <w:nsid w:val="A6FB92C4"/>
    <w:multiLevelType w:val="singleLevel"/>
    <w:tmpl w:val="A6FB92C4"/>
    <w:lvl w:ilvl="0" w:tentative="0">
      <w:start w:val="1"/>
      <w:numFmt w:val="decimal"/>
      <w:lvlText w:val="%1"/>
      <w:lvlJc w:val="left"/>
      <w:pPr>
        <w:tabs>
          <w:tab w:val="left" w:pos="420"/>
        </w:tabs>
        <w:ind w:left="425" w:leftChars="0" w:hanging="425" w:firstLineChars="0"/>
      </w:pPr>
      <w:rPr>
        <w:rFonts w:hint="default"/>
      </w:rPr>
    </w:lvl>
  </w:abstractNum>
  <w:abstractNum w:abstractNumId="7">
    <w:nsid w:val="BD73F333"/>
    <w:multiLevelType w:val="singleLevel"/>
    <w:tmpl w:val="BD73F333"/>
    <w:lvl w:ilvl="0" w:tentative="0">
      <w:start w:val="1"/>
      <w:numFmt w:val="decimal"/>
      <w:lvlText w:val="图2-%1"/>
      <w:lvlJc w:val="left"/>
      <w:pPr>
        <w:tabs>
          <w:tab w:val="left" w:pos="420"/>
        </w:tabs>
        <w:ind w:left="425" w:leftChars="0" w:hanging="425" w:firstLineChars="0"/>
      </w:pPr>
      <w:rPr>
        <w:rFonts w:hint="default"/>
        <w:b/>
        <w:bCs/>
      </w:rPr>
    </w:lvl>
  </w:abstractNum>
  <w:abstractNum w:abstractNumId="8">
    <w:nsid w:val="BE3E05FE"/>
    <w:multiLevelType w:val="singleLevel"/>
    <w:tmpl w:val="BE3E05FE"/>
    <w:lvl w:ilvl="0" w:tentative="0">
      <w:start w:val="1"/>
      <w:numFmt w:val="decimalEnclosedCircleChinese"/>
      <w:suff w:val="nothing"/>
      <w:lvlText w:val="%1　"/>
      <w:lvlJc w:val="left"/>
      <w:pPr>
        <w:ind w:left="0" w:firstLine="400"/>
      </w:pPr>
      <w:rPr>
        <w:rFonts w:hint="eastAsia"/>
      </w:rPr>
    </w:lvl>
  </w:abstractNum>
  <w:abstractNum w:abstractNumId="9">
    <w:nsid w:val="C6484467"/>
    <w:multiLevelType w:val="singleLevel"/>
    <w:tmpl w:val="C6484467"/>
    <w:lvl w:ilvl="0" w:tentative="0">
      <w:start w:val="1"/>
      <w:numFmt w:val="decimalEnclosedCircleChinese"/>
      <w:suff w:val="nothing"/>
      <w:lvlText w:val="%1　"/>
      <w:lvlJc w:val="left"/>
      <w:pPr>
        <w:ind w:left="0" w:firstLine="400"/>
      </w:pPr>
      <w:rPr>
        <w:rFonts w:hint="eastAsia"/>
      </w:rPr>
    </w:lvl>
  </w:abstractNum>
  <w:abstractNum w:abstractNumId="10">
    <w:nsid w:val="C74A42D3"/>
    <w:multiLevelType w:val="singleLevel"/>
    <w:tmpl w:val="C74A42D3"/>
    <w:lvl w:ilvl="0" w:tentative="0">
      <w:start w:val="1"/>
      <w:numFmt w:val="decimalEnclosedCircleChinese"/>
      <w:suff w:val="nothing"/>
      <w:lvlText w:val="%1　"/>
      <w:lvlJc w:val="left"/>
      <w:pPr>
        <w:ind w:left="0" w:firstLine="400"/>
      </w:pPr>
      <w:rPr>
        <w:rFonts w:hint="eastAsia"/>
      </w:rPr>
    </w:lvl>
  </w:abstractNum>
  <w:abstractNum w:abstractNumId="11">
    <w:nsid w:val="C792BAC1"/>
    <w:multiLevelType w:val="singleLevel"/>
    <w:tmpl w:val="C792BAC1"/>
    <w:lvl w:ilvl="0" w:tentative="0">
      <w:start w:val="1"/>
      <w:numFmt w:val="decimalEnclosedCircleChinese"/>
      <w:suff w:val="nothing"/>
      <w:lvlText w:val="%1　"/>
      <w:lvlJc w:val="left"/>
      <w:pPr>
        <w:ind w:left="0" w:firstLine="400"/>
      </w:pPr>
      <w:rPr>
        <w:rFonts w:hint="eastAsia"/>
      </w:rPr>
    </w:lvl>
  </w:abstractNum>
  <w:abstractNum w:abstractNumId="12">
    <w:nsid w:val="D06A845A"/>
    <w:multiLevelType w:val="singleLevel"/>
    <w:tmpl w:val="D06A845A"/>
    <w:lvl w:ilvl="0" w:tentative="0">
      <w:start w:val="1"/>
      <w:numFmt w:val="decimal"/>
      <w:lvlText w:val="%1."/>
      <w:lvlJc w:val="left"/>
      <w:pPr>
        <w:tabs>
          <w:tab w:val="left" w:pos="312"/>
        </w:tabs>
      </w:pPr>
    </w:lvl>
  </w:abstractNum>
  <w:abstractNum w:abstractNumId="13">
    <w:nsid w:val="D2E66460"/>
    <w:multiLevelType w:val="singleLevel"/>
    <w:tmpl w:val="D2E66460"/>
    <w:lvl w:ilvl="0" w:tentative="0">
      <w:start w:val="1"/>
      <w:numFmt w:val="decimal"/>
      <w:lvlText w:val="图1-%1"/>
      <w:lvlJc w:val="left"/>
      <w:pPr>
        <w:tabs>
          <w:tab w:val="left" w:pos="420"/>
        </w:tabs>
        <w:ind w:left="425" w:leftChars="0" w:hanging="425" w:firstLineChars="0"/>
      </w:pPr>
      <w:rPr>
        <w:rFonts w:hint="default"/>
        <w:b/>
        <w:bCs/>
        <w:sz w:val="24"/>
        <w:szCs w:val="24"/>
      </w:rPr>
    </w:lvl>
  </w:abstractNum>
  <w:abstractNum w:abstractNumId="14">
    <w:nsid w:val="DDF2C8A8"/>
    <w:multiLevelType w:val="singleLevel"/>
    <w:tmpl w:val="DDF2C8A8"/>
    <w:lvl w:ilvl="0" w:tentative="0">
      <w:start w:val="1"/>
      <w:numFmt w:val="decimal"/>
      <w:lvlText w:val="%1."/>
      <w:lvlJc w:val="left"/>
      <w:pPr>
        <w:tabs>
          <w:tab w:val="left" w:pos="312"/>
        </w:tabs>
      </w:pPr>
    </w:lvl>
  </w:abstractNum>
  <w:abstractNum w:abstractNumId="15">
    <w:nsid w:val="E23D0A08"/>
    <w:multiLevelType w:val="singleLevel"/>
    <w:tmpl w:val="E23D0A08"/>
    <w:lvl w:ilvl="0" w:tentative="0">
      <w:start w:val="2"/>
      <w:numFmt w:val="decimal"/>
      <w:suff w:val="nothing"/>
      <w:lvlText w:val="%1）"/>
      <w:lvlJc w:val="left"/>
    </w:lvl>
  </w:abstractNum>
  <w:abstractNum w:abstractNumId="16">
    <w:nsid w:val="EF7F2199"/>
    <w:multiLevelType w:val="singleLevel"/>
    <w:tmpl w:val="EF7F2199"/>
    <w:lvl w:ilvl="0" w:tentative="0">
      <w:start w:val="1"/>
      <w:numFmt w:val="decimalEnclosedCircleChinese"/>
      <w:suff w:val="nothing"/>
      <w:lvlText w:val="%1　"/>
      <w:lvlJc w:val="left"/>
      <w:pPr>
        <w:ind w:left="0" w:firstLine="400"/>
      </w:pPr>
      <w:rPr>
        <w:rFonts w:hint="eastAsia"/>
      </w:rPr>
    </w:lvl>
  </w:abstractNum>
  <w:abstractNum w:abstractNumId="17">
    <w:nsid w:val="F7D767D8"/>
    <w:multiLevelType w:val="singleLevel"/>
    <w:tmpl w:val="F7D767D8"/>
    <w:lvl w:ilvl="0" w:tentative="0">
      <w:start w:val="1"/>
      <w:numFmt w:val="decimal"/>
      <w:suff w:val="nothing"/>
      <w:lvlText w:val="%1　"/>
      <w:lvlJc w:val="left"/>
      <w:pPr>
        <w:ind w:left="0" w:firstLine="0"/>
      </w:pPr>
      <w:rPr>
        <w:rFonts w:hint="default" w:ascii="Times New Roman" w:hAnsi="Times New Roman" w:cs="Times New Roman"/>
        <w:snapToGrid w:val="0"/>
        <w:color w:val="auto"/>
        <w:spacing w:val="-20"/>
        <w:sz w:val="18"/>
        <w:szCs w:val="18"/>
        <w:highlight w:val="none"/>
      </w:rPr>
    </w:lvl>
  </w:abstractNum>
  <w:abstractNum w:abstractNumId="18">
    <w:nsid w:val="FE9FABE4"/>
    <w:multiLevelType w:val="singleLevel"/>
    <w:tmpl w:val="FE9FABE4"/>
    <w:lvl w:ilvl="0" w:tentative="0">
      <w:start w:val="1"/>
      <w:numFmt w:val="decimal"/>
      <w:lvlText w:val="%1."/>
      <w:lvlJc w:val="left"/>
      <w:pPr>
        <w:tabs>
          <w:tab w:val="left" w:pos="312"/>
        </w:tabs>
      </w:pPr>
    </w:lvl>
  </w:abstractNum>
  <w:abstractNum w:abstractNumId="19">
    <w:nsid w:val="00914AB5"/>
    <w:multiLevelType w:val="singleLevel"/>
    <w:tmpl w:val="00914AB5"/>
    <w:lvl w:ilvl="0" w:tentative="0">
      <w:start w:val="1"/>
      <w:numFmt w:val="decimal"/>
      <w:lvlText w:val="%1"/>
      <w:lvlJc w:val="left"/>
      <w:pPr>
        <w:tabs>
          <w:tab w:val="left" w:pos="420"/>
        </w:tabs>
        <w:ind w:left="425" w:leftChars="0" w:hanging="425" w:firstLineChars="0"/>
      </w:pPr>
      <w:rPr>
        <w:rFonts w:hint="default"/>
      </w:rPr>
    </w:lvl>
  </w:abstractNum>
  <w:abstractNum w:abstractNumId="20">
    <w:nsid w:val="07D85CF0"/>
    <w:multiLevelType w:val="singleLevel"/>
    <w:tmpl w:val="07D85CF0"/>
    <w:lvl w:ilvl="0" w:tentative="0">
      <w:start w:val="1"/>
      <w:numFmt w:val="decimal"/>
      <w:lvlText w:val="图3-%1"/>
      <w:lvlJc w:val="left"/>
      <w:pPr>
        <w:tabs>
          <w:tab w:val="left" w:pos="420"/>
        </w:tabs>
        <w:ind w:left="425" w:leftChars="0" w:hanging="425" w:firstLineChars="0"/>
      </w:pPr>
      <w:rPr>
        <w:rFonts w:hint="default"/>
      </w:rPr>
    </w:lvl>
  </w:abstractNum>
  <w:abstractNum w:abstractNumId="21">
    <w:nsid w:val="0A37CA6C"/>
    <w:multiLevelType w:val="singleLevel"/>
    <w:tmpl w:val="0A37CA6C"/>
    <w:lvl w:ilvl="0" w:tentative="0">
      <w:start w:val="1"/>
      <w:numFmt w:val="decimal"/>
      <w:suff w:val="nothing"/>
      <w:lvlText w:val="%1、"/>
      <w:lvlJc w:val="left"/>
    </w:lvl>
  </w:abstractNum>
  <w:abstractNum w:abstractNumId="22">
    <w:nsid w:val="10CB2A01"/>
    <w:multiLevelType w:val="singleLevel"/>
    <w:tmpl w:val="10CB2A01"/>
    <w:lvl w:ilvl="0" w:tentative="0">
      <w:start w:val="1"/>
      <w:numFmt w:val="decimalEnclosedCircleChinese"/>
      <w:suff w:val="nothing"/>
      <w:lvlText w:val="%1　"/>
      <w:lvlJc w:val="left"/>
      <w:pPr>
        <w:ind w:left="0" w:firstLine="400"/>
      </w:pPr>
      <w:rPr>
        <w:rFonts w:hint="eastAsia"/>
      </w:rPr>
    </w:lvl>
  </w:abstractNum>
  <w:abstractNum w:abstractNumId="23">
    <w:nsid w:val="11F1F12A"/>
    <w:multiLevelType w:val="singleLevel"/>
    <w:tmpl w:val="11F1F12A"/>
    <w:lvl w:ilvl="0" w:tentative="0">
      <w:start w:val="1"/>
      <w:numFmt w:val="decimal"/>
      <w:lvlText w:val="%1"/>
      <w:lvlJc w:val="left"/>
      <w:pPr>
        <w:tabs>
          <w:tab w:val="left" w:pos="420"/>
        </w:tabs>
        <w:ind w:left="425" w:leftChars="0" w:hanging="425" w:firstLineChars="0"/>
      </w:pPr>
      <w:rPr>
        <w:rFonts w:hint="default"/>
      </w:rPr>
    </w:lvl>
  </w:abstractNum>
  <w:abstractNum w:abstractNumId="24">
    <w:nsid w:val="18CF62C4"/>
    <w:multiLevelType w:val="singleLevel"/>
    <w:tmpl w:val="18CF62C4"/>
    <w:lvl w:ilvl="0" w:tentative="0">
      <w:start w:val="1"/>
      <w:numFmt w:val="chineseCounting"/>
      <w:suff w:val="nothing"/>
      <w:lvlText w:val="%1、"/>
      <w:lvlJc w:val="left"/>
      <w:pPr>
        <w:ind w:left="-420" w:firstLine="420"/>
      </w:pPr>
      <w:rPr>
        <w:rFonts w:hint="eastAsia"/>
        <w:b/>
        <w:bCs/>
        <w:sz w:val="24"/>
        <w:szCs w:val="24"/>
      </w:rPr>
    </w:lvl>
  </w:abstractNum>
  <w:abstractNum w:abstractNumId="25">
    <w:nsid w:val="197BCEEB"/>
    <w:multiLevelType w:val="singleLevel"/>
    <w:tmpl w:val="197BCEEB"/>
    <w:lvl w:ilvl="0" w:tentative="0">
      <w:start w:val="1"/>
      <w:numFmt w:val="decimal"/>
      <w:lvlText w:val="%1"/>
      <w:lvlJc w:val="left"/>
      <w:pPr>
        <w:tabs>
          <w:tab w:val="left" w:pos="420"/>
        </w:tabs>
        <w:ind w:left="425" w:leftChars="0" w:hanging="425" w:firstLineChars="0"/>
      </w:pPr>
      <w:rPr>
        <w:rFonts w:hint="default"/>
      </w:rPr>
    </w:lvl>
  </w:abstractNum>
  <w:abstractNum w:abstractNumId="26">
    <w:nsid w:val="2485C606"/>
    <w:multiLevelType w:val="singleLevel"/>
    <w:tmpl w:val="2485C606"/>
    <w:lvl w:ilvl="0" w:tentative="0">
      <w:start w:val="1"/>
      <w:numFmt w:val="decimal"/>
      <w:suff w:val="nothing"/>
      <w:lvlText w:val="（%1）"/>
      <w:lvlJc w:val="left"/>
    </w:lvl>
  </w:abstractNum>
  <w:abstractNum w:abstractNumId="27">
    <w:nsid w:val="2A293518"/>
    <w:multiLevelType w:val="singleLevel"/>
    <w:tmpl w:val="2A293518"/>
    <w:lvl w:ilvl="0" w:tentative="0">
      <w:start w:val="1"/>
      <w:numFmt w:val="decimal"/>
      <w:lvlText w:val="表5-%1"/>
      <w:lvlJc w:val="left"/>
      <w:pPr>
        <w:tabs>
          <w:tab w:val="left" w:pos="420"/>
        </w:tabs>
        <w:ind w:left="425" w:leftChars="0" w:hanging="425" w:firstLineChars="0"/>
      </w:pPr>
      <w:rPr>
        <w:rFonts w:hint="default"/>
      </w:rPr>
    </w:lvl>
  </w:abstractNum>
  <w:abstractNum w:abstractNumId="28">
    <w:nsid w:val="2B310BDA"/>
    <w:multiLevelType w:val="singleLevel"/>
    <w:tmpl w:val="2B310BDA"/>
    <w:lvl w:ilvl="0" w:tentative="0">
      <w:start w:val="1"/>
      <w:numFmt w:val="decimal"/>
      <w:suff w:val="nothing"/>
      <w:lvlText w:val="%1、"/>
      <w:lvlJc w:val="left"/>
    </w:lvl>
  </w:abstractNum>
  <w:abstractNum w:abstractNumId="29">
    <w:nsid w:val="2FCD6487"/>
    <w:multiLevelType w:val="singleLevel"/>
    <w:tmpl w:val="2FCD6487"/>
    <w:lvl w:ilvl="0" w:tentative="0">
      <w:start w:val="1"/>
      <w:numFmt w:val="chineseCounting"/>
      <w:suff w:val="nothing"/>
      <w:lvlText w:val="%1、"/>
      <w:lvlJc w:val="left"/>
      <w:rPr>
        <w:rFonts w:hint="eastAsia"/>
      </w:rPr>
    </w:lvl>
  </w:abstractNum>
  <w:abstractNum w:abstractNumId="30">
    <w:nsid w:val="329002CD"/>
    <w:multiLevelType w:val="singleLevel"/>
    <w:tmpl w:val="329002CD"/>
    <w:lvl w:ilvl="0" w:tentative="0">
      <w:start w:val="1"/>
      <w:numFmt w:val="decimal"/>
      <w:suff w:val="nothing"/>
      <w:lvlText w:val="%1、"/>
      <w:lvlJc w:val="left"/>
    </w:lvl>
  </w:abstractNum>
  <w:abstractNum w:abstractNumId="31">
    <w:nsid w:val="37002C56"/>
    <w:multiLevelType w:val="singleLevel"/>
    <w:tmpl w:val="37002C56"/>
    <w:lvl w:ilvl="0" w:tentative="0">
      <w:start w:val="1"/>
      <w:numFmt w:val="chineseCounting"/>
      <w:suff w:val="nothing"/>
      <w:lvlText w:val="%1、"/>
      <w:lvlJc w:val="left"/>
      <w:pPr>
        <w:ind w:left="-442" w:firstLine="420"/>
      </w:pPr>
      <w:rPr>
        <w:rFonts w:hint="eastAsia"/>
      </w:rPr>
    </w:lvl>
  </w:abstractNum>
  <w:abstractNum w:abstractNumId="32">
    <w:nsid w:val="390F296A"/>
    <w:multiLevelType w:val="singleLevel"/>
    <w:tmpl w:val="390F296A"/>
    <w:lvl w:ilvl="0" w:tentative="0">
      <w:start w:val="1"/>
      <w:numFmt w:val="decimalEnclosedCircleChinese"/>
      <w:suff w:val="nothing"/>
      <w:lvlText w:val="%1　"/>
      <w:lvlJc w:val="left"/>
      <w:pPr>
        <w:ind w:left="0" w:firstLine="400"/>
      </w:pPr>
      <w:rPr>
        <w:rFonts w:hint="eastAsia"/>
      </w:rPr>
    </w:lvl>
  </w:abstractNum>
  <w:abstractNum w:abstractNumId="33">
    <w:nsid w:val="46E5DCD5"/>
    <w:multiLevelType w:val="singleLevel"/>
    <w:tmpl w:val="46E5DCD5"/>
    <w:lvl w:ilvl="0" w:tentative="0">
      <w:start w:val="1"/>
      <w:numFmt w:val="decimal"/>
      <w:suff w:val="space"/>
      <w:lvlText w:val="表3-%1"/>
      <w:lvlJc w:val="left"/>
      <w:pPr>
        <w:ind w:left="425" w:hanging="425"/>
      </w:pPr>
      <w:rPr>
        <w:rFonts w:hint="default"/>
        <w:b/>
        <w:bCs/>
        <w:color w:val="auto"/>
        <w:sz w:val="24"/>
        <w:szCs w:val="24"/>
      </w:rPr>
    </w:lvl>
  </w:abstractNum>
  <w:abstractNum w:abstractNumId="34">
    <w:nsid w:val="495C44B5"/>
    <w:multiLevelType w:val="singleLevel"/>
    <w:tmpl w:val="495C44B5"/>
    <w:lvl w:ilvl="0" w:tentative="0">
      <w:start w:val="1"/>
      <w:numFmt w:val="decimal"/>
      <w:suff w:val="nothing"/>
      <w:lvlText w:val="（%1）"/>
      <w:lvlJc w:val="left"/>
      <w:rPr>
        <w:rFonts w:hint="default"/>
        <w:b/>
        <w:bCs/>
      </w:rPr>
    </w:lvl>
  </w:abstractNum>
  <w:abstractNum w:abstractNumId="35">
    <w:nsid w:val="5887DB75"/>
    <w:multiLevelType w:val="singleLevel"/>
    <w:tmpl w:val="5887DB75"/>
    <w:lvl w:ilvl="0" w:tentative="0">
      <w:start w:val="1"/>
      <w:numFmt w:val="decimal"/>
      <w:lvlText w:val="表1-%1"/>
      <w:lvlJc w:val="left"/>
      <w:pPr>
        <w:tabs>
          <w:tab w:val="left" w:pos="420"/>
        </w:tabs>
        <w:ind w:left="425" w:leftChars="0" w:hanging="425" w:firstLineChars="0"/>
      </w:pPr>
      <w:rPr>
        <w:rFonts w:hint="default"/>
      </w:rPr>
    </w:lvl>
  </w:abstractNum>
  <w:abstractNum w:abstractNumId="36">
    <w:nsid w:val="5D16C219"/>
    <w:multiLevelType w:val="singleLevel"/>
    <w:tmpl w:val="5D16C219"/>
    <w:lvl w:ilvl="0" w:tentative="0">
      <w:start w:val="1"/>
      <w:numFmt w:val="decimal"/>
      <w:suff w:val="nothing"/>
      <w:lvlText w:val="（%1）"/>
      <w:lvlJc w:val="left"/>
    </w:lvl>
  </w:abstractNum>
  <w:abstractNum w:abstractNumId="37">
    <w:nsid w:val="62AA806D"/>
    <w:multiLevelType w:val="singleLevel"/>
    <w:tmpl w:val="62AA806D"/>
    <w:lvl w:ilvl="0" w:tentative="0">
      <w:start w:val="1"/>
      <w:numFmt w:val="decimal"/>
      <w:lvlText w:val="表4-%1"/>
      <w:lvlJc w:val="left"/>
      <w:pPr>
        <w:tabs>
          <w:tab w:val="left" w:pos="420"/>
        </w:tabs>
        <w:ind w:left="425" w:leftChars="0" w:hanging="425" w:firstLineChars="0"/>
      </w:pPr>
      <w:rPr>
        <w:rFonts w:hint="default"/>
        <w:b/>
        <w:bCs/>
        <w:sz w:val="24"/>
        <w:szCs w:val="24"/>
      </w:rPr>
    </w:lvl>
  </w:abstractNum>
  <w:abstractNum w:abstractNumId="38">
    <w:nsid w:val="79973A19"/>
    <w:multiLevelType w:val="singleLevel"/>
    <w:tmpl w:val="79973A19"/>
    <w:lvl w:ilvl="0" w:tentative="0">
      <w:start w:val="1"/>
      <w:numFmt w:val="decimal"/>
      <w:lvlText w:val="%1."/>
      <w:lvlJc w:val="left"/>
      <w:pPr>
        <w:ind w:left="425" w:hanging="425"/>
      </w:pPr>
      <w:rPr>
        <w:rFonts w:hint="default"/>
      </w:rPr>
    </w:lvl>
  </w:abstractNum>
  <w:abstractNum w:abstractNumId="39">
    <w:nsid w:val="79EB4547"/>
    <w:multiLevelType w:val="singleLevel"/>
    <w:tmpl w:val="79EB4547"/>
    <w:lvl w:ilvl="0" w:tentative="0">
      <w:start w:val="1"/>
      <w:numFmt w:val="decimal"/>
      <w:suff w:val="nothing"/>
      <w:lvlText w:val="（%1）"/>
      <w:lvlJc w:val="left"/>
    </w:lvl>
  </w:abstractNum>
  <w:num w:numId="1">
    <w:abstractNumId w:val="2"/>
  </w:num>
  <w:num w:numId="2">
    <w:abstractNumId w:val="30"/>
  </w:num>
  <w:num w:numId="3">
    <w:abstractNumId w:val="13"/>
  </w:num>
  <w:num w:numId="4">
    <w:abstractNumId w:val="35"/>
  </w:num>
  <w:num w:numId="5">
    <w:abstractNumId w:val="31"/>
  </w:num>
  <w:num w:numId="6">
    <w:abstractNumId w:val="34"/>
  </w:num>
  <w:num w:numId="7">
    <w:abstractNumId w:val="12"/>
  </w:num>
  <w:num w:numId="8">
    <w:abstractNumId w:val="18"/>
  </w:num>
  <w:num w:numId="9">
    <w:abstractNumId w:val="14"/>
  </w:num>
  <w:num w:numId="10">
    <w:abstractNumId w:val="15"/>
  </w:num>
  <w:num w:numId="11">
    <w:abstractNumId w:val="1"/>
  </w:num>
  <w:num w:numId="12">
    <w:abstractNumId w:val="0"/>
  </w:num>
  <w:num w:numId="13">
    <w:abstractNumId w:val="19"/>
  </w:num>
  <w:num w:numId="14">
    <w:abstractNumId w:val="6"/>
  </w:num>
  <w:num w:numId="15">
    <w:abstractNumId w:val="23"/>
  </w:num>
  <w:num w:numId="16">
    <w:abstractNumId w:val="7"/>
  </w:num>
  <w:num w:numId="17">
    <w:abstractNumId w:val="28"/>
  </w:num>
  <w:num w:numId="18">
    <w:abstractNumId w:val="36"/>
  </w:num>
  <w:num w:numId="19">
    <w:abstractNumId w:val="11"/>
  </w:num>
  <w:num w:numId="20">
    <w:abstractNumId w:val="8"/>
  </w:num>
  <w:num w:numId="21">
    <w:abstractNumId w:val="10"/>
  </w:num>
  <w:num w:numId="22">
    <w:abstractNumId w:val="29"/>
  </w:num>
  <w:num w:numId="23">
    <w:abstractNumId w:val="3"/>
  </w:num>
  <w:num w:numId="24">
    <w:abstractNumId w:val="33"/>
  </w:num>
  <w:num w:numId="25">
    <w:abstractNumId w:val="20"/>
  </w:num>
  <w:num w:numId="26">
    <w:abstractNumId w:val="24"/>
  </w:num>
  <w:num w:numId="27">
    <w:abstractNumId w:val="38"/>
  </w:num>
  <w:num w:numId="28">
    <w:abstractNumId w:val="39"/>
  </w:num>
  <w:num w:numId="29">
    <w:abstractNumId w:val="21"/>
  </w:num>
  <w:num w:numId="30">
    <w:abstractNumId w:val="5"/>
  </w:num>
  <w:num w:numId="31">
    <w:abstractNumId w:val="26"/>
  </w:num>
  <w:num w:numId="32">
    <w:abstractNumId w:val="37"/>
  </w:num>
  <w:num w:numId="33">
    <w:abstractNumId w:val="25"/>
  </w:num>
  <w:num w:numId="34">
    <w:abstractNumId w:val="22"/>
  </w:num>
  <w:num w:numId="35">
    <w:abstractNumId w:val="32"/>
  </w:num>
  <w:num w:numId="36">
    <w:abstractNumId w:val="17"/>
  </w:num>
  <w:num w:numId="37">
    <w:abstractNumId w:val="4"/>
  </w:num>
  <w:num w:numId="38">
    <w:abstractNumId w:val="9"/>
  </w:num>
  <w:num w:numId="39">
    <w:abstractNumId w:val="16"/>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1MGU1ODJlYWE2ODNmZmM4MWJmY2Y4Njg1NDk5ZDgifQ=="/>
  </w:docVars>
  <w:rsids>
    <w:rsidRoot w:val="00172A27"/>
    <w:rsid w:val="00042383"/>
    <w:rsid w:val="00076791"/>
    <w:rsid w:val="000A002F"/>
    <w:rsid w:val="000C1FF9"/>
    <w:rsid w:val="000D49EA"/>
    <w:rsid w:val="00103897"/>
    <w:rsid w:val="0011590D"/>
    <w:rsid w:val="0011760F"/>
    <w:rsid w:val="00172A27"/>
    <w:rsid w:val="001D7D62"/>
    <w:rsid w:val="00212CDA"/>
    <w:rsid w:val="00214EA5"/>
    <w:rsid w:val="00225A44"/>
    <w:rsid w:val="00236FBD"/>
    <w:rsid w:val="00247343"/>
    <w:rsid w:val="00294959"/>
    <w:rsid w:val="002B06D1"/>
    <w:rsid w:val="00305CE7"/>
    <w:rsid w:val="00307A95"/>
    <w:rsid w:val="00360E24"/>
    <w:rsid w:val="00381040"/>
    <w:rsid w:val="003C28DE"/>
    <w:rsid w:val="003F417C"/>
    <w:rsid w:val="00417EF4"/>
    <w:rsid w:val="00425A1B"/>
    <w:rsid w:val="00441793"/>
    <w:rsid w:val="00443541"/>
    <w:rsid w:val="00446D34"/>
    <w:rsid w:val="0046550B"/>
    <w:rsid w:val="00473031"/>
    <w:rsid w:val="00475BFE"/>
    <w:rsid w:val="00490B57"/>
    <w:rsid w:val="004C0647"/>
    <w:rsid w:val="004E43BF"/>
    <w:rsid w:val="00501B2B"/>
    <w:rsid w:val="005319D6"/>
    <w:rsid w:val="00544619"/>
    <w:rsid w:val="0055574E"/>
    <w:rsid w:val="00577718"/>
    <w:rsid w:val="005A0FB6"/>
    <w:rsid w:val="005A7208"/>
    <w:rsid w:val="005C4D2E"/>
    <w:rsid w:val="006336EF"/>
    <w:rsid w:val="00635B77"/>
    <w:rsid w:val="006360BD"/>
    <w:rsid w:val="0066749F"/>
    <w:rsid w:val="00683FF1"/>
    <w:rsid w:val="006911F9"/>
    <w:rsid w:val="006F7850"/>
    <w:rsid w:val="007402CA"/>
    <w:rsid w:val="0078768E"/>
    <w:rsid w:val="0083050D"/>
    <w:rsid w:val="00844285"/>
    <w:rsid w:val="00846033"/>
    <w:rsid w:val="00867FFD"/>
    <w:rsid w:val="00885B23"/>
    <w:rsid w:val="008B5614"/>
    <w:rsid w:val="008C6C96"/>
    <w:rsid w:val="008D313A"/>
    <w:rsid w:val="009224FE"/>
    <w:rsid w:val="009269A2"/>
    <w:rsid w:val="00937981"/>
    <w:rsid w:val="009A13B3"/>
    <w:rsid w:val="009A63EB"/>
    <w:rsid w:val="009A7605"/>
    <w:rsid w:val="009E4D10"/>
    <w:rsid w:val="00A13691"/>
    <w:rsid w:val="00A36E92"/>
    <w:rsid w:val="00A41184"/>
    <w:rsid w:val="00A81D22"/>
    <w:rsid w:val="00AE30C4"/>
    <w:rsid w:val="00AF1302"/>
    <w:rsid w:val="00B2494E"/>
    <w:rsid w:val="00B74651"/>
    <w:rsid w:val="00B76409"/>
    <w:rsid w:val="00B93F2F"/>
    <w:rsid w:val="00BA0E00"/>
    <w:rsid w:val="00BE1545"/>
    <w:rsid w:val="00C33E5A"/>
    <w:rsid w:val="00C34DAD"/>
    <w:rsid w:val="00C528D4"/>
    <w:rsid w:val="00C621A8"/>
    <w:rsid w:val="00CB77BE"/>
    <w:rsid w:val="00CE26AE"/>
    <w:rsid w:val="00CF5500"/>
    <w:rsid w:val="00D40D69"/>
    <w:rsid w:val="00D479B0"/>
    <w:rsid w:val="00D82C72"/>
    <w:rsid w:val="00DA0C51"/>
    <w:rsid w:val="00DB32E3"/>
    <w:rsid w:val="00DD3279"/>
    <w:rsid w:val="00DE079A"/>
    <w:rsid w:val="00E05F53"/>
    <w:rsid w:val="00EB60B2"/>
    <w:rsid w:val="00ED33C1"/>
    <w:rsid w:val="00EF7950"/>
    <w:rsid w:val="00F036C9"/>
    <w:rsid w:val="00F30697"/>
    <w:rsid w:val="00F443C8"/>
    <w:rsid w:val="00FB62F5"/>
    <w:rsid w:val="00FC206D"/>
    <w:rsid w:val="010417EE"/>
    <w:rsid w:val="010827C0"/>
    <w:rsid w:val="010F3B4F"/>
    <w:rsid w:val="01154EDD"/>
    <w:rsid w:val="011963C9"/>
    <w:rsid w:val="011B2E8F"/>
    <w:rsid w:val="01214EA6"/>
    <w:rsid w:val="01233A9E"/>
    <w:rsid w:val="0123584C"/>
    <w:rsid w:val="012515C4"/>
    <w:rsid w:val="012958F6"/>
    <w:rsid w:val="012B64AF"/>
    <w:rsid w:val="01325A8F"/>
    <w:rsid w:val="01331319"/>
    <w:rsid w:val="01341807"/>
    <w:rsid w:val="0136557F"/>
    <w:rsid w:val="01395070"/>
    <w:rsid w:val="01396E1E"/>
    <w:rsid w:val="013B1D7A"/>
    <w:rsid w:val="013C690E"/>
    <w:rsid w:val="01420154"/>
    <w:rsid w:val="01437EC0"/>
    <w:rsid w:val="01453A14"/>
    <w:rsid w:val="01464FA1"/>
    <w:rsid w:val="0147778C"/>
    <w:rsid w:val="01483505"/>
    <w:rsid w:val="014852B3"/>
    <w:rsid w:val="01497B84"/>
    <w:rsid w:val="014F219D"/>
    <w:rsid w:val="014F6641"/>
    <w:rsid w:val="01565DA4"/>
    <w:rsid w:val="015A3E73"/>
    <w:rsid w:val="016420B7"/>
    <w:rsid w:val="01664E35"/>
    <w:rsid w:val="01687703"/>
    <w:rsid w:val="01695955"/>
    <w:rsid w:val="016C0FA1"/>
    <w:rsid w:val="017165B7"/>
    <w:rsid w:val="017716F4"/>
    <w:rsid w:val="017C6D0A"/>
    <w:rsid w:val="017D4F5C"/>
    <w:rsid w:val="017E6F26"/>
    <w:rsid w:val="01852063"/>
    <w:rsid w:val="01863CD4"/>
    <w:rsid w:val="018750D4"/>
    <w:rsid w:val="018856AF"/>
    <w:rsid w:val="01910A08"/>
    <w:rsid w:val="0196601E"/>
    <w:rsid w:val="01967DCC"/>
    <w:rsid w:val="01A324E9"/>
    <w:rsid w:val="01A506ED"/>
    <w:rsid w:val="01A73D87"/>
    <w:rsid w:val="01A81D9E"/>
    <w:rsid w:val="01A85D51"/>
    <w:rsid w:val="01AC1704"/>
    <w:rsid w:val="01AF5332"/>
    <w:rsid w:val="01B446F6"/>
    <w:rsid w:val="01B666C0"/>
    <w:rsid w:val="01B80C08"/>
    <w:rsid w:val="01B85F94"/>
    <w:rsid w:val="01BB5A85"/>
    <w:rsid w:val="01BD17FD"/>
    <w:rsid w:val="01BD7A4F"/>
    <w:rsid w:val="01C20BC1"/>
    <w:rsid w:val="01C34939"/>
    <w:rsid w:val="01CA3F1A"/>
    <w:rsid w:val="01CF32DE"/>
    <w:rsid w:val="01D152A8"/>
    <w:rsid w:val="01D1627A"/>
    <w:rsid w:val="01D17056"/>
    <w:rsid w:val="01D408F4"/>
    <w:rsid w:val="01E07623"/>
    <w:rsid w:val="01E66FA5"/>
    <w:rsid w:val="01E857F1"/>
    <w:rsid w:val="01E90844"/>
    <w:rsid w:val="01EB6738"/>
    <w:rsid w:val="01F01BD2"/>
    <w:rsid w:val="01F176F8"/>
    <w:rsid w:val="01F571E8"/>
    <w:rsid w:val="01F62F61"/>
    <w:rsid w:val="01FA47FF"/>
    <w:rsid w:val="01FB2325"/>
    <w:rsid w:val="02000D3F"/>
    <w:rsid w:val="02025461"/>
    <w:rsid w:val="02027416"/>
    <w:rsid w:val="020372A9"/>
    <w:rsid w:val="0204742C"/>
    <w:rsid w:val="02072A78"/>
    <w:rsid w:val="020D21BB"/>
    <w:rsid w:val="020E02AA"/>
    <w:rsid w:val="020F621C"/>
    <w:rsid w:val="02140D77"/>
    <w:rsid w:val="021653B1"/>
    <w:rsid w:val="0216715F"/>
    <w:rsid w:val="02180623"/>
    <w:rsid w:val="02191E9F"/>
    <w:rsid w:val="021A09FD"/>
    <w:rsid w:val="021C23A2"/>
    <w:rsid w:val="02235B22"/>
    <w:rsid w:val="0229022E"/>
    <w:rsid w:val="02291994"/>
    <w:rsid w:val="022C5744"/>
    <w:rsid w:val="02301FCF"/>
    <w:rsid w:val="02337D11"/>
    <w:rsid w:val="023575E5"/>
    <w:rsid w:val="023615AF"/>
    <w:rsid w:val="0236335D"/>
    <w:rsid w:val="02380E83"/>
    <w:rsid w:val="023F0464"/>
    <w:rsid w:val="02454286"/>
    <w:rsid w:val="02467A44"/>
    <w:rsid w:val="02480AFD"/>
    <w:rsid w:val="02493090"/>
    <w:rsid w:val="02502671"/>
    <w:rsid w:val="025263E9"/>
    <w:rsid w:val="02553FCA"/>
    <w:rsid w:val="025658D6"/>
    <w:rsid w:val="025739FF"/>
    <w:rsid w:val="025926C3"/>
    <w:rsid w:val="025D4572"/>
    <w:rsid w:val="0261487E"/>
    <w:rsid w:val="02624152"/>
    <w:rsid w:val="026305F6"/>
    <w:rsid w:val="02641C78"/>
    <w:rsid w:val="026E0D49"/>
    <w:rsid w:val="0273635F"/>
    <w:rsid w:val="027427F8"/>
    <w:rsid w:val="02785724"/>
    <w:rsid w:val="027D0F8C"/>
    <w:rsid w:val="027D288D"/>
    <w:rsid w:val="027D71DE"/>
    <w:rsid w:val="027F2F56"/>
    <w:rsid w:val="028B18FB"/>
    <w:rsid w:val="02900CBF"/>
    <w:rsid w:val="029511B3"/>
    <w:rsid w:val="0295277A"/>
    <w:rsid w:val="0295339B"/>
    <w:rsid w:val="02954528"/>
    <w:rsid w:val="029562D6"/>
    <w:rsid w:val="029C3B08"/>
    <w:rsid w:val="029F53A6"/>
    <w:rsid w:val="02A12ECC"/>
    <w:rsid w:val="02A227A1"/>
    <w:rsid w:val="02AB256F"/>
    <w:rsid w:val="02AD7AC3"/>
    <w:rsid w:val="02B06E10"/>
    <w:rsid w:val="02B26E88"/>
    <w:rsid w:val="02B40E52"/>
    <w:rsid w:val="02B7624C"/>
    <w:rsid w:val="02B83DDE"/>
    <w:rsid w:val="02B8562E"/>
    <w:rsid w:val="02BA21E0"/>
    <w:rsid w:val="02BC1AB4"/>
    <w:rsid w:val="02BD28BB"/>
    <w:rsid w:val="02C31095"/>
    <w:rsid w:val="02C57001"/>
    <w:rsid w:val="02C72207"/>
    <w:rsid w:val="02CA1EB1"/>
    <w:rsid w:val="02CB1CF7"/>
    <w:rsid w:val="02CD38AA"/>
    <w:rsid w:val="02CF7A3A"/>
    <w:rsid w:val="02D21D84"/>
    <w:rsid w:val="02D74B40"/>
    <w:rsid w:val="02DE0C76"/>
    <w:rsid w:val="02DF1815"/>
    <w:rsid w:val="02E14102"/>
    <w:rsid w:val="02E90BCF"/>
    <w:rsid w:val="02F23728"/>
    <w:rsid w:val="030516AD"/>
    <w:rsid w:val="03060F81"/>
    <w:rsid w:val="03082F4B"/>
    <w:rsid w:val="03083819"/>
    <w:rsid w:val="03097F81"/>
    <w:rsid w:val="030A0A72"/>
    <w:rsid w:val="030E7E36"/>
    <w:rsid w:val="03117E77"/>
    <w:rsid w:val="03124D54"/>
    <w:rsid w:val="0317318F"/>
    <w:rsid w:val="031D6EFB"/>
    <w:rsid w:val="031E276F"/>
    <w:rsid w:val="031F2043"/>
    <w:rsid w:val="031F2C3C"/>
    <w:rsid w:val="032338E1"/>
    <w:rsid w:val="03241F4C"/>
    <w:rsid w:val="03247659"/>
    <w:rsid w:val="032558AB"/>
    <w:rsid w:val="03276338"/>
    <w:rsid w:val="032D650E"/>
    <w:rsid w:val="032F04D8"/>
    <w:rsid w:val="033311CF"/>
    <w:rsid w:val="03377AA2"/>
    <w:rsid w:val="03380F32"/>
    <w:rsid w:val="033835B9"/>
    <w:rsid w:val="03400B54"/>
    <w:rsid w:val="03404493"/>
    <w:rsid w:val="03411FB9"/>
    <w:rsid w:val="03433F84"/>
    <w:rsid w:val="03435D32"/>
    <w:rsid w:val="03455F4E"/>
    <w:rsid w:val="03457CFC"/>
    <w:rsid w:val="034D6BB0"/>
    <w:rsid w:val="034E6C67"/>
    <w:rsid w:val="034F46D6"/>
    <w:rsid w:val="03595555"/>
    <w:rsid w:val="035B12CD"/>
    <w:rsid w:val="035C6DF3"/>
    <w:rsid w:val="035E789D"/>
    <w:rsid w:val="03634626"/>
    <w:rsid w:val="036363D4"/>
    <w:rsid w:val="036439CE"/>
    <w:rsid w:val="03675EC4"/>
    <w:rsid w:val="036B6BBE"/>
    <w:rsid w:val="036D2DAF"/>
    <w:rsid w:val="036E446E"/>
    <w:rsid w:val="03760E3D"/>
    <w:rsid w:val="03824AAC"/>
    <w:rsid w:val="03885E3A"/>
    <w:rsid w:val="038A1CB4"/>
    <w:rsid w:val="038D16A3"/>
    <w:rsid w:val="038D51FF"/>
    <w:rsid w:val="038F71C9"/>
    <w:rsid w:val="03962305"/>
    <w:rsid w:val="03977E2B"/>
    <w:rsid w:val="03993BA4"/>
    <w:rsid w:val="039C5442"/>
    <w:rsid w:val="039E42B2"/>
    <w:rsid w:val="03A2514E"/>
    <w:rsid w:val="03A52548"/>
    <w:rsid w:val="03AF1619"/>
    <w:rsid w:val="03B24E15"/>
    <w:rsid w:val="03B66504"/>
    <w:rsid w:val="03B70B69"/>
    <w:rsid w:val="03B96EA9"/>
    <w:rsid w:val="03BB7FBE"/>
    <w:rsid w:val="03C2134C"/>
    <w:rsid w:val="03C9092D"/>
    <w:rsid w:val="03CA1FAF"/>
    <w:rsid w:val="03CD3AA3"/>
    <w:rsid w:val="03CE7CF1"/>
    <w:rsid w:val="03D177E1"/>
    <w:rsid w:val="03D33559"/>
    <w:rsid w:val="03D35307"/>
    <w:rsid w:val="03D472D2"/>
    <w:rsid w:val="03D80B70"/>
    <w:rsid w:val="03DB0660"/>
    <w:rsid w:val="03DB41BC"/>
    <w:rsid w:val="03E017D2"/>
    <w:rsid w:val="03EA43FF"/>
    <w:rsid w:val="03F37758"/>
    <w:rsid w:val="03F67248"/>
    <w:rsid w:val="03FB03BA"/>
    <w:rsid w:val="03FE03B1"/>
    <w:rsid w:val="03FF434E"/>
    <w:rsid w:val="03FF60FC"/>
    <w:rsid w:val="0402799B"/>
    <w:rsid w:val="04071455"/>
    <w:rsid w:val="04090D29"/>
    <w:rsid w:val="040A2CF3"/>
    <w:rsid w:val="040B458F"/>
    <w:rsid w:val="041871BE"/>
    <w:rsid w:val="04194CE4"/>
    <w:rsid w:val="04275653"/>
    <w:rsid w:val="042A0CA0"/>
    <w:rsid w:val="042B26C2"/>
    <w:rsid w:val="04301D26"/>
    <w:rsid w:val="043128C5"/>
    <w:rsid w:val="04333FF8"/>
    <w:rsid w:val="043349B6"/>
    <w:rsid w:val="04334F81"/>
    <w:rsid w:val="04335DA6"/>
    <w:rsid w:val="043868A8"/>
    <w:rsid w:val="043A1A2F"/>
    <w:rsid w:val="043B2771"/>
    <w:rsid w:val="043F299D"/>
    <w:rsid w:val="04463D2B"/>
    <w:rsid w:val="04470273"/>
    <w:rsid w:val="04473600"/>
    <w:rsid w:val="04477AA3"/>
    <w:rsid w:val="044E0E32"/>
    <w:rsid w:val="04510922"/>
    <w:rsid w:val="045521C0"/>
    <w:rsid w:val="04561A95"/>
    <w:rsid w:val="04581CB1"/>
    <w:rsid w:val="04590024"/>
    <w:rsid w:val="045B70AB"/>
    <w:rsid w:val="045D72C7"/>
    <w:rsid w:val="045F303F"/>
    <w:rsid w:val="0462668B"/>
    <w:rsid w:val="046441B2"/>
    <w:rsid w:val="04657F2A"/>
    <w:rsid w:val="04695C6C"/>
    <w:rsid w:val="0471044C"/>
    <w:rsid w:val="04781A0B"/>
    <w:rsid w:val="04784101"/>
    <w:rsid w:val="04785EAF"/>
    <w:rsid w:val="047A7F1E"/>
    <w:rsid w:val="047C3421"/>
    <w:rsid w:val="047C599F"/>
    <w:rsid w:val="047D1717"/>
    <w:rsid w:val="04842AA6"/>
    <w:rsid w:val="048A5A25"/>
    <w:rsid w:val="048B5B27"/>
    <w:rsid w:val="048F0F53"/>
    <w:rsid w:val="049031F8"/>
    <w:rsid w:val="04926F71"/>
    <w:rsid w:val="04934A97"/>
    <w:rsid w:val="04936845"/>
    <w:rsid w:val="049D3B67"/>
    <w:rsid w:val="04A13CAC"/>
    <w:rsid w:val="04A171B4"/>
    <w:rsid w:val="04A3117E"/>
    <w:rsid w:val="04A863DD"/>
    <w:rsid w:val="04A942BA"/>
    <w:rsid w:val="04AB3B8E"/>
    <w:rsid w:val="04AE7B23"/>
    <w:rsid w:val="04B8274F"/>
    <w:rsid w:val="04BB2116"/>
    <w:rsid w:val="04BD38C2"/>
    <w:rsid w:val="04C00734"/>
    <w:rsid w:val="04C133B2"/>
    <w:rsid w:val="04D43423"/>
    <w:rsid w:val="04D96D31"/>
    <w:rsid w:val="04E3586E"/>
    <w:rsid w:val="04EA6DAD"/>
    <w:rsid w:val="04ED23F9"/>
    <w:rsid w:val="04F027A9"/>
    <w:rsid w:val="04F274F3"/>
    <w:rsid w:val="04F27A0F"/>
    <w:rsid w:val="04FD0162"/>
    <w:rsid w:val="05080FE1"/>
    <w:rsid w:val="050D4849"/>
    <w:rsid w:val="050E015C"/>
    <w:rsid w:val="05143E2A"/>
    <w:rsid w:val="051756C8"/>
    <w:rsid w:val="05177D7E"/>
    <w:rsid w:val="051931EE"/>
    <w:rsid w:val="051A0D14"/>
    <w:rsid w:val="051C4A8C"/>
    <w:rsid w:val="051C683A"/>
    <w:rsid w:val="051F632A"/>
    <w:rsid w:val="051F7A75"/>
    <w:rsid w:val="05236321"/>
    <w:rsid w:val="0524048F"/>
    <w:rsid w:val="05241B93"/>
    <w:rsid w:val="05257DE5"/>
    <w:rsid w:val="052851DF"/>
    <w:rsid w:val="052B1173"/>
    <w:rsid w:val="052D4EEB"/>
    <w:rsid w:val="0530678A"/>
    <w:rsid w:val="05340028"/>
    <w:rsid w:val="05341DD6"/>
    <w:rsid w:val="0539188E"/>
    <w:rsid w:val="053973EC"/>
    <w:rsid w:val="053C081B"/>
    <w:rsid w:val="053C512E"/>
    <w:rsid w:val="053C6A73"/>
    <w:rsid w:val="053C7CB9"/>
    <w:rsid w:val="053E74DA"/>
    <w:rsid w:val="05412745"/>
    <w:rsid w:val="0548762F"/>
    <w:rsid w:val="05544226"/>
    <w:rsid w:val="0559183C"/>
    <w:rsid w:val="055C757F"/>
    <w:rsid w:val="055E2512"/>
    <w:rsid w:val="0560706F"/>
    <w:rsid w:val="05656433"/>
    <w:rsid w:val="056F1060"/>
    <w:rsid w:val="057448C8"/>
    <w:rsid w:val="0577215D"/>
    <w:rsid w:val="05776166"/>
    <w:rsid w:val="057A17B3"/>
    <w:rsid w:val="057C19CF"/>
    <w:rsid w:val="057E5243"/>
    <w:rsid w:val="0580326D"/>
    <w:rsid w:val="05812B41"/>
    <w:rsid w:val="05832D5D"/>
    <w:rsid w:val="05834B0B"/>
    <w:rsid w:val="05850883"/>
    <w:rsid w:val="0591547A"/>
    <w:rsid w:val="05946D18"/>
    <w:rsid w:val="059D3E1F"/>
    <w:rsid w:val="05A01219"/>
    <w:rsid w:val="05A21435"/>
    <w:rsid w:val="05A31CFB"/>
    <w:rsid w:val="05A36F5B"/>
    <w:rsid w:val="05A47E39"/>
    <w:rsid w:val="05A54A82"/>
    <w:rsid w:val="05A64CE0"/>
    <w:rsid w:val="05AA02EA"/>
    <w:rsid w:val="05AA653C"/>
    <w:rsid w:val="05AC4062"/>
    <w:rsid w:val="05AD3936"/>
    <w:rsid w:val="05B12AB7"/>
    <w:rsid w:val="05B1320D"/>
    <w:rsid w:val="05B461E1"/>
    <w:rsid w:val="05B66C8F"/>
    <w:rsid w:val="05BD626F"/>
    <w:rsid w:val="05BE2530"/>
    <w:rsid w:val="05C0366A"/>
    <w:rsid w:val="05C25634"/>
    <w:rsid w:val="05C63706"/>
    <w:rsid w:val="05C70E9C"/>
    <w:rsid w:val="05CA098C"/>
    <w:rsid w:val="05CB0A83"/>
    <w:rsid w:val="05CF2FDE"/>
    <w:rsid w:val="05CF7D50"/>
    <w:rsid w:val="05D13AC9"/>
    <w:rsid w:val="05D43ADD"/>
    <w:rsid w:val="05D47115"/>
    <w:rsid w:val="05DC58AA"/>
    <w:rsid w:val="05DD246D"/>
    <w:rsid w:val="05DE61E6"/>
    <w:rsid w:val="05DF62C8"/>
    <w:rsid w:val="05E042B0"/>
    <w:rsid w:val="05E239E4"/>
    <w:rsid w:val="05E74E14"/>
    <w:rsid w:val="05EA6938"/>
    <w:rsid w:val="05EA6F2B"/>
    <w:rsid w:val="05EC0902"/>
    <w:rsid w:val="05EC4069"/>
    <w:rsid w:val="05F45A09"/>
    <w:rsid w:val="05F67F28"/>
    <w:rsid w:val="05F72E03"/>
    <w:rsid w:val="05FC2474"/>
    <w:rsid w:val="05FC4B31"/>
    <w:rsid w:val="05FE0636"/>
    <w:rsid w:val="06011662"/>
    <w:rsid w:val="06055520"/>
    <w:rsid w:val="06071754"/>
    <w:rsid w:val="0607422C"/>
    <w:rsid w:val="06085010"/>
    <w:rsid w:val="060C045C"/>
    <w:rsid w:val="060C2D53"/>
    <w:rsid w:val="060C4604"/>
    <w:rsid w:val="060C68AF"/>
    <w:rsid w:val="060E0879"/>
    <w:rsid w:val="060F2843"/>
    <w:rsid w:val="06131F48"/>
    <w:rsid w:val="061754B1"/>
    <w:rsid w:val="061834A6"/>
    <w:rsid w:val="0619141B"/>
    <w:rsid w:val="061C50A9"/>
    <w:rsid w:val="061C5AAE"/>
    <w:rsid w:val="061D286A"/>
    <w:rsid w:val="061D6D0E"/>
    <w:rsid w:val="062005AC"/>
    <w:rsid w:val="062B0EAC"/>
    <w:rsid w:val="062C21B1"/>
    <w:rsid w:val="062C6F51"/>
    <w:rsid w:val="06336531"/>
    <w:rsid w:val="063858F6"/>
    <w:rsid w:val="06396850"/>
    <w:rsid w:val="063F594E"/>
    <w:rsid w:val="0642670C"/>
    <w:rsid w:val="06451DC1"/>
    <w:rsid w:val="064614D7"/>
    <w:rsid w:val="06475B39"/>
    <w:rsid w:val="064921AF"/>
    <w:rsid w:val="064A7D7E"/>
    <w:rsid w:val="064E306E"/>
    <w:rsid w:val="064E336B"/>
    <w:rsid w:val="064F2365"/>
    <w:rsid w:val="065169B7"/>
    <w:rsid w:val="06540256"/>
    <w:rsid w:val="0654294E"/>
    <w:rsid w:val="06565D7C"/>
    <w:rsid w:val="06590829"/>
    <w:rsid w:val="065C448B"/>
    <w:rsid w:val="065F10D4"/>
    <w:rsid w:val="06654211"/>
    <w:rsid w:val="06655EF0"/>
    <w:rsid w:val="066806ED"/>
    <w:rsid w:val="06691F53"/>
    <w:rsid w:val="06694317"/>
    <w:rsid w:val="066B3BEC"/>
    <w:rsid w:val="066D1D8C"/>
    <w:rsid w:val="066E57BB"/>
    <w:rsid w:val="067313A5"/>
    <w:rsid w:val="067A4160"/>
    <w:rsid w:val="067A5F0E"/>
    <w:rsid w:val="067F1777"/>
    <w:rsid w:val="067F52D3"/>
    <w:rsid w:val="068602C1"/>
    <w:rsid w:val="06872F1A"/>
    <w:rsid w:val="068872E6"/>
    <w:rsid w:val="068F128E"/>
    <w:rsid w:val="069074E0"/>
    <w:rsid w:val="06911C3B"/>
    <w:rsid w:val="06935222"/>
    <w:rsid w:val="06966BB5"/>
    <w:rsid w:val="06982838"/>
    <w:rsid w:val="06A05249"/>
    <w:rsid w:val="06A12870"/>
    <w:rsid w:val="06AB431A"/>
    <w:rsid w:val="06AE06DA"/>
    <w:rsid w:val="06AE3E0A"/>
    <w:rsid w:val="06B01930"/>
    <w:rsid w:val="06B37672"/>
    <w:rsid w:val="06B43D0A"/>
    <w:rsid w:val="06B72BC7"/>
    <w:rsid w:val="06B867FC"/>
    <w:rsid w:val="06C1141B"/>
    <w:rsid w:val="06C26280"/>
    <w:rsid w:val="06C61153"/>
    <w:rsid w:val="06C70A28"/>
    <w:rsid w:val="06CE3D7C"/>
    <w:rsid w:val="06D01FD2"/>
    <w:rsid w:val="06D03D80"/>
    <w:rsid w:val="06D067E2"/>
    <w:rsid w:val="06D111D0"/>
    <w:rsid w:val="06D33870"/>
    <w:rsid w:val="06D870D9"/>
    <w:rsid w:val="06E03F5B"/>
    <w:rsid w:val="06E4782C"/>
    <w:rsid w:val="06EA6EE5"/>
    <w:rsid w:val="06EE06AA"/>
    <w:rsid w:val="06F061D0"/>
    <w:rsid w:val="06F2019A"/>
    <w:rsid w:val="06F20FC3"/>
    <w:rsid w:val="06F3181D"/>
    <w:rsid w:val="06F85F55"/>
    <w:rsid w:val="06FF3E10"/>
    <w:rsid w:val="07025814"/>
    <w:rsid w:val="07047ECE"/>
    <w:rsid w:val="07061550"/>
    <w:rsid w:val="070954E4"/>
    <w:rsid w:val="070B3997"/>
    <w:rsid w:val="070D0B30"/>
    <w:rsid w:val="07146C2B"/>
    <w:rsid w:val="07153E89"/>
    <w:rsid w:val="071623D5"/>
    <w:rsid w:val="071A4FFB"/>
    <w:rsid w:val="071D689A"/>
    <w:rsid w:val="071E2D3E"/>
    <w:rsid w:val="071F3380"/>
    <w:rsid w:val="0721638A"/>
    <w:rsid w:val="07222102"/>
    <w:rsid w:val="072639A0"/>
    <w:rsid w:val="072702BE"/>
    <w:rsid w:val="07283BBC"/>
    <w:rsid w:val="072916E2"/>
    <w:rsid w:val="072E5A65"/>
    <w:rsid w:val="072F2CD8"/>
    <w:rsid w:val="07342561"/>
    <w:rsid w:val="0736405C"/>
    <w:rsid w:val="07373DFF"/>
    <w:rsid w:val="073A744C"/>
    <w:rsid w:val="073C1416"/>
    <w:rsid w:val="073C7668"/>
    <w:rsid w:val="073F0F06"/>
    <w:rsid w:val="0744651C"/>
    <w:rsid w:val="07462294"/>
    <w:rsid w:val="07465DF0"/>
    <w:rsid w:val="074A1D85"/>
    <w:rsid w:val="074A3B33"/>
    <w:rsid w:val="074B3407"/>
    <w:rsid w:val="074D3623"/>
    <w:rsid w:val="07524795"/>
    <w:rsid w:val="0753050D"/>
    <w:rsid w:val="075514AC"/>
    <w:rsid w:val="07585D35"/>
    <w:rsid w:val="075B5D40"/>
    <w:rsid w:val="075E138C"/>
    <w:rsid w:val="075E75DE"/>
    <w:rsid w:val="075F5104"/>
    <w:rsid w:val="075F6EB2"/>
    <w:rsid w:val="07603356"/>
    <w:rsid w:val="076444C8"/>
    <w:rsid w:val="076646E5"/>
    <w:rsid w:val="07697D31"/>
    <w:rsid w:val="076B1CFB"/>
    <w:rsid w:val="076B3AA9"/>
    <w:rsid w:val="076D7821"/>
    <w:rsid w:val="0774305B"/>
    <w:rsid w:val="077527CF"/>
    <w:rsid w:val="07762B7A"/>
    <w:rsid w:val="0777244E"/>
    <w:rsid w:val="07795B6B"/>
    <w:rsid w:val="077C3C20"/>
    <w:rsid w:val="077E558A"/>
    <w:rsid w:val="077F1302"/>
    <w:rsid w:val="07807FC3"/>
    <w:rsid w:val="07830DF3"/>
    <w:rsid w:val="07853608"/>
    <w:rsid w:val="078D3A1F"/>
    <w:rsid w:val="0790350F"/>
    <w:rsid w:val="07922158"/>
    <w:rsid w:val="079254DA"/>
    <w:rsid w:val="07943000"/>
    <w:rsid w:val="07972AF0"/>
    <w:rsid w:val="079B438E"/>
    <w:rsid w:val="079F1B8B"/>
    <w:rsid w:val="07A10397"/>
    <w:rsid w:val="07A42E2C"/>
    <w:rsid w:val="07A52108"/>
    <w:rsid w:val="07AA45D1"/>
    <w:rsid w:val="07AF3996"/>
    <w:rsid w:val="07B40D33"/>
    <w:rsid w:val="07B62F76"/>
    <w:rsid w:val="07BA233A"/>
    <w:rsid w:val="07BC4304"/>
    <w:rsid w:val="07BD6694"/>
    <w:rsid w:val="07BE62CF"/>
    <w:rsid w:val="07C17B6D"/>
    <w:rsid w:val="07C40FCD"/>
    <w:rsid w:val="07C97778"/>
    <w:rsid w:val="07CB4548"/>
    <w:rsid w:val="07CC63DA"/>
    <w:rsid w:val="07CD6512"/>
    <w:rsid w:val="07D35EAA"/>
    <w:rsid w:val="07D4164E"/>
    <w:rsid w:val="07DA3E06"/>
    <w:rsid w:val="07E00BD3"/>
    <w:rsid w:val="07E21FBD"/>
    <w:rsid w:val="07ED0962"/>
    <w:rsid w:val="07EE5683"/>
    <w:rsid w:val="07F67816"/>
    <w:rsid w:val="07F95559"/>
    <w:rsid w:val="07FC5336"/>
    <w:rsid w:val="0802440D"/>
    <w:rsid w:val="080261BB"/>
    <w:rsid w:val="08080695"/>
    <w:rsid w:val="080B1758"/>
    <w:rsid w:val="080D690E"/>
    <w:rsid w:val="0814739E"/>
    <w:rsid w:val="08167EB9"/>
    <w:rsid w:val="081F44B1"/>
    <w:rsid w:val="08202AE5"/>
    <w:rsid w:val="08204893"/>
    <w:rsid w:val="08234384"/>
    <w:rsid w:val="08236767"/>
    <w:rsid w:val="08262763"/>
    <w:rsid w:val="08285910"/>
    <w:rsid w:val="082D7CB6"/>
    <w:rsid w:val="08316AA1"/>
    <w:rsid w:val="08362309"/>
    <w:rsid w:val="083640B7"/>
    <w:rsid w:val="08386081"/>
    <w:rsid w:val="0840304B"/>
    <w:rsid w:val="0845254C"/>
    <w:rsid w:val="084E1401"/>
    <w:rsid w:val="084F5179"/>
    <w:rsid w:val="085048C6"/>
    <w:rsid w:val="08512C9F"/>
    <w:rsid w:val="085409E1"/>
    <w:rsid w:val="08555E8D"/>
    <w:rsid w:val="085670DA"/>
    <w:rsid w:val="08577C79"/>
    <w:rsid w:val="0858227F"/>
    <w:rsid w:val="0858402D"/>
    <w:rsid w:val="08585DDB"/>
    <w:rsid w:val="085D1644"/>
    <w:rsid w:val="085D7896"/>
    <w:rsid w:val="085F360E"/>
    <w:rsid w:val="08607386"/>
    <w:rsid w:val="086329D2"/>
    <w:rsid w:val="08680113"/>
    <w:rsid w:val="08687FE8"/>
    <w:rsid w:val="086A1FB2"/>
    <w:rsid w:val="086C1887"/>
    <w:rsid w:val="08795696"/>
    <w:rsid w:val="087E3C7F"/>
    <w:rsid w:val="08874912"/>
    <w:rsid w:val="0889068B"/>
    <w:rsid w:val="088C3CD7"/>
    <w:rsid w:val="088D67EF"/>
    <w:rsid w:val="088E3EF3"/>
    <w:rsid w:val="08901A19"/>
    <w:rsid w:val="08911C32"/>
    <w:rsid w:val="08931509"/>
    <w:rsid w:val="0895702F"/>
    <w:rsid w:val="089C04F5"/>
    <w:rsid w:val="089D5658"/>
    <w:rsid w:val="089D5EE4"/>
    <w:rsid w:val="08A4283A"/>
    <w:rsid w:val="08A6215D"/>
    <w:rsid w:val="08AC1497"/>
    <w:rsid w:val="08AC3CEF"/>
    <w:rsid w:val="08B15F75"/>
    <w:rsid w:val="08B374B6"/>
    <w:rsid w:val="08B57B6C"/>
    <w:rsid w:val="08B7391C"/>
    <w:rsid w:val="08B919E5"/>
    <w:rsid w:val="08BD20E2"/>
    <w:rsid w:val="08C5394F"/>
    <w:rsid w:val="08C61F81"/>
    <w:rsid w:val="08C755FA"/>
    <w:rsid w:val="08CB2A51"/>
    <w:rsid w:val="08CE0793"/>
    <w:rsid w:val="08CF1E16"/>
    <w:rsid w:val="08D21E73"/>
    <w:rsid w:val="08DB6A0C"/>
    <w:rsid w:val="08E32C9A"/>
    <w:rsid w:val="08E4407A"/>
    <w:rsid w:val="08E81855"/>
    <w:rsid w:val="08EA7EEC"/>
    <w:rsid w:val="08EC53DD"/>
    <w:rsid w:val="08F0070A"/>
    <w:rsid w:val="08F33D56"/>
    <w:rsid w:val="08F57ACE"/>
    <w:rsid w:val="08F71A98"/>
    <w:rsid w:val="08FA3336"/>
    <w:rsid w:val="08FD2E27"/>
    <w:rsid w:val="08FE4543"/>
    <w:rsid w:val="09000221"/>
    <w:rsid w:val="09061CDB"/>
    <w:rsid w:val="090B5543"/>
    <w:rsid w:val="090D306A"/>
    <w:rsid w:val="09137F54"/>
    <w:rsid w:val="09175C96"/>
    <w:rsid w:val="09217A45"/>
    <w:rsid w:val="092403B3"/>
    <w:rsid w:val="09265ED9"/>
    <w:rsid w:val="09271C52"/>
    <w:rsid w:val="09295FE2"/>
    <w:rsid w:val="092C7268"/>
    <w:rsid w:val="093117F7"/>
    <w:rsid w:val="09381F46"/>
    <w:rsid w:val="09383E5F"/>
    <w:rsid w:val="093C1139"/>
    <w:rsid w:val="093D1475"/>
    <w:rsid w:val="09436EC0"/>
    <w:rsid w:val="094620D8"/>
    <w:rsid w:val="09486768"/>
    <w:rsid w:val="094B46B8"/>
    <w:rsid w:val="094B7B50"/>
    <w:rsid w:val="094D16B8"/>
    <w:rsid w:val="095073FA"/>
    <w:rsid w:val="09524F20"/>
    <w:rsid w:val="09526CCE"/>
    <w:rsid w:val="09542451"/>
    <w:rsid w:val="095429DE"/>
    <w:rsid w:val="0955056D"/>
    <w:rsid w:val="095567BF"/>
    <w:rsid w:val="095E38C5"/>
    <w:rsid w:val="09615163"/>
    <w:rsid w:val="096360DE"/>
    <w:rsid w:val="09646A02"/>
    <w:rsid w:val="096B2561"/>
    <w:rsid w:val="096D1D5A"/>
    <w:rsid w:val="097204B5"/>
    <w:rsid w:val="09722434"/>
    <w:rsid w:val="09731054"/>
    <w:rsid w:val="09732A37"/>
    <w:rsid w:val="097529BD"/>
    <w:rsid w:val="09756E61"/>
    <w:rsid w:val="09774E16"/>
    <w:rsid w:val="097906FF"/>
    <w:rsid w:val="097B5A0D"/>
    <w:rsid w:val="097F55EA"/>
    <w:rsid w:val="098175B4"/>
    <w:rsid w:val="09853F9F"/>
    <w:rsid w:val="09874773"/>
    <w:rsid w:val="098B21E0"/>
    <w:rsid w:val="098D5F59"/>
    <w:rsid w:val="098E1A6C"/>
    <w:rsid w:val="09921B1B"/>
    <w:rsid w:val="099224C2"/>
    <w:rsid w:val="0995305F"/>
    <w:rsid w:val="09954E0D"/>
    <w:rsid w:val="099A2423"/>
    <w:rsid w:val="099E1F14"/>
    <w:rsid w:val="099F5C8C"/>
    <w:rsid w:val="09A552C3"/>
    <w:rsid w:val="09A6526C"/>
    <w:rsid w:val="09A80FE4"/>
    <w:rsid w:val="09A908B8"/>
    <w:rsid w:val="09A92503"/>
    <w:rsid w:val="09AB5AC4"/>
    <w:rsid w:val="09B2776D"/>
    <w:rsid w:val="09B434E5"/>
    <w:rsid w:val="09B53D61"/>
    <w:rsid w:val="09B554AF"/>
    <w:rsid w:val="09B71227"/>
    <w:rsid w:val="09B96D4E"/>
    <w:rsid w:val="09C0632E"/>
    <w:rsid w:val="09C474A0"/>
    <w:rsid w:val="09C65D3C"/>
    <w:rsid w:val="09CF031F"/>
    <w:rsid w:val="09D019BF"/>
    <w:rsid w:val="09D21BBD"/>
    <w:rsid w:val="09D27E0F"/>
    <w:rsid w:val="09D516AE"/>
    <w:rsid w:val="09DB3168"/>
    <w:rsid w:val="09DB4F16"/>
    <w:rsid w:val="09E0077E"/>
    <w:rsid w:val="09E13DD4"/>
    <w:rsid w:val="09E85450"/>
    <w:rsid w:val="09EA6F07"/>
    <w:rsid w:val="09ED4C49"/>
    <w:rsid w:val="09ED69F7"/>
    <w:rsid w:val="09EF46F9"/>
    <w:rsid w:val="09F204B1"/>
    <w:rsid w:val="09F41F52"/>
    <w:rsid w:val="09F71624"/>
    <w:rsid w:val="09F935EE"/>
    <w:rsid w:val="09F93BE8"/>
    <w:rsid w:val="09F9539C"/>
    <w:rsid w:val="09FE6E56"/>
    <w:rsid w:val="0A00672A"/>
    <w:rsid w:val="0A0106F5"/>
    <w:rsid w:val="0A0124A3"/>
    <w:rsid w:val="0A026946"/>
    <w:rsid w:val="0A054BE4"/>
    <w:rsid w:val="0A096DD5"/>
    <w:rsid w:val="0A0B2D2F"/>
    <w:rsid w:val="0A0F6915"/>
    <w:rsid w:val="0A165F4E"/>
    <w:rsid w:val="0A193C90"/>
    <w:rsid w:val="0A195C1F"/>
    <w:rsid w:val="0A1E3055"/>
    <w:rsid w:val="0A1E4E03"/>
    <w:rsid w:val="0A1F2635"/>
    <w:rsid w:val="0A20501F"/>
    <w:rsid w:val="0A2C39C3"/>
    <w:rsid w:val="0A2D5046"/>
    <w:rsid w:val="0A2E4A30"/>
    <w:rsid w:val="0A305D6B"/>
    <w:rsid w:val="0A361C66"/>
    <w:rsid w:val="0A3B59B5"/>
    <w:rsid w:val="0A3B7458"/>
    <w:rsid w:val="0A3D797F"/>
    <w:rsid w:val="0A3E3EAB"/>
    <w:rsid w:val="0A546A76"/>
    <w:rsid w:val="0A586566"/>
    <w:rsid w:val="0A595E3B"/>
    <w:rsid w:val="0A5B7E05"/>
    <w:rsid w:val="0A5C592B"/>
    <w:rsid w:val="0A5D3B7D"/>
    <w:rsid w:val="0A60366D"/>
    <w:rsid w:val="0A642BB8"/>
    <w:rsid w:val="0A652087"/>
    <w:rsid w:val="0A652A31"/>
    <w:rsid w:val="0A71382C"/>
    <w:rsid w:val="0A73514E"/>
    <w:rsid w:val="0A762E91"/>
    <w:rsid w:val="0A7648BF"/>
    <w:rsid w:val="0A7669ED"/>
    <w:rsid w:val="0A776340"/>
    <w:rsid w:val="0A7B4003"/>
    <w:rsid w:val="0A8119D2"/>
    <w:rsid w:val="0A821835"/>
    <w:rsid w:val="0A8245A3"/>
    <w:rsid w:val="0A831CCA"/>
    <w:rsid w:val="0A84735B"/>
    <w:rsid w:val="0A8643B4"/>
    <w:rsid w:val="0A876E4C"/>
    <w:rsid w:val="0A894972"/>
    <w:rsid w:val="0A8B5265"/>
    <w:rsid w:val="0A8D16B6"/>
    <w:rsid w:val="0A8E1F88"/>
    <w:rsid w:val="0A92134D"/>
    <w:rsid w:val="0A924546"/>
    <w:rsid w:val="0A9B28F7"/>
    <w:rsid w:val="0A9F3ACB"/>
    <w:rsid w:val="0A9F4195"/>
    <w:rsid w:val="0AA07F0D"/>
    <w:rsid w:val="0AA277E2"/>
    <w:rsid w:val="0AA572D2"/>
    <w:rsid w:val="0AA74DF8"/>
    <w:rsid w:val="0AAD64D4"/>
    <w:rsid w:val="0AAE6186"/>
    <w:rsid w:val="0AAE6D74"/>
    <w:rsid w:val="0AAE7354"/>
    <w:rsid w:val="0AAF0151"/>
    <w:rsid w:val="0AB13EC9"/>
    <w:rsid w:val="0AB319EF"/>
    <w:rsid w:val="0AB37C41"/>
    <w:rsid w:val="0AB44767"/>
    <w:rsid w:val="0AB45767"/>
    <w:rsid w:val="0ABB4D47"/>
    <w:rsid w:val="0ABC5BC4"/>
    <w:rsid w:val="0ABE2142"/>
    <w:rsid w:val="0AC0235E"/>
    <w:rsid w:val="0AC7549A"/>
    <w:rsid w:val="0AC77248"/>
    <w:rsid w:val="0ACA1658"/>
    <w:rsid w:val="0ACF434F"/>
    <w:rsid w:val="0AD1239D"/>
    <w:rsid w:val="0AD23916"/>
    <w:rsid w:val="0AD43E4B"/>
    <w:rsid w:val="0AD6392F"/>
    <w:rsid w:val="0AD916A4"/>
    <w:rsid w:val="0ADA114D"/>
    <w:rsid w:val="0ADB0155"/>
    <w:rsid w:val="0ADE3D74"/>
    <w:rsid w:val="0ADF4592"/>
    <w:rsid w:val="0AE20526"/>
    <w:rsid w:val="0AE33940"/>
    <w:rsid w:val="0AE4604C"/>
    <w:rsid w:val="0AE60C00"/>
    <w:rsid w:val="0AE93662"/>
    <w:rsid w:val="0AE9630D"/>
    <w:rsid w:val="0AEA2F37"/>
    <w:rsid w:val="0AEB20D2"/>
    <w:rsid w:val="0AEC0E42"/>
    <w:rsid w:val="0AED3B3A"/>
    <w:rsid w:val="0AEE0C79"/>
    <w:rsid w:val="0AF73FD1"/>
    <w:rsid w:val="0AFB3396"/>
    <w:rsid w:val="0AFD710E"/>
    <w:rsid w:val="0AFE7153"/>
    <w:rsid w:val="0B00275A"/>
    <w:rsid w:val="0B0142F8"/>
    <w:rsid w:val="0B016BFE"/>
    <w:rsid w:val="0B03361E"/>
    <w:rsid w:val="0B057D70"/>
    <w:rsid w:val="0B065FC2"/>
    <w:rsid w:val="0B072072"/>
    <w:rsid w:val="0B095AB3"/>
    <w:rsid w:val="0B097861"/>
    <w:rsid w:val="0B0B4989"/>
    <w:rsid w:val="0B112BB9"/>
    <w:rsid w:val="0B116715"/>
    <w:rsid w:val="0B18726F"/>
    <w:rsid w:val="0B187AA4"/>
    <w:rsid w:val="0B1C0A91"/>
    <w:rsid w:val="0B1C6262"/>
    <w:rsid w:val="0B1F7084"/>
    <w:rsid w:val="0B2428ED"/>
    <w:rsid w:val="0B27418B"/>
    <w:rsid w:val="0B297F03"/>
    <w:rsid w:val="0B2C17A1"/>
    <w:rsid w:val="0B426A4E"/>
    <w:rsid w:val="0B4F7FE6"/>
    <w:rsid w:val="0B5125A3"/>
    <w:rsid w:val="0B512FB6"/>
    <w:rsid w:val="0B521208"/>
    <w:rsid w:val="0B5331D2"/>
    <w:rsid w:val="0B55411C"/>
    <w:rsid w:val="0B586924"/>
    <w:rsid w:val="0B5D195B"/>
    <w:rsid w:val="0B6017B9"/>
    <w:rsid w:val="0B622204"/>
    <w:rsid w:val="0B633415"/>
    <w:rsid w:val="0B6369A2"/>
    <w:rsid w:val="0B664CB3"/>
    <w:rsid w:val="0B697506"/>
    <w:rsid w:val="0B6D4294"/>
    <w:rsid w:val="0B6E5C7D"/>
    <w:rsid w:val="0B70168E"/>
    <w:rsid w:val="0B73117E"/>
    <w:rsid w:val="0B732F2C"/>
    <w:rsid w:val="0B756CA4"/>
    <w:rsid w:val="0B786794"/>
    <w:rsid w:val="0B7A42BB"/>
    <w:rsid w:val="0B7D3DAB"/>
    <w:rsid w:val="0B7E6C6B"/>
    <w:rsid w:val="0B7F2855"/>
    <w:rsid w:val="0B7F7B23"/>
    <w:rsid w:val="0B832C7E"/>
    <w:rsid w:val="0B860EB1"/>
    <w:rsid w:val="0B8615FF"/>
    <w:rsid w:val="0B892750"/>
    <w:rsid w:val="0B8B64C8"/>
    <w:rsid w:val="0B8D0492"/>
    <w:rsid w:val="0B8D04E6"/>
    <w:rsid w:val="0B923CFA"/>
    <w:rsid w:val="0B95233E"/>
    <w:rsid w:val="0B995089"/>
    <w:rsid w:val="0B996E37"/>
    <w:rsid w:val="0B9D61FB"/>
    <w:rsid w:val="0BA17A99"/>
    <w:rsid w:val="0BA46B52"/>
    <w:rsid w:val="0BA61553"/>
    <w:rsid w:val="0BA63302"/>
    <w:rsid w:val="0BAB0918"/>
    <w:rsid w:val="0BAB4DBC"/>
    <w:rsid w:val="0BAD28E2"/>
    <w:rsid w:val="0BAE21B6"/>
    <w:rsid w:val="0BB2614A"/>
    <w:rsid w:val="0BB62502"/>
    <w:rsid w:val="0BB70F4B"/>
    <w:rsid w:val="0BBA0B5B"/>
    <w:rsid w:val="0BC33EB3"/>
    <w:rsid w:val="0BC95B3E"/>
    <w:rsid w:val="0BCD088E"/>
    <w:rsid w:val="0BCD419B"/>
    <w:rsid w:val="0BD065D0"/>
    <w:rsid w:val="0BD10FD4"/>
    <w:rsid w:val="0BD54C38"/>
    <w:rsid w:val="0BD87233"/>
    <w:rsid w:val="0BD936D7"/>
    <w:rsid w:val="0BDE0CED"/>
    <w:rsid w:val="0BE34556"/>
    <w:rsid w:val="0BE43E2A"/>
    <w:rsid w:val="0BE65DF4"/>
    <w:rsid w:val="0BEA58E4"/>
    <w:rsid w:val="0BED0F30"/>
    <w:rsid w:val="0BEE30CD"/>
    <w:rsid w:val="0BF16C73"/>
    <w:rsid w:val="0BF538E8"/>
    <w:rsid w:val="0BF64289"/>
    <w:rsid w:val="0BFB5CEE"/>
    <w:rsid w:val="0C063DA0"/>
    <w:rsid w:val="0C0C51C6"/>
    <w:rsid w:val="0C0E410A"/>
    <w:rsid w:val="0C1741FF"/>
    <w:rsid w:val="0C175FAD"/>
    <w:rsid w:val="0C177D5B"/>
    <w:rsid w:val="0C18633A"/>
    <w:rsid w:val="0C1C1816"/>
    <w:rsid w:val="0C1C35C4"/>
    <w:rsid w:val="0C1D53EF"/>
    <w:rsid w:val="0C1E733C"/>
    <w:rsid w:val="0C230DF6"/>
    <w:rsid w:val="0C28640C"/>
    <w:rsid w:val="0C2C7CAB"/>
    <w:rsid w:val="0C2D3A23"/>
    <w:rsid w:val="0C3504B5"/>
    <w:rsid w:val="0C3C3C66"/>
    <w:rsid w:val="0C3C5C5D"/>
    <w:rsid w:val="0C405504"/>
    <w:rsid w:val="0C4072B2"/>
    <w:rsid w:val="0C4405E2"/>
    <w:rsid w:val="0C460641"/>
    <w:rsid w:val="0C464E2B"/>
    <w:rsid w:val="0C4A1EDF"/>
    <w:rsid w:val="0C50246A"/>
    <w:rsid w:val="0C5165ED"/>
    <w:rsid w:val="0C525237"/>
    <w:rsid w:val="0C582030"/>
    <w:rsid w:val="0C5E3BDC"/>
    <w:rsid w:val="0C63281E"/>
    <w:rsid w:val="0C6531BD"/>
    <w:rsid w:val="0C655925"/>
    <w:rsid w:val="0C662A91"/>
    <w:rsid w:val="0C6C62F9"/>
    <w:rsid w:val="0C6D4563"/>
    <w:rsid w:val="0C741865"/>
    <w:rsid w:val="0C7927C4"/>
    <w:rsid w:val="0C796C68"/>
    <w:rsid w:val="0C7E602C"/>
    <w:rsid w:val="0C7E65A6"/>
    <w:rsid w:val="0C803B53"/>
    <w:rsid w:val="0C807FF6"/>
    <w:rsid w:val="0C8278CB"/>
    <w:rsid w:val="0C874AB1"/>
    <w:rsid w:val="0C8E2713"/>
    <w:rsid w:val="0C8E27C5"/>
    <w:rsid w:val="0C915D60"/>
    <w:rsid w:val="0C965414"/>
    <w:rsid w:val="0C981B18"/>
    <w:rsid w:val="0C985340"/>
    <w:rsid w:val="0C9F66CF"/>
    <w:rsid w:val="0CA23AC9"/>
    <w:rsid w:val="0CAC0DEC"/>
    <w:rsid w:val="0CAD06C0"/>
    <w:rsid w:val="0CAF268A"/>
    <w:rsid w:val="0CAF495E"/>
    <w:rsid w:val="0CB101B0"/>
    <w:rsid w:val="0CB90E13"/>
    <w:rsid w:val="0CBB102F"/>
    <w:rsid w:val="0CBD0903"/>
    <w:rsid w:val="0CBD4786"/>
    <w:rsid w:val="0CBD6B55"/>
    <w:rsid w:val="0CBE467B"/>
    <w:rsid w:val="0CBF26C9"/>
    <w:rsid w:val="0CBF5B3A"/>
    <w:rsid w:val="0CC004E9"/>
    <w:rsid w:val="0CC26880"/>
    <w:rsid w:val="0CC33C1B"/>
    <w:rsid w:val="0CC47EE3"/>
    <w:rsid w:val="0CC55A09"/>
    <w:rsid w:val="0CC66C75"/>
    <w:rsid w:val="0CC71781"/>
    <w:rsid w:val="0CCA3020"/>
    <w:rsid w:val="0CCC323C"/>
    <w:rsid w:val="0CCC4FEA"/>
    <w:rsid w:val="0CCF6888"/>
    <w:rsid w:val="0CD21ED4"/>
    <w:rsid w:val="0CD43E9E"/>
    <w:rsid w:val="0CD67C16"/>
    <w:rsid w:val="0CD8398F"/>
    <w:rsid w:val="0CDD2D53"/>
    <w:rsid w:val="0CE045F1"/>
    <w:rsid w:val="0CE40585"/>
    <w:rsid w:val="0CEA5470"/>
    <w:rsid w:val="0CF26C99"/>
    <w:rsid w:val="0CF32576"/>
    <w:rsid w:val="0CF325DF"/>
    <w:rsid w:val="0CF84031"/>
    <w:rsid w:val="0CF87B8D"/>
    <w:rsid w:val="0CF956B3"/>
    <w:rsid w:val="0CFD1647"/>
    <w:rsid w:val="0CFD51A3"/>
    <w:rsid w:val="0CFF0F1B"/>
    <w:rsid w:val="0D002EE5"/>
    <w:rsid w:val="0D0364DD"/>
    <w:rsid w:val="0D093B48"/>
    <w:rsid w:val="0D0C188A"/>
    <w:rsid w:val="0D215336"/>
    <w:rsid w:val="0D240982"/>
    <w:rsid w:val="0D2766C4"/>
    <w:rsid w:val="0D2B7F62"/>
    <w:rsid w:val="0D2C7836"/>
    <w:rsid w:val="0D2E2A9B"/>
    <w:rsid w:val="0D2E3D85"/>
    <w:rsid w:val="0D330BC5"/>
    <w:rsid w:val="0D3F3B5F"/>
    <w:rsid w:val="0D445B34"/>
    <w:rsid w:val="0D4B23B2"/>
    <w:rsid w:val="0D4F1E8D"/>
    <w:rsid w:val="0D51729D"/>
    <w:rsid w:val="0D553231"/>
    <w:rsid w:val="0D5648B3"/>
    <w:rsid w:val="0D59232E"/>
    <w:rsid w:val="0D5C636E"/>
    <w:rsid w:val="0D5D3E94"/>
    <w:rsid w:val="0D682F64"/>
    <w:rsid w:val="0D69025C"/>
    <w:rsid w:val="0D6E7E4F"/>
    <w:rsid w:val="0D70006B"/>
    <w:rsid w:val="0D701E19"/>
    <w:rsid w:val="0D774F56"/>
    <w:rsid w:val="0D7A4A46"/>
    <w:rsid w:val="0D7A67F4"/>
    <w:rsid w:val="0D814026"/>
    <w:rsid w:val="0D815DD4"/>
    <w:rsid w:val="0D8F7523"/>
    <w:rsid w:val="0D906017"/>
    <w:rsid w:val="0D957AD2"/>
    <w:rsid w:val="0D9961D1"/>
    <w:rsid w:val="0D9C676A"/>
    <w:rsid w:val="0DA25D4B"/>
    <w:rsid w:val="0DA63A8D"/>
    <w:rsid w:val="0DA675E9"/>
    <w:rsid w:val="0DA815B3"/>
    <w:rsid w:val="0DA9532B"/>
    <w:rsid w:val="0DAE649D"/>
    <w:rsid w:val="0DB42481"/>
    <w:rsid w:val="0DB46D20"/>
    <w:rsid w:val="0DB52D2F"/>
    <w:rsid w:val="0DB77A48"/>
    <w:rsid w:val="0DB8556E"/>
    <w:rsid w:val="0DB8731C"/>
    <w:rsid w:val="0DB951E4"/>
    <w:rsid w:val="0DBA12E6"/>
    <w:rsid w:val="0DBD3B65"/>
    <w:rsid w:val="0DBD4932"/>
    <w:rsid w:val="0DC14423"/>
    <w:rsid w:val="0DC65EDD"/>
    <w:rsid w:val="0DC67C8B"/>
    <w:rsid w:val="0DC77235"/>
    <w:rsid w:val="0DC7755F"/>
    <w:rsid w:val="0DCE08EE"/>
    <w:rsid w:val="0DD01DAA"/>
    <w:rsid w:val="0DD34156"/>
    <w:rsid w:val="0DD979BE"/>
    <w:rsid w:val="0DDC6E3D"/>
    <w:rsid w:val="0DDF6F9F"/>
    <w:rsid w:val="0DE5281D"/>
    <w:rsid w:val="0DE819AF"/>
    <w:rsid w:val="0DEE2D3E"/>
    <w:rsid w:val="0DF02F5A"/>
    <w:rsid w:val="0DF62C9E"/>
    <w:rsid w:val="0DF751C4"/>
    <w:rsid w:val="0E032C8D"/>
    <w:rsid w:val="0E0A1E1D"/>
    <w:rsid w:val="0E0E6AF5"/>
    <w:rsid w:val="0E1739B8"/>
    <w:rsid w:val="0E19425F"/>
    <w:rsid w:val="0E1A1D85"/>
    <w:rsid w:val="0E1B7FD7"/>
    <w:rsid w:val="0E1C78AB"/>
    <w:rsid w:val="0E1E1875"/>
    <w:rsid w:val="0E1F1149"/>
    <w:rsid w:val="0E204F4D"/>
    <w:rsid w:val="0E2126D9"/>
    <w:rsid w:val="0E281DBF"/>
    <w:rsid w:val="0E2D36D6"/>
    <w:rsid w:val="0E2E7E25"/>
    <w:rsid w:val="0E3177FA"/>
    <w:rsid w:val="0E325320"/>
    <w:rsid w:val="0E340E7E"/>
    <w:rsid w:val="0E39434A"/>
    <w:rsid w:val="0E3C1CFB"/>
    <w:rsid w:val="0E3E39CE"/>
    <w:rsid w:val="0E407A3D"/>
    <w:rsid w:val="0E4137B5"/>
    <w:rsid w:val="0E4536AF"/>
    <w:rsid w:val="0E456E02"/>
    <w:rsid w:val="0E4610F4"/>
    <w:rsid w:val="0E462B7A"/>
    <w:rsid w:val="0E4D292A"/>
    <w:rsid w:val="0E4F5ED2"/>
    <w:rsid w:val="0E601E8E"/>
    <w:rsid w:val="0E6059EA"/>
    <w:rsid w:val="0E6574A4"/>
    <w:rsid w:val="0E6652FE"/>
    <w:rsid w:val="0E680D42"/>
    <w:rsid w:val="0E6928D6"/>
    <w:rsid w:val="0E6A4ABA"/>
    <w:rsid w:val="0E6B152D"/>
    <w:rsid w:val="0E6D26E7"/>
    <w:rsid w:val="0E6D6359"/>
    <w:rsid w:val="0E6F3E7F"/>
    <w:rsid w:val="0E71409B"/>
    <w:rsid w:val="0E745939"/>
    <w:rsid w:val="0E7B4B53"/>
    <w:rsid w:val="0E7E40C2"/>
    <w:rsid w:val="0E8042DE"/>
    <w:rsid w:val="0E811D9B"/>
    <w:rsid w:val="0E813326"/>
    <w:rsid w:val="0E843362"/>
    <w:rsid w:val="0E8536A2"/>
    <w:rsid w:val="0E87566C"/>
    <w:rsid w:val="0E875C90"/>
    <w:rsid w:val="0E8813E4"/>
    <w:rsid w:val="0E884F40"/>
    <w:rsid w:val="0E8A2A67"/>
    <w:rsid w:val="0E8C4A31"/>
    <w:rsid w:val="0E8E59FB"/>
    <w:rsid w:val="0E8F2773"/>
    <w:rsid w:val="0E912047"/>
    <w:rsid w:val="0E924011"/>
    <w:rsid w:val="0E927B6D"/>
    <w:rsid w:val="0E96765D"/>
    <w:rsid w:val="0E9953A0"/>
    <w:rsid w:val="0E9B1118"/>
    <w:rsid w:val="0EA0228A"/>
    <w:rsid w:val="0EA33EF7"/>
    <w:rsid w:val="0EA7186A"/>
    <w:rsid w:val="0EA855E3"/>
    <w:rsid w:val="0EA87391"/>
    <w:rsid w:val="0EAA4EB7"/>
    <w:rsid w:val="0EAE1150"/>
    <w:rsid w:val="0EB36461"/>
    <w:rsid w:val="0EB75826"/>
    <w:rsid w:val="0EB9159E"/>
    <w:rsid w:val="0EBB70C4"/>
    <w:rsid w:val="0EBC4BEA"/>
    <w:rsid w:val="0EC56195"/>
    <w:rsid w:val="0EC75A69"/>
    <w:rsid w:val="0EC817E1"/>
    <w:rsid w:val="0EC95C85"/>
    <w:rsid w:val="0ECC307F"/>
    <w:rsid w:val="0ED62150"/>
    <w:rsid w:val="0ED85EC8"/>
    <w:rsid w:val="0ED939EE"/>
    <w:rsid w:val="0EDC703A"/>
    <w:rsid w:val="0EDF1579"/>
    <w:rsid w:val="0EE52393"/>
    <w:rsid w:val="0EE54141"/>
    <w:rsid w:val="0EE7435D"/>
    <w:rsid w:val="0EE76B4E"/>
    <w:rsid w:val="0EE859DF"/>
    <w:rsid w:val="0EEE7499"/>
    <w:rsid w:val="0EEF4FBF"/>
    <w:rsid w:val="0EF12AE6"/>
    <w:rsid w:val="0EF40828"/>
    <w:rsid w:val="0F022F45"/>
    <w:rsid w:val="0F024CF3"/>
    <w:rsid w:val="0F041E04"/>
    <w:rsid w:val="0F072309"/>
    <w:rsid w:val="0F0A3BA7"/>
    <w:rsid w:val="0F0D45F7"/>
    <w:rsid w:val="0F110A35"/>
    <w:rsid w:val="0F136F00"/>
    <w:rsid w:val="0F1E7653"/>
    <w:rsid w:val="0F203DE2"/>
    <w:rsid w:val="0F22689D"/>
    <w:rsid w:val="0F242EBB"/>
    <w:rsid w:val="0F270324"/>
    <w:rsid w:val="0F296723"/>
    <w:rsid w:val="0F2F6254"/>
    <w:rsid w:val="0F346E76"/>
    <w:rsid w:val="0F3550C8"/>
    <w:rsid w:val="0F36499C"/>
    <w:rsid w:val="0F3A0931"/>
    <w:rsid w:val="0F3A26DF"/>
    <w:rsid w:val="0F3B6457"/>
    <w:rsid w:val="0F3D21CF"/>
    <w:rsid w:val="0F3F5F47"/>
    <w:rsid w:val="0F421593"/>
    <w:rsid w:val="0F436B50"/>
    <w:rsid w:val="0F44530B"/>
    <w:rsid w:val="0F4F5A5E"/>
    <w:rsid w:val="0F53554E"/>
    <w:rsid w:val="0F557518"/>
    <w:rsid w:val="0F5B4403"/>
    <w:rsid w:val="0F5F5CA1"/>
    <w:rsid w:val="0F6239E3"/>
    <w:rsid w:val="0F655282"/>
    <w:rsid w:val="0F67724C"/>
    <w:rsid w:val="0F6862D5"/>
    <w:rsid w:val="0F6C6610"/>
    <w:rsid w:val="0F7006C6"/>
    <w:rsid w:val="0F751969"/>
    <w:rsid w:val="0F7756E1"/>
    <w:rsid w:val="0F781459"/>
    <w:rsid w:val="0F786D63"/>
    <w:rsid w:val="0F786E19"/>
    <w:rsid w:val="0F7D6A6F"/>
    <w:rsid w:val="0F803E6A"/>
    <w:rsid w:val="0F851480"/>
    <w:rsid w:val="0F8C0A60"/>
    <w:rsid w:val="0F8D6B37"/>
    <w:rsid w:val="0F900551"/>
    <w:rsid w:val="0F930041"/>
    <w:rsid w:val="0F933B9D"/>
    <w:rsid w:val="0F94421F"/>
    <w:rsid w:val="0F9478B3"/>
    <w:rsid w:val="0F952BE5"/>
    <w:rsid w:val="0F985657"/>
    <w:rsid w:val="0F9B0EE8"/>
    <w:rsid w:val="0F9F39DA"/>
    <w:rsid w:val="0FA36571"/>
    <w:rsid w:val="0FA67D74"/>
    <w:rsid w:val="0FA97864"/>
    <w:rsid w:val="0FAD5F50"/>
    <w:rsid w:val="0FAE1726"/>
    <w:rsid w:val="0FAE4E7B"/>
    <w:rsid w:val="0FAE692A"/>
    <w:rsid w:val="0FAF52CB"/>
    <w:rsid w:val="0FB56209"/>
    <w:rsid w:val="0FBF2BE4"/>
    <w:rsid w:val="0FBF2FB7"/>
    <w:rsid w:val="0FC1070A"/>
    <w:rsid w:val="0FC14BAE"/>
    <w:rsid w:val="0FD146C5"/>
    <w:rsid w:val="0FD20B69"/>
    <w:rsid w:val="0FD541B5"/>
    <w:rsid w:val="0FD556FA"/>
    <w:rsid w:val="0FD77F2D"/>
    <w:rsid w:val="0FD857C7"/>
    <w:rsid w:val="0FD85A54"/>
    <w:rsid w:val="0FDC047D"/>
    <w:rsid w:val="0FDD19F6"/>
    <w:rsid w:val="0FE44E94"/>
    <w:rsid w:val="0FE95EB3"/>
    <w:rsid w:val="0FEA38D7"/>
    <w:rsid w:val="0FF334F9"/>
    <w:rsid w:val="0FF52AC8"/>
    <w:rsid w:val="10090303"/>
    <w:rsid w:val="1010343F"/>
    <w:rsid w:val="101173EF"/>
    <w:rsid w:val="102127F5"/>
    <w:rsid w:val="1025693D"/>
    <w:rsid w:val="10260EB5"/>
    <w:rsid w:val="10262C63"/>
    <w:rsid w:val="10277CAB"/>
    <w:rsid w:val="10284C2D"/>
    <w:rsid w:val="102B0279"/>
    <w:rsid w:val="102B64CB"/>
    <w:rsid w:val="102D5D9F"/>
    <w:rsid w:val="102F5781"/>
    <w:rsid w:val="1030329B"/>
    <w:rsid w:val="10341E1C"/>
    <w:rsid w:val="1036730D"/>
    <w:rsid w:val="1037079D"/>
    <w:rsid w:val="103A0BA0"/>
    <w:rsid w:val="103C2486"/>
    <w:rsid w:val="103E61FE"/>
    <w:rsid w:val="1041184B"/>
    <w:rsid w:val="10412DE6"/>
    <w:rsid w:val="104322BF"/>
    <w:rsid w:val="10455B4B"/>
    <w:rsid w:val="1045758D"/>
    <w:rsid w:val="104650B3"/>
    <w:rsid w:val="104A6951"/>
    <w:rsid w:val="104B091B"/>
    <w:rsid w:val="104D01F0"/>
    <w:rsid w:val="104D4694"/>
    <w:rsid w:val="104F21BA"/>
    <w:rsid w:val="1054157E"/>
    <w:rsid w:val="105C48D7"/>
    <w:rsid w:val="106B20F4"/>
    <w:rsid w:val="10725EA8"/>
    <w:rsid w:val="10755FB8"/>
    <w:rsid w:val="107B4D5D"/>
    <w:rsid w:val="107B7182"/>
    <w:rsid w:val="107C0AD5"/>
    <w:rsid w:val="107F04D7"/>
    <w:rsid w:val="10806817"/>
    <w:rsid w:val="1081433D"/>
    <w:rsid w:val="10831E63"/>
    <w:rsid w:val="10856F1B"/>
    <w:rsid w:val="108C6F6A"/>
    <w:rsid w:val="108F0808"/>
    <w:rsid w:val="10947BCD"/>
    <w:rsid w:val="109615A3"/>
    <w:rsid w:val="1097590F"/>
    <w:rsid w:val="109D1ACA"/>
    <w:rsid w:val="109E4EEF"/>
    <w:rsid w:val="10A047C3"/>
    <w:rsid w:val="10A225A6"/>
    <w:rsid w:val="10A36056"/>
    <w:rsid w:val="10A87B1C"/>
    <w:rsid w:val="10AB4F16"/>
    <w:rsid w:val="10AD2A04"/>
    <w:rsid w:val="10AE7FBC"/>
    <w:rsid w:val="10AF2C58"/>
    <w:rsid w:val="10B154F6"/>
    <w:rsid w:val="10B71B0D"/>
    <w:rsid w:val="10B93AD7"/>
    <w:rsid w:val="10B956BE"/>
    <w:rsid w:val="10BC7123"/>
    <w:rsid w:val="10BE10ED"/>
    <w:rsid w:val="10C06C14"/>
    <w:rsid w:val="10C64545"/>
    <w:rsid w:val="10C75DB2"/>
    <w:rsid w:val="10CA1840"/>
    <w:rsid w:val="10CB66A1"/>
    <w:rsid w:val="10CF32FA"/>
    <w:rsid w:val="10D03F34"/>
    <w:rsid w:val="10D206F5"/>
    <w:rsid w:val="10D601E5"/>
    <w:rsid w:val="10D73F5D"/>
    <w:rsid w:val="10D75D0B"/>
    <w:rsid w:val="10DA102E"/>
    <w:rsid w:val="10DE2100"/>
    <w:rsid w:val="10E16B8A"/>
    <w:rsid w:val="10E2302E"/>
    <w:rsid w:val="10E24BEF"/>
    <w:rsid w:val="10E548CC"/>
    <w:rsid w:val="10E8616A"/>
    <w:rsid w:val="10E87F18"/>
    <w:rsid w:val="10EC7A09"/>
    <w:rsid w:val="10ED552F"/>
    <w:rsid w:val="10F17525"/>
    <w:rsid w:val="10F35682"/>
    <w:rsid w:val="10F36FE9"/>
    <w:rsid w:val="10F37004"/>
    <w:rsid w:val="10F62529"/>
    <w:rsid w:val="10F93ED3"/>
    <w:rsid w:val="10FB40F0"/>
    <w:rsid w:val="10FB5E9E"/>
    <w:rsid w:val="10FF6476"/>
    <w:rsid w:val="11050ACA"/>
    <w:rsid w:val="11056D1C"/>
    <w:rsid w:val="1107522D"/>
    <w:rsid w:val="110D277C"/>
    <w:rsid w:val="11131439"/>
    <w:rsid w:val="111451B1"/>
    <w:rsid w:val="11166833"/>
    <w:rsid w:val="11177B40"/>
    <w:rsid w:val="11186A50"/>
    <w:rsid w:val="1119164B"/>
    <w:rsid w:val="111D4066"/>
    <w:rsid w:val="111E1B8C"/>
    <w:rsid w:val="11291F54"/>
    <w:rsid w:val="1129448A"/>
    <w:rsid w:val="112C6057"/>
    <w:rsid w:val="112E1DCF"/>
    <w:rsid w:val="113349F9"/>
    <w:rsid w:val="11380EA0"/>
    <w:rsid w:val="113849FC"/>
    <w:rsid w:val="11390774"/>
    <w:rsid w:val="11421D1E"/>
    <w:rsid w:val="1142587A"/>
    <w:rsid w:val="114535BD"/>
    <w:rsid w:val="1145536B"/>
    <w:rsid w:val="1146147C"/>
    <w:rsid w:val="11494E5B"/>
    <w:rsid w:val="114A2981"/>
    <w:rsid w:val="114E2471"/>
    <w:rsid w:val="114E27DF"/>
    <w:rsid w:val="11513D10"/>
    <w:rsid w:val="1154735C"/>
    <w:rsid w:val="11551A52"/>
    <w:rsid w:val="1155307D"/>
    <w:rsid w:val="11561326"/>
    <w:rsid w:val="1158509E"/>
    <w:rsid w:val="115E4270"/>
    <w:rsid w:val="11602D5A"/>
    <w:rsid w:val="11616D28"/>
    <w:rsid w:val="11625F1D"/>
    <w:rsid w:val="1164141F"/>
    <w:rsid w:val="116E2B13"/>
    <w:rsid w:val="116F23E8"/>
    <w:rsid w:val="117C4C32"/>
    <w:rsid w:val="117D68B3"/>
    <w:rsid w:val="11823EC9"/>
    <w:rsid w:val="118D5F21"/>
    <w:rsid w:val="118E0AC0"/>
    <w:rsid w:val="119200E9"/>
    <w:rsid w:val="11954AE4"/>
    <w:rsid w:val="1198193E"/>
    <w:rsid w:val="11987B90"/>
    <w:rsid w:val="119F4A7B"/>
    <w:rsid w:val="11A007F3"/>
    <w:rsid w:val="11A2456B"/>
    <w:rsid w:val="11A52549"/>
    <w:rsid w:val="11A6405B"/>
    <w:rsid w:val="11A77DD3"/>
    <w:rsid w:val="11AA3420"/>
    <w:rsid w:val="11AF6BD3"/>
    <w:rsid w:val="11B0140B"/>
    <w:rsid w:val="11B20C52"/>
    <w:rsid w:val="11B322D4"/>
    <w:rsid w:val="11B47AAB"/>
    <w:rsid w:val="11B61DC5"/>
    <w:rsid w:val="11BA7B07"/>
    <w:rsid w:val="11BD13A5"/>
    <w:rsid w:val="11C0052E"/>
    <w:rsid w:val="11C444E1"/>
    <w:rsid w:val="11C73FD2"/>
    <w:rsid w:val="11C97D4A"/>
    <w:rsid w:val="11D16BFE"/>
    <w:rsid w:val="11D23D90"/>
    <w:rsid w:val="11D81D3B"/>
    <w:rsid w:val="11DF30C9"/>
    <w:rsid w:val="11E15093"/>
    <w:rsid w:val="11E42DD6"/>
    <w:rsid w:val="11E60706"/>
    <w:rsid w:val="11F0700F"/>
    <w:rsid w:val="11F8062F"/>
    <w:rsid w:val="11F8418B"/>
    <w:rsid w:val="11F970A4"/>
    <w:rsid w:val="11FE1526"/>
    <w:rsid w:val="1202325C"/>
    <w:rsid w:val="12062999"/>
    <w:rsid w:val="12064AFA"/>
    <w:rsid w:val="12080872"/>
    <w:rsid w:val="12081C36"/>
    <w:rsid w:val="120945EA"/>
    <w:rsid w:val="120B2110"/>
    <w:rsid w:val="120C7C36"/>
    <w:rsid w:val="121216F1"/>
    <w:rsid w:val="12154D3D"/>
    <w:rsid w:val="121F796A"/>
    <w:rsid w:val="12205576"/>
    <w:rsid w:val="12211934"/>
    <w:rsid w:val="122214CC"/>
    <w:rsid w:val="122272CD"/>
    <w:rsid w:val="122338FE"/>
    <w:rsid w:val="12266F4A"/>
    <w:rsid w:val="122907E8"/>
    <w:rsid w:val="12296A3A"/>
    <w:rsid w:val="122D46DF"/>
    <w:rsid w:val="122E1D73"/>
    <w:rsid w:val="122E4051"/>
    <w:rsid w:val="1232769D"/>
    <w:rsid w:val="123553DF"/>
    <w:rsid w:val="1235718D"/>
    <w:rsid w:val="12372F05"/>
    <w:rsid w:val="12394ECF"/>
    <w:rsid w:val="123A29F6"/>
    <w:rsid w:val="123D6042"/>
    <w:rsid w:val="123F625E"/>
    <w:rsid w:val="124473D0"/>
    <w:rsid w:val="12483364"/>
    <w:rsid w:val="12485112"/>
    <w:rsid w:val="12486EC1"/>
    <w:rsid w:val="124D2729"/>
    <w:rsid w:val="1255782F"/>
    <w:rsid w:val="125735A8"/>
    <w:rsid w:val="125E66E4"/>
    <w:rsid w:val="12617F82"/>
    <w:rsid w:val="12655CC4"/>
    <w:rsid w:val="12681311"/>
    <w:rsid w:val="12696E37"/>
    <w:rsid w:val="126D202A"/>
    <w:rsid w:val="127001C5"/>
    <w:rsid w:val="1272218F"/>
    <w:rsid w:val="12751C80"/>
    <w:rsid w:val="127557DC"/>
    <w:rsid w:val="12792963"/>
    <w:rsid w:val="127A7296"/>
    <w:rsid w:val="127E0B34"/>
    <w:rsid w:val="127E6E6D"/>
    <w:rsid w:val="12802419"/>
    <w:rsid w:val="12843C71"/>
    <w:rsid w:val="12865C3B"/>
    <w:rsid w:val="12887C05"/>
    <w:rsid w:val="128D0E5D"/>
    <w:rsid w:val="128E285B"/>
    <w:rsid w:val="12944A1D"/>
    <w:rsid w:val="12971BF6"/>
    <w:rsid w:val="129C545E"/>
    <w:rsid w:val="129E4D32"/>
    <w:rsid w:val="12A019F6"/>
    <w:rsid w:val="12A04F4F"/>
    <w:rsid w:val="12A06CFD"/>
    <w:rsid w:val="12A57D4D"/>
    <w:rsid w:val="12AD31C8"/>
    <w:rsid w:val="12B02CB8"/>
    <w:rsid w:val="12B207DE"/>
    <w:rsid w:val="12B565C6"/>
    <w:rsid w:val="12BC165D"/>
    <w:rsid w:val="12C02EFB"/>
    <w:rsid w:val="12C16C73"/>
    <w:rsid w:val="12C53284"/>
    <w:rsid w:val="12C66037"/>
    <w:rsid w:val="12CF1390"/>
    <w:rsid w:val="12D035FD"/>
    <w:rsid w:val="12DE15D3"/>
    <w:rsid w:val="12DE7825"/>
    <w:rsid w:val="12E162D1"/>
    <w:rsid w:val="12E36BE9"/>
    <w:rsid w:val="12E50BB3"/>
    <w:rsid w:val="12E52961"/>
    <w:rsid w:val="12EA441C"/>
    <w:rsid w:val="12EA7F78"/>
    <w:rsid w:val="12EC4418"/>
    <w:rsid w:val="12F157AA"/>
    <w:rsid w:val="12F2507E"/>
    <w:rsid w:val="12F64B6E"/>
    <w:rsid w:val="12F71C17"/>
    <w:rsid w:val="12F901BB"/>
    <w:rsid w:val="12FB3F33"/>
    <w:rsid w:val="12FE1C75"/>
    <w:rsid w:val="13023513"/>
    <w:rsid w:val="13054DB2"/>
    <w:rsid w:val="130628D8"/>
    <w:rsid w:val="13082AF4"/>
    <w:rsid w:val="130A36C0"/>
    <w:rsid w:val="130B4B50"/>
    <w:rsid w:val="130C11DC"/>
    <w:rsid w:val="130C4392"/>
    <w:rsid w:val="13142D14"/>
    <w:rsid w:val="1317796F"/>
    <w:rsid w:val="1319260B"/>
    <w:rsid w:val="13223BB5"/>
    <w:rsid w:val="132632F9"/>
    <w:rsid w:val="1331143C"/>
    <w:rsid w:val="133833D9"/>
    <w:rsid w:val="1340228E"/>
    <w:rsid w:val="13421B62"/>
    <w:rsid w:val="134A0A16"/>
    <w:rsid w:val="134A4EBA"/>
    <w:rsid w:val="13547AE7"/>
    <w:rsid w:val="13561AB1"/>
    <w:rsid w:val="135D2E40"/>
    <w:rsid w:val="135D4BEE"/>
    <w:rsid w:val="13655850"/>
    <w:rsid w:val="13662116"/>
    <w:rsid w:val="136E3E94"/>
    <w:rsid w:val="136F4921"/>
    <w:rsid w:val="137141F5"/>
    <w:rsid w:val="137311EF"/>
    <w:rsid w:val="137F2DB6"/>
    <w:rsid w:val="138008DC"/>
    <w:rsid w:val="13824654"/>
    <w:rsid w:val="13857CA0"/>
    <w:rsid w:val="13873A19"/>
    <w:rsid w:val="13873AD6"/>
    <w:rsid w:val="138959E3"/>
    <w:rsid w:val="138A3509"/>
    <w:rsid w:val="138C54D3"/>
    <w:rsid w:val="13904FC3"/>
    <w:rsid w:val="139323BD"/>
    <w:rsid w:val="13944C51"/>
    <w:rsid w:val="13946135"/>
    <w:rsid w:val="13983E78"/>
    <w:rsid w:val="13992083"/>
    <w:rsid w:val="1399374C"/>
    <w:rsid w:val="139A199E"/>
    <w:rsid w:val="139A637E"/>
    <w:rsid w:val="139D323C"/>
    <w:rsid w:val="13A1426D"/>
    <w:rsid w:val="13A91BE1"/>
    <w:rsid w:val="13AA55D0"/>
    <w:rsid w:val="13AA7707"/>
    <w:rsid w:val="13AE369B"/>
    <w:rsid w:val="13B14F39"/>
    <w:rsid w:val="13B32A60"/>
    <w:rsid w:val="13B501FB"/>
    <w:rsid w:val="13B567D8"/>
    <w:rsid w:val="13B76712"/>
    <w:rsid w:val="13B862C8"/>
    <w:rsid w:val="13BA2040"/>
    <w:rsid w:val="13BD38DE"/>
    <w:rsid w:val="13BF1404"/>
    <w:rsid w:val="13BF4C25"/>
    <w:rsid w:val="13C07C74"/>
    <w:rsid w:val="13C407C9"/>
    <w:rsid w:val="13C702B9"/>
    <w:rsid w:val="13CA1B57"/>
    <w:rsid w:val="13CB74DA"/>
    <w:rsid w:val="13CC1D73"/>
    <w:rsid w:val="13CE7899"/>
    <w:rsid w:val="13D11138"/>
    <w:rsid w:val="13D749A0"/>
    <w:rsid w:val="13D80718"/>
    <w:rsid w:val="13D9039D"/>
    <w:rsid w:val="13E0137B"/>
    <w:rsid w:val="13E23345"/>
    <w:rsid w:val="13E36F2F"/>
    <w:rsid w:val="13E40E6B"/>
    <w:rsid w:val="13E7095B"/>
    <w:rsid w:val="13F05A62"/>
    <w:rsid w:val="13F07810"/>
    <w:rsid w:val="13F24693"/>
    <w:rsid w:val="13F27A08"/>
    <w:rsid w:val="13F41C12"/>
    <w:rsid w:val="13F53078"/>
    <w:rsid w:val="13F8694C"/>
    <w:rsid w:val="13FF7A53"/>
    <w:rsid w:val="14012AC2"/>
    <w:rsid w:val="140137CB"/>
    <w:rsid w:val="14024910"/>
    <w:rsid w:val="1404150D"/>
    <w:rsid w:val="14072DAB"/>
    <w:rsid w:val="14092680"/>
    <w:rsid w:val="14096B23"/>
    <w:rsid w:val="140B464A"/>
    <w:rsid w:val="140E7C96"/>
    <w:rsid w:val="14121E37"/>
    <w:rsid w:val="141554C8"/>
    <w:rsid w:val="141649B0"/>
    <w:rsid w:val="141B23B3"/>
    <w:rsid w:val="142851FC"/>
    <w:rsid w:val="142A67B4"/>
    <w:rsid w:val="14326DB2"/>
    <w:rsid w:val="143F42F3"/>
    <w:rsid w:val="143F60A1"/>
    <w:rsid w:val="14430A9C"/>
    <w:rsid w:val="14435ECB"/>
    <w:rsid w:val="14465682"/>
    <w:rsid w:val="14467430"/>
    <w:rsid w:val="1449308D"/>
    <w:rsid w:val="144933C4"/>
    <w:rsid w:val="144E2788"/>
    <w:rsid w:val="144E4536"/>
    <w:rsid w:val="14504752"/>
    <w:rsid w:val="14515DD5"/>
    <w:rsid w:val="14551D69"/>
    <w:rsid w:val="14603640"/>
    <w:rsid w:val="1461426A"/>
    <w:rsid w:val="14620FA5"/>
    <w:rsid w:val="14630116"/>
    <w:rsid w:val="14636234"/>
    <w:rsid w:val="14641FAC"/>
    <w:rsid w:val="146975C2"/>
    <w:rsid w:val="146D648D"/>
    <w:rsid w:val="1470712F"/>
    <w:rsid w:val="147525EE"/>
    <w:rsid w:val="1475649E"/>
    <w:rsid w:val="14771CDF"/>
    <w:rsid w:val="14776934"/>
    <w:rsid w:val="147A357D"/>
    <w:rsid w:val="147D6BCA"/>
    <w:rsid w:val="147F5684"/>
    <w:rsid w:val="148166BA"/>
    <w:rsid w:val="14861F22"/>
    <w:rsid w:val="14863CD0"/>
    <w:rsid w:val="148937C0"/>
    <w:rsid w:val="148B7538"/>
    <w:rsid w:val="148D505F"/>
    <w:rsid w:val="14902DA1"/>
    <w:rsid w:val="14923346"/>
    <w:rsid w:val="1496081E"/>
    <w:rsid w:val="1497412F"/>
    <w:rsid w:val="14A14FAE"/>
    <w:rsid w:val="14A32AD4"/>
    <w:rsid w:val="14A405FA"/>
    <w:rsid w:val="14A8633C"/>
    <w:rsid w:val="14A874BB"/>
    <w:rsid w:val="14AB1989"/>
    <w:rsid w:val="14AD5701"/>
    <w:rsid w:val="14B06F9F"/>
    <w:rsid w:val="14B307DB"/>
    <w:rsid w:val="14B60A59"/>
    <w:rsid w:val="14B613AF"/>
    <w:rsid w:val="14B720DC"/>
    <w:rsid w:val="14B940A6"/>
    <w:rsid w:val="14B94BCE"/>
    <w:rsid w:val="14BC3B96"/>
    <w:rsid w:val="14BE346A"/>
    <w:rsid w:val="14C12D51"/>
    <w:rsid w:val="14C30A80"/>
    <w:rsid w:val="14C50C9C"/>
    <w:rsid w:val="14C52A4A"/>
    <w:rsid w:val="14C8253B"/>
    <w:rsid w:val="14CC2610"/>
    <w:rsid w:val="14CD18FF"/>
    <w:rsid w:val="14CD4474"/>
    <w:rsid w:val="14CD5DA3"/>
    <w:rsid w:val="14CF52C6"/>
    <w:rsid w:val="14CF5677"/>
    <w:rsid w:val="14D233B9"/>
    <w:rsid w:val="14DC1B42"/>
    <w:rsid w:val="14DE58BA"/>
    <w:rsid w:val="14E71CDB"/>
    <w:rsid w:val="14E76E65"/>
    <w:rsid w:val="14EB7FD7"/>
    <w:rsid w:val="14EF7AC7"/>
    <w:rsid w:val="14F21366"/>
    <w:rsid w:val="14F670A8"/>
    <w:rsid w:val="14F71E87"/>
    <w:rsid w:val="14FB56DC"/>
    <w:rsid w:val="14FB646C"/>
    <w:rsid w:val="15035321"/>
    <w:rsid w:val="15051099"/>
    <w:rsid w:val="1505553D"/>
    <w:rsid w:val="1508348E"/>
    <w:rsid w:val="150C68CB"/>
    <w:rsid w:val="151629D1"/>
    <w:rsid w:val="15170DCC"/>
    <w:rsid w:val="1517701E"/>
    <w:rsid w:val="151A411A"/>
    <w:rsid w:val="151C3C4C"/>
    <w:rsid w:val="151C5F1D"/>
    <w:rsid w:val="151D2886"/>
    <w:rsid w:val="151E03AD"/>
    <w:rsid w:val="15205ED3"/>
    <w:rsid w:val="152139F9"/>
    <w:rsid w:val="1525798D"/>
    <w:rsid w:val="15284D87"/>
    <w:rsid w:val="15286307"/>
    <w:rsid w:val="1528650F"/>
    <w:rsid w:val="152F6116"/>
    <w:rsid w:val="153320AA"/>
    <w:rsid w:val="153674A4"/>
    <w:rsid w:val="1537146E"/>
    <w:rsid w:val="153951E6"/>
    <w:rsid w:val="153B3244"/>
    <w:rsid w:val="153D07B5"/>
    <w:rsid w:val="154222ED"/>
    <w:rsid w:val="15481B97"/>
    <w:rsid w:val="154A11A2"/>
    <w:rsid w:val="154C4D2C"/>
    <w:rsid w:val="154D47EE"/>
    <w:rsid w:val="154F308C"/>
    <w:rsid w:val="15504F07"/>
    <w:rsid w:val="15512530"/>
    <w:rsid w:val="1557566D"/>
    <w:rsid w:val="15581B10"/>
    <w:rsid w:val="155C4C28"/>
    <w:rsid w:val="155D7127"/>
    <w:rsid w:val="156264EB"/>
    <w:rsid w:val="15634011"/>
    <w:rsid w:val="15655FDB"/>
    <w:rsid w:val="15673B02"/>
    <w:rsid w:val="156A1844"/>
    <w:rsid w:val="156C0552"/>
    <w:rsid w:val="156C736A"/>
    <w:rsid w:val="156F29B6"/>
    <w:rsid w:val="1574621E"/>
    <w:rsid w:val="15761F97"/>
    <w:rsid w:val="1582711A"/>
    <w:rsid w:val="15887332"/>
    <w:rsid w:val="158A63F2"/>
    <w:rsid w:val="15910B7E"/>
    <w:rsid w:val="15916DD0"/>
    <w:rsid w:val="15962639"/>
    <w:rsid w:val="159A4C5C"/>
    <w:rsid w:val="15AC59B8"/>
    <w:rsid w:val="15AE1730"/>
    <w:rsid w:val="15AE7982"/>
    <w:rsid w:val="15B036FB"/>
    <w:rsid w:val="15BB5BFB"/>
    <w:rsid w:val="15BC4236"/>
    <w:rsid w:val="15C54CCC"/>
    <w:rsid w:val="15C6265A"/>
    <w:rsid w:val="15C727F2"/>
    <w:rsid w:val="15C745A0"/>
    <w:rsid w:val="15C8766A"/>
    <w:rsid w:val="15CA4090"/>
    <w:rsid w:val="15CC022F"/>
    <w:rsid w:val="15CC605B"/>
    <w:rsid w:val="15CE3B81"/>
    <w:rsid w:val="15D13671"/>
    <w:rsid w:val="15D171CD"/>
    <w:rsid w:val="15D469C1"/>
    <w:rsid w:val="15D54F0F"/>
    <w:rsid w:val="15D66ED9"/>
    <w:rsid w:val="15D72415"/>
    <w:rsid w:val="15DA0777"/>
    <w:rsid w:val="15DB2014"/>
    <w:rsid w:val="15DB5153"/>
    <w:rsid w:val="15DD5B72"/>
    <w:rsid w:val="15DE3F67"/>
    <w:rsid w:val="15DF7BB5"/>
    <w:rsid w:val="15E11B06"/>
    <w:rsid w:val="15E2587E"/>
    <w:rsid w:val="15E909BB"/>
    <w:rsid w:val="15EB4733"/>
    <w:rsid w:val="15F15AC1"/>
    <w:rsid w:val="15F31839"/>
    <w:rsid w:val="15F555B1"/>
    <w:rsid w:val="15FF1F8C"/>
    <w:rsid w:val="160475A2"/>
    <w:rsid w:val="160C4080"/>
    <w:rsid w:val="16104199"/>
    <w:rsid w:val="1613309D"/>
    <w:rsid w:val="161672D6"/>
    <w:rsid w:val="161C2B3E"/>
    <w:rsid w:val="161E3AB1"/>
    <w:rsid w:val="161F618A"/>
    <w:rsid w:val="16227A29"/>
    <w:rsid w:val="1626576B"/>
    <w:rsid w:val="162B4B2F"/>
    <w:rsid w:val="162C0C86"/>
    <w:rsid w:val="162D6610"/>
    <w:rsid w:val="16300397"/>
    <w:rsid w:val="16321ADC"/>
    <w:rsid w:val="16351E52"/>
    <w:rsid w:val="163A7083"/>
    <w:rsid w:val="163D4862"/>
    <w:rsid w:val="16464112"/>
    <w:rsid w:val="165B7DFE"/>
    <w:rsid w:val="165E3157"/>
    <w:rsid w:val="165F0C7D"/>
    <w:rsid w:val="166B7621"/>
    <w:rsid w:val="166D339A"/>
    <w:rsid w:val="167575DE"/>
    <w:rsid w:val="16781D3E"/>
    <w:rsid w:val="167A5AB7"/>
    <w:rsid w:val="167D1103"/>
    <w:rsid w:val="167F30CD"/>
    <w:rsid w:val="167F42A3"/>
    <w:rsid w:val="168129A1"/>
    <w:rsid w:val="168229B3"/>
    <w:rsid w:val="16826719"/>
    <w:rsid w:val="16883EC5"/>
    <w:rsid w:val="16893F4C"/>
    <w:rsid w:val="16895CFA"/>
    <w:rsid w:val="168D57EA"/>
    <w:rsid w:val="168E3310"/>
    <w:rsid w:val="168F6536"/>
    <w:rsid w:val="16921052"/>
    <w:rsid w:val="16922E00"/>
    <w:rsid w:val="16994E4A"/>
    <w:rsid w:val="169C77DB"/>
    <w:rsid w:val="169D0A70"/>
    <w:rsid w:val="169D3553"/>
    <w:rsid w:val="169F376F"/>
    <w:rsid w:val="16A32C69"/>
    <w:rsid w:val="16A50D85"/>
    <w:rsid w:val="16A91EF8"/>
    <w:rsid w:val="16AB01C8"/>
    <w:rsid w:val="16AE750E"/>
    <w:rsid w:val="16AF3030"/>
    <w:rsid w:val="16B54D41"/>
    <w:rsid w:val="16B70B6C"/>
    <w:rsid w:val="16B8213B"/>
    <w:rsid w:val="16BA2357"/>
    <w:rsid w:val="16BC0089"/>
    <w:rsid w:val="16BE1E47"/>
    <w:rsid w:val="16C16C33"/>
    <w:rsid w:val="16C60CFC"/>
    <w:rsid w:val="16C85C81"/>
    <w:rsid w:val="16C86822"/>
    <w:rsid w:val="16CD208A"/>
    <w:rsid w:val="16CE195E"/>
    <w:rsid w:val="16D46E70"/>
    <w:rsid w:val="16D569B9"/>
    <w:rsid w:val="16D70382"/>
    <w:rsid w:val="16D74CB7"/>
    <w:rsid w:val="16DC051F"/>
    <w:rsid w:val="16DC22CD"/>
    <w:rsid w:val="16E318AE"/>
    <w:rsid w:val="16F07B27"/>
    <w:rsid w:val="16F245C5"/>
    <w:rsid w:val="16F45869"/>
    <w:rsid w:val="16F47617"/>
    <w:rsid w:val="16F83DC9"/>
    <w:rsid w:val="16F95030"/>
    <w:rsid w:val="16FE0496"/>
    <w:rsid w:val="17033CFE"/>
    <w:rsid w:val="170535D2"/>
    <w:rsid w:val="170A508C"/>
    <w:rsid w:val="170A6E3A"/>
    <w:rsid w:val="170B4961"/>
    <w:rsid w:val="170E3AEC"/>
    <w:rsid w:val="170E6162"/>
    <w:rsid w:val="17123F41"/>
    <w:rsid w:val="17171557"/>
    <w:rsid w:val="171A37D0"/>
    <w:rsid w:val="171C6B6E"/>
    <w:rsid w:val="171E6442"/>
    <w:rsid w:val="17255A22"/>
    <w:rsid w:val="172872C1"/>
    <w:rsid w:val="172A4DE7"/>
    <w:rsid w:val="172F4AF3"/>
    <w:rsid w:val="172F68A1"/>
    <w:rsid w:val="17321EED"/>
    <w:rsid w:val="173259E9"/>
    <w:rsid w:val="17365E81"/>
    <w:rsid w:val="173739A8"/>
    <w:rsid w:val="17377504"/>
    <w:rsid w:val="173C30A8"/>
    <w:rsid w:val="173E6AE4"/>
    <w:rsid w:val="17404A68"/>
    <w:rsid w:val="174165D4"/>
    <w:rsid w:val="1743234C"/>
    <w:rsid w:val="174560C4"/>
    <w:rsid w:val="17471E3D"/>
    <w:rsid w:val="174B3D3F"/>
    <w:rsid w:val="174B66AA"/>
    <w:rsid w:val="174D6D27"/>
    <w:rsid w:val="174E307B"/>
    <w:rsid w:val="174F484D"/>
    <w:rsid w:val="175005C5"/>
    <w:rsid w:val="17501520"/>
    <w:rsid w:val="17546308"/>
    <w:rsid w:val="17555BDC"/>
    <w:rsid w:val="175579C2"/>
    <w:rsid w:val="17575DF8"/>
    <w:rsid w:val="17591B70"/>
    <w:rsid w:val="175B1444"/>
    <w:rsid w:val="175B7522"/>
    <w:rsid w:val="175D340E"/>
    <w:rsid w:val="176C18A3"/>
    <w:rsid w:val="176F4EEF"/>
    <w:rsid w:val="176F6C9D"/>
    <w:rsid w:val="17710C68"/>
    <w:rsid w:val="177249E0"/>
    <w:rsid w:val="1772678E"/>
    <w:rsid w:val="1774180A"/>
    <w:rsid w:val="17742BCE"/>
    <w:rsid w:val="17773DA4"/>
    <w:rsid w:val="17781D54"/>
    <w:rsid w:val="177B1022"/>
    <w:rsid w:val="177B7D38"/>
    <w:rsid w:val="177E2043"/>
    <w:rsid w:val="17803B29"/>
    <w:rsid w:val="17864105"/>
    <w:rsid w:val="1786728C"/>
    <w:rsid w:val="178A7CAA"/>
    <w:rsid w:val="178D35C8"/>
    <w:rsid w:val="178F2FEA"/>
    <w:rsid w:val="179130B8"/>
    <w:rsid w:val="1792505A"/>
    <w:rsid w:val="17982698"/>
    <w:rsid w:val="1798522F"/>
    <w:rsid w:val="179901BE"/>
    <w:rsid w:val="179B3F36"/>
    <w:rsid w:val="179B7A92"/>
    <w:rsid w:val="17A10E21"/>
    <w:rsid w:val="17A51B58"/>
    <w:rsid w:val="17A57E4D"/>
    <w:rsid w:val="17A76437"/>
    <w:rsid w:val="17A9536A"/>
    <w:rsid w:val="17AC1CA0"/>
    <w:rsid w:val="17AF79E2"/>
    <w:rsid w:val="17B1375A"/>
    <w:rsid w:val="17B67874"/>
    <w:rsid w:val="17B8456B"/>
    <w:rsid w:val="17BA0860"/>
    <w:rsid w:val="17BA3F9F"/>
    <w:rsid w:val="17BE63A1"/>
    <w:rsid w:val="17C074F9"/>
    <w:rsid w:val="17C214C3"/>
    <w:rsid w:val="17C27715"/>
    <w:rsid w:val="17C34EE7"/>
    <w:rsid w:val="17C36FE9"/>
    <w:rsid w:val="17C70888"/>
    <w:rsid w:val="17C76AD9"/>
    <w:rsid w:val="17CC2342"/>
    <w:rsid w:val="17CF3BE0"/>
    <w:rsid w:val="17D11706"/>
    <w:rsid w:val="17D244D2"/>
    <w:rsid w:val="17D336D0"/>
    <w:rsid w:val="17D42FA4"/>
    <w:rsid w:val="17D80CE7"/>
    <w:rsid w:val="17DA4A5F"/>
    <w:rsid w:val="17DF301F"/>
    <w:rsid w:val="17E20185"/>
    <w:rsid w:val="17E256C1"/>
    <w:rsid w:val="17EA0A1A"/>
    <w:rsid w:val="17EC6540"/>
    <w:rsid w:val="17ED1F4D"/>
    <w:rsid w:val="17EE22B8"/>
    <w:rsid w:val="17F02970"/>
    <w:rsid w:val="17F665A1"/>
    <w:rsid w:val="17F673BF"/>
    <w:rsid w:val="17FB2C27"/>
    <w:rsid w:val="17FD074D"/>
    <w:rsid w:val="17FF44C5"/>
    <w:rsid w:val="18041ADC"/>
    <w:rsid w:val="1804388A"/>
    <w:rsid w:val="18047D2E"/>
    <w:rsid w:val="180715CC"/>
    <w:rsid w:val="180716EA"/>
    <w:rsid w:val="1807337A"/>
    <w:rsid w:val="18090EA0"/>
    <w:rsid w:val="180B10BC"/>
    <w:rsid w:val="180C06D7"/>
    <w:rsid w:val="18137F71"/>
    <w:rsid w:val="18153CE9"/>
    <w:rsid w:val="18194181"/>
    <w:rsid w:val="1820443C"/>
    <w:rsid w:val="1824469F"/>
    <w:rsid w:val="18253800"/>
    <w:rsid w:val="182B350C"/>
    <w:rsid w:val="182B7833"/>
    <w:rsid w:val="18300B23"/>
    <w:rsid w:val="183103F7"/>
    <w:rsid w:val="18335F1D"/>
    <w:rsid w:val="18363C5F"/>
    <w:rsid w:val="183A374F"/>
    <w:rsid w:val="183C74C7"/>
    <w:rsid w:val="18412D97"/>
    <w:rsid w:val="18414ADE"/>
    <w:rsid w:val="18455C50"/>
    <w:rsid w:val="18493992"/>
    <w:rsid w:val="18493F95"/>
    <w:rsid w:val="184A3267"/>
    <w:rsid w:val="184E0FA9"/>
    <w:rsid w:val="18561C0B"/>
    <w:rsid w:val="18565113"/>
    <w:rsid w:val="18567E5D"/>
    <w:rsid w:val="185A16FC"/>
    <w:rsid w:val="185B5474"/>
    <w:rsid w:val="18622CA6"/>
    <w:rsid w:val="186500A0"/>
    <w:rsid w:val="186D58D3"/>
    <w:rsid w:val="18711EB8"/>
    <w:rsid w:val="18730A0F"/>
    <w:rsid w:val="187447AF"/>
    <w:rsid w:val="18747B1D"/>
    <w:rsid w:val="187622AE"/>
    <w:rsid w:val="18770500"/>
    <w:rsid w:val="187F5606"/>
    <w:rsid w:val="18846779"/>
    <w:rsid w:val="188D1AD1"/>
    <w:rsid w:val="188E3A9B"/>
    <w:rsid w:val="189310B2"/>
    <w:rsid w:val="189746FE"/>
    <w:rsid w:val="18982224"/>
    <w:rsid w:val="189912C4"/>
    <w:rsid w:val="189F35B2"/>
    <w:rsid w:val="18A006B1"/>
    <w:rsid w:val="18AA258C"/>
    <w:rsid w:val="18B427A7"/>
    <w:rsid w:val="18B64865"/>
    <w:rsid w:val="18B90B18"/>
    <w:rsid w:val="18BA03EC"/>
    <w:rsid w:val="18BC23B6"/>
    <w:rsid w:val="18BC5F12"/>
    <w:rsid w:val="18BD1C8B"/>
    <w:rsid w:val="18BD66DB"/>
    <w:rsid w:val="18BD7EDC"/>
    <w:rsid w:val="18BE0E7D"/>
    <w:rsid w:val="18C0248B"/>
    <w:rsid w:val="18C263A0"/>
    <w:rsid w:val="18C354F3"/>
    <w:rsid w:val="18C82B09"/>
    <w:rsid w:val="18C96881"/>
    <w:rsid w:val="18CE5C46"/>
    <w:rsid w:val="18D05E62"/>
    <w:rsid w:val="18D15B70"/>
    <w:rsid w:val="18D70F9E"/>
    <w:rsid w:val="18D86AC4"/>
    <w:rsid w:val="18DC0363"/>
    <w:rsid w:val="18E67433"/>
    <w:rsid w:val="18ED07C2"/>
    <w:rsid w:val="18ED6A14"/>
    <w:rsid w:val="18FA2EDF"/>
    <w:rsid w:val="18FC27B3"/>
    <w:rsid w:val="18FC6C57"/>
    <w:rsid w:val="18FE29CF"/>
    <w:rsid w:val="190478B9"/>
    <w:rsid w:val="190C374D"/>
    <w:rsid w:val="190D42EB"/>
    <w:rsid w:val="190F0738"/>
    <w:rsid w:val="191129A6"/>
    <w:rsid w:val="191915B7"/>
    <w:rsid w:val="19197809"/>
    <w:rsid w:val="191D647A"/>
    <w:rsid w:val="19232435"/>
    <w:rsid w:val="192501A9"/>
    <w:rsid w:val="19263CD4"/>
    <w:rsid w:val="19265A82"/>
    <w:rsid w:val="192817FA"/>
    <w:rsid w:val="192B3098"/>
    <w:rsid w:val="192C54AB"/>
    <w:rsid w:val="192D0BBE"/>
    <w:rsid w:val="192D150C"/>
    <w:rsid w:val="19306900"/>
    <w:rsid w:val="19337AF8"/>
    <w:rsid w:val="19373188"/>
    <w:rsid w:val="19377C8F"/>
    <w:rsid w:val="19383A4E"/>
    <w:rsid w:val="193C0B28"/>
    <w:rsid w:val="193D71F3"/>
    <w:rsid w:val="193F08F1"/>
    <w:rsid w:val="194408DF"/>
    <w:rsid w:val="1944700A"/>
    <w:rsid w:val="194859F8"/>
    <w:rsid w:val="19487651"/>
    <w:rsid w:val="194B6B29"/>
    <w:rsid w:val="19520625"/>
    <w:rsid w:val="19524AC9"/>
    <w:rsid w:val="19526877"/>
    <w:rsid w:val="19545462"/>
    <w:rsid w:val="1954586E"/>
    <w:rsid w:val="195720DF"/>
    <w:rsid w:val="195974DD"/>
    <w:rsid w:val="195F2D42"/>
    <w:rsid w:val="19630947"/>
    <w:rsid w:val="1969029C"/>
    <w:rsid w:val="196F567B"/>
    <w:rsid w:val="19742C91"/>
    <w:rsid w:val="1975331A"/>
    <w:rsid w:val="1976457C"/>
    <w:rsid w:val="19766A09"/>
    <w:rsid w:val="1977452F"/>
    <w:rsid w:val="197B401F"/>
    <w:rsid w:val="197B53D3"/>
    <w:rsid w:val="19800A63"/>
    <w:rsid w:val="1981715C"/>
    <w:rsid w:val="19836A30"/>
    <w:rsid w:val="198729C4"/>
    <w:rsid w:val="198A4263"/>
    <w:rsid w:val="198C07E7"/>
    <w:rsid w:val="19946E8F"/>
    <w:rsid w:val="199E1ABC"/>
    <w:rsid w:val="199E7D0E"/>
    <w:rsid w:val="199F6C5D"/>
    <w:rsid w:val="19A370D2"/>
    <w:rsid w:val="19A52ACF"/>
    <w:rsid w:val="19A54BF8"/>
    <w:rsid w:val="19A90B8D"/>
    <w:rsid w:val="19AF1F1B"/>
    <w:rsid w:val="19B23C43"/>
    <w:rsid w:val="19B25567"/>
    <w:rsid w:val="19B32E94"/>
    <w:rsid w:val="19BA7045"/>
    <w:rsid w:val="19C21C4E"/>
    <w:rsid w:val="19C534ED"/>
    <w:rsid w:val="19C77265"/>
    <w:rsid w:val="19CA0B03"/>
    <w:rsid w:val="19CA6D19"/>
    <w:rsid w:val="19CE05F3"/>
    <w:rsid w:val="19D76D7C"/>
    <w:rsid w:val="19DC4392"/>
    <w:rsid w:val="19E00326"/>
    <w:rsid w:val="19E25E4D"/>
    <w:rsid w:val="19E41BC5"/>
    <w:rsid w:val="19E73463"/>
    <w:rsid w:val="19EC2827"/>
    <w:rsid w:val="19EE2A43"/>
    <w:rsid w:val="19F45B80"/>
    <w:rsid w:val="19F811CC"/>
    <w:rsid w:val="19F93196"/>
    <w:rsid w:val="1A077661"/>
    <w:rsid w:val="1A09162B"/>
    <w:rsid w:val="1A0A10D9"/>
    <w:rsid w:val="1A0C111B"/>
    <w:rsid w:val="1A1062B4"/>
    <w:rsid w:val="1A147FD0"/>
    <w:rsid w:val="1A18361C"/>
    <w:rsid w:val="1A187AC0"/>
    <w:rsid w:val="1A1E488E"/>
    <w:rsid w:val="1A200723"/>
    <w:rsid w:val="1A22449B"/>
    <w:rsid w:val="1A231FC1"/>
    <w:rsid w:val="1A255D39"/>
    <w:rsid w:val="1A27385F"/>
    <w:rsid w:val="1A275223"/>
    <w:rsid w:val="1A2A3AC4"/>
    <w:rsid w:val="1A2C356C"/>
    <w:rsid w:val="1A2E0D57"/>
    <w:rsid w:val="1A2F0966"/>
    <w:rsid w:val="1A393593"/>
    <w:rsid w:val="1A3D12D5"/>
    <w:rsid w:val="1A4408B5"/>
    <w:rsid w:val="1A444411"/>
    <w:rsid w:val="1A47372A"/>
    <w:rsid w:val="1A4A39F2"/>
    <w:rsid w:val="1A4A5C7F"/>
    <w:rsid w:val="1A50725A"/>
    <w:rsid w:val="1A5A71F5"/>
    <w:rsid w:val="1A5F49C1"/>
    <w:rsid w:val="1A604FC3"/>
    <w:rsid w:val="1A607BD9"/>
    <w:rsid w:val="1A626F8D"/>
    <w:rsid w:val="1A654388"/>
    <w:rsid w:val="1A672D3E"/>
    <w:rsid w:val="1A676352"/>
    <w:rsid w:val="1A6C5716"/>
    <w:rsid w:val="1A705206"/>
    <w:rsid w:val="1A756CC1"/>
    <w:rsid w:val="1A772A39"/>
    <w:rsid w:val="1A78055F"/>
    <w:rsid w:val="1A7B3BAB"/>
    <w:rsid w:val="1A7F48BE"/>
    <w:rsid w:val="1A824F3A"/>
    <w:rsid w:val="1A861DC6"/>
    <w:rsid w:val="1A882AFB"/>
    <w:rsid w:val="1A89451A"/>
    <w:rsid w:val="1A8962C8"/>
    <w:rsid w:val="1A8E7D82"/>
    <w:rsid w:val="1A911621"/>
    <w:rsid w:val="1A9133CF"/>
    <w:rsid w:val="1A925700"/>
    <w:rsid w:val="1A952EBF"/>
    <w:rsid w:val="1A976C37"/>
    <w:rsid w:val="1A9829AF"/>
    <w:rsid w:val="1A9A0036"/>
    <w:rsid w:val="1A9A1998"/>
    <w:rsid w:val="1A9C249F"/>
    <w:rsid w:val="1A9C424D"/>
    <w:rsid w:val="1A9E35E5"/>
    <w:rsid w:val="1A9F5AEC"/>
    <w:rsid w:val="1AA44EB0"/>
    <w:rsid w:val="1AAB65CD"/>
    <w:rsid w:val="1AAC1FB7"/>
    <w:rsid w:val="1AAE21D3"/>
    <w:rsid w:val="1AAE793C"/>
    <w:rsid w:val="1AB05F4B"/>
    <w:rsid w:val="1AB1581F"/>
    <w:rsid w:val="1AB53561"/>
    <w:rsid w:val="1AB53AAF"/>
    <w:rsid w:val="1AB7627B"/>
    <w:rsid w:val="1AB8583A"/>
    <w:rsid w:val="1ABD70A9"/>
    <w:rsid w:val="1ABF7128"/>
    <w:rsid w:val="1AC50DC4"/>
    <w:rsid w:val="1AC63078"/>
    <w:rsid w:val="1AC8208F"/>
    <w:rsid w:val="1AC91D4C"/>
    <w:rsid w:val="1ACE017F"/>
    <w:rsid w:val="1ACE63D1"/>
    <w:rsid w:val="1AD03EF7"/>
    <w:rsid w:val="1AD27C6F"/>
    <w:rsid w:val="1AD339E7"/>
    <w:rsid w:val="1AD734D7"/>
    <w:rsid w:val="1AD75285"/>
    <w:rsid w:val="1AD87250"/>
    <w:rsid w:val="1ADC289C"/>
    <w:rsid w:val="1AE44224"/>
    <w:rsid w:val="1AF177AE"/>
    <w:rsid w:val="1AF20311"/>
    <w:rsid w:val="1AF22E0F"/>
    <w:rsid w:val="1AF35E37"/>
    <w:rsid w:val="1AF51BB0"/>
    <w:rsid w:val="1AF57E02"/>
    <w:rsid w:val="1AF8344E"/>
    <w:rsid w:val="1AFA5418"/>
    <w:rsid w:val="1AFD0A64"/>
    <w:rsid w:val="1AFE6CB6"/>
    <w:rsid w:val="1B005AA3"/>
    <w:rsid w:val="1B0167A6"/>
    <w:rsid w:val="1B027E29"/>
    <w:rsid w:val="1B040045"/>
    <w:rsid w:val="1B0E4A1F"/>
    <w:rsid w:val="1B192484"/>
    <w:rsid w:val="1B19589E"/>
    <w:rsid w:val="1B1A7868"/>
    <w:rsid w:val="1B1B4B10"/>
    <w:rsid w:val="1B206CF9"/>
    <w:rsid w:val="1B223FF5"/>
    <w:rsid w:val="1B25632E"/>
    <w:rsid w:val="1B283D33"/>
    <w:rsid w:val="1B285AE1"/>
    <w:rsid w:val="1B28788F"/>
    <w:rsid w:val="1B2929B5"/>
    <w:rsid w:val="1B2F50C2"/>
    <w:rsid w:val="1B351FAC"/>
    <w:rsid w:val="1B425EC3"/>
    <w:rsid w:val="1B445528"/>
    <w:rsid w:val="1B4641B9"/>
    <w:rsid w:val="1B4B7383"/>
    <w:rsid w:val="1B4D72F6"/>
    <w:rsid w:val="1B527002"/>
    <w:rsid w:val="1B530684"/>
    <w:rsid w:val="1B542D7A"/>
    <w:rsid w:val="1B5A1A13"/>
    <w:rsid w:val="1B5C1C2F"/>
    <w:rsid w:val="1B60171F"/>
    <w:rsid w:val="1B650AE3"/>
    <w:rsid w:val="1B67674E"/>
    <w:rsid w:val="1B684130"/>
    <w:rsid w:val="1B6A60FA"/>
    <w:rsid w:val="1B6C3361"/>
    <w:rsid w:val="1B715091"/>
    <w:rsid w:val="1B753F12"/>
    <w:rsid w:val="1B7730E6"/>
    <w:rsid w:val="1B773DCE"/>
    <w:rsid w:val="1B786E34"/>
    <w:rsid w:val="1B7C58B1"/>
    <w:rsid w:val="1B7C5E2D"/>
    <w:rsid w:val="1B7E7DF7"/>
    <w:rsid w:val="1B8227E1"/>
    <w:rsid w:val="1B852F33"/>
    <w:rsid w:val="1B8847D2"/>
    <w:rsid w:val="1B897F89"/>
    <w:rsid w:val="1B8A679C"/>
    <w:rsid w:val="1B9273FE"/>
    <w:rsid w:val="1B9969DF"/>
    <w:rsid w:val="1BA3160C"/>
    <w:rsid w:val="1BA84E74"/>
    <w:rsid w:val="1BAA0BEC"/>
    <w:rsid w:val="1BAB226E"/>
    <w:rsid w:val="1BB2184F"/>
    <w:rsid w:val="1BB27DB9"/>
    <w:rsid w:val="1BB747A9"/>
    <w:rsid w:val="1BB83309"/>
    <w:rsid w:val="1BBB6955"/>
    <w:rsid w:val="1BBD091F"/>
    <w:rsid w:val="1BBE6445"/>
    <w:rsid w:val="1BC30238"/>
    <w:rsid w:val="1BC7354C"/>
    <w:rsid w:val="1BC872C4"/>
    <w:rsid w:val="1BCA303C"/>
    <w:rsid w:val="1BCA6B98"/>
    <w:rsid w:val="1BCB1D7E"/>
    <w:rsid w:val="1BCB72FD"/>
    <w:rsid w:val="1BCD0437"/>
    <w:rsid w:val="1BCD6688"/>
    <w:rsid w:val="1BD01CD5"/>
    <w:rsid w:val="1BD25A4D"/>
    <w:rsid w:val="1BD417C5"/>
    <w:rsid w:val="1BD45C69"/>
    <w:rsid w:val="1BD5797C"/>
    <w:rsid w:val="1BD6553D"/>
    <w:rsid w:val="1BD87507"/>
    <w:rsid w:val="1BD9300C"/>
    <w:rsid w:val="1BDB2B53"/>
    <w:rsid w:val="1BDE0896"/>
    <w:rsid w:val="1BDE0FAC"/>
    <w:rsid w:val="1BE0460E"/>
    <w:rsid w:val="1BE20386"/>
    <w:rsid w:val="1BE22134"/>
    <w:rsid w:val="1BE7774A"/>
    <w:rsid w:val="1BEC6B0F"/>
    <w:rsid w:val="1BED0AD9"/>
    <w:rsid w:val="1BEF3457"/>
    <w:rsid w:val="1BF400B9"/>
    <w:rsid w:val="1BF57933"/>
    <w:rsid w:val="1BF604D2"/>
    <w:rsid w:val="1BF6798D"/>
    <w:rsid w:val="1BF81957"/>
    <w:rsid w:val="1BFD51C0"/>
    <w:rsid w:val="1BFE2CE6"/>
    <w:rsid w:val="1C006A5E"/>
    <w:rsid w:val="1C024584"/>
    <w:rsid w:val="1C055E22"/>
    <w:rsid w:val="1C091D8D"/>
    <w:rsid w:val="1C095610"/>
    <w:rsid w:val="1C0A6686"/>
    <w:rsid w:val="1C0C5403"/>
    <w:rsid w:val="1C0E2F29"/>
    <w:rsid w:val="1C0F0A4F"/>
    <w:rsid w:val="1C103880"/>
    <w:rsid w:val="1C13053F"/>
    <w:rsid w:val="1C161DDD"/>
    <w:rsid w:val="1C163B8C"/>
    <w:rsid w:val="1C170489"/>
    <w:rsid w:val="1C18194D"/>
    <w:rsid w:val="1C1B3B19"/>
    <w:rsid w:val="1C1B73F4"/>
    <w:rsid w:val="1C27223D"/>
    <w:rsid w:val="1C2B7608"/>
    <w:rsid w:val="1C2C1601"/>
    <w:rsid w:val="1C2D7127"/>
    <w:rsid w:val="1C2F10F1"/>
    <w:rsid w:val="1C2F22BE"/>
    <w:rsid w:val="1C330BE1"/>
    <w:rsid w:val="1C381D54"/>
    <w:rsid w:val="1C3D736A"/>
    <w:rsid w:val="1C3E30E2"/>
    <w:rsid w:val="1C3E504A"/>
    <w:rsid w:val="1C3F7586"/>
    <w:rsid w:val="1C424981"/>
    <w:rsid w:val="1C4526C3"/>
    <w:rsid w:val="1C4A5F2B"/>
    <w:rsid w:val="1C511068"/>
    <w:rsid w:val="1C512E16"/>
    <w:rsid w:val="1C56667E"/>
    <w:rsid w:val="1C5F3784"/>
    <w:rsid w:val="1C625023"/>
    <w:rsid w:val="1C6568C1"/>
    <w:rsid w:val="1C662D65"/>
    <w:rsid w:val="1C672639"/>
    <w:rsid w:val="1C6E1C1A"/>
    <w:rsid w:val="1C6F7740"/>
    <w:rsid w:val="1C721C5B"/>
    <w:rsid w:val="1C744D56"/>
    <w:rsid w:val="1C776E36"/>
    <w:rsid w:val="1C784846"/>
    <w:rsid w:val="1C7A236C"/>
    <w:rsid w:val="1C7B60E4"/>
    <w:rsid w:val="1C7D1E5D"/>
    <w:rsid w:val="1C7D7062"/>
    <w:rsid w:val="1C8026B6"/>
    <w:rsid w:val="1C846B66"/>
    <w:rsid w:val="1C856F63"/>
    <w:rsid w:val="1C8B0A36"/>
    <w:rsid w:val="1C8F393E"/>
    <w:rsid w:val="1C9571A6"/>
    <w:rsid w:val="1C961170"/>
    <w:rsid w:val="1C962F1E"/>
    <w:rsid w:val="1C9A2A0F"/>
    <w:rsid w:val="1CA13D9D"/>
    <w:rsid w:val="1CA218C3"/>
    <w:rsid w:val="1CA61F02"/>
    <w:rsid w:val="1CA6502A"/>
    <w:rsid w:val="1CA7512B"/>
    <w:rsid w:val="1CAB69CA"/>
    <w:rsid w:val="1CAF0084"/>
    <w:rsid w:val="1CB02232"/>
    <w:rsid w:val="1CB17D58"/>
    <w:rsid w:val="1CB2219C"/>
    <w:rsid w:val="1CB530B4"/>
    <w:rsid w:val="1CB57848"/>
    <w:rsid w:val="1CB67C92"/>
    <w:rsid w:val="1CB87339"/>
    <w:rsid w:val="1CBD04AB"/>
    <w:rsid w:val="1CBF5FD1"/>
    <w:rsid w:val="1CC02AA7"/>
    <w:rsid w:val="1CC161ED"/>
    <w:rsid w:val="1CC23D13"/>
    <w:rsid w:val="1CC47A8B"/>
    <w:rsid w:val="1CC730D8"/>
    <w:rsid w:val="1CCA0FFC"/>
    <w:rsid w:val="1CCC6940"/>
    <w:rsid w:val="1CCE090A"/>
    <w:rsid w:val="1CD001DE"/>
    <w:rsid w:val="1CDF602F"/>
    <w:rsid w:val="1CE26164"/>
    <w:rsid w:val="1CE67A02"/>
    <w:rsid w:val="1CEE4B08"/>
    <w:rsid w:val="1CEE68B6"/>
    <w:rsid w:val="1CEE6A7A"/>
    <w:rsid w:val="1CF10155"/>
    <w:rsid w:val="1CF55E97"/>
    <w:rsid w:val="1CF864FE"/>
    <w:rsid w:val="1CF87735"/>
    <w:rsid w:val="1CFA16FF"/>
    <w:rsid w:val="1CFA34AD"/>
    <w:rsid w:val="1CFB407F"/>
    <w:rsid w:val="1CFC5477"/>
    <w:rsid w:val="1CFD2DEB"/>
    <w:rsid w:val="1D0205B4"/>
    <w:rsid w:val="1D0E51AB"/>
    <w:rsid w:val="1D1125A5"/>
    <w:rsid w:val="1D1722B1"/>
    <w:rsid w:val="1D1A58FD"/>
    <w:rsid w:val="1D1C78C7"/>
    <w:rsid w:val="1D1D0F4A"/>
    <w:rsid w:val="1D2624F4"/>
    <w:rsid w:val="1D28635E"/>
    <w:rsid w:val="1D291FE4"/>
    <w:rsid w:val="1D300C7D"/>
    <w:rsid w:val="1D306ECF"/>
    <w:rsid w:val="1D320E99"/>
    <w:rsid w:val="1D361749"/>
    <w:rsid w:val="1D3A1AFC"/>
    <w:rsid w:val="1D3E15EC"/>
    <w:rsid w:val="1D445D2D"/>
    <w:rsid w:val="1D4A4435"/>
    <w:rsid w:val="1D4B1F5B"/>
    <w:rsid w:val="1D4D7A81"/>
    <w:rsid w:val="1D4E55EC"/>
    <w:rsid w:val="1D50131F"/>
    <w:rsid w:val="1D5030CD"/>
    <w:rsid w:val="1D5202A2"/>
    <w:rsid w:val="1D547061"/>
    <w:rsid w:val="1D5801D4"/>
    <w:rsid w:val="1D5C7CC4"/>
    <w:rsid w:val="1D631052"/>
    <w:rsid w:val="1D65301C"/>
    <w:rsid w:val="1D6B43AB"/>
    <w:rsid w:val="1D6D1ED1"/>
    <w:rsid w:val="1D7A45EE"/>
    <w:rsid w:val="1D7A4807"/>
    <w:rsid w:val="1D7E40DE"/>
    <w:rsid w:val="1D807281"/>
    <w:rsid w:val="1D85546D"/>
    <w:rsid w:val="1D862C8F"/>
    <w:rsid w:val="1D876420"/>
    <w:rsid w:val="1D880AB9"/>
    <w:rsid w:val="1D894E19"/>
    <w:rsid w:val="1D8D4321"/>
    <w:rsid w:val="1D9220A3"/>
    <w:rsid w:val="1D9303D6"/>
    <w:rsid w:val="1D943902"/>
    <w:rsid w:val="1D9456B0"/>
    <w:rsid w:val="1D962329"/>
    <w:rsid w:val="1D992CC6"/>
    <w:rsid w:val="1D9A47B6"/>
    <w:rsid w:val="1D9B6A3E"/>
    <w:rsid w:val="1D9C4564"/>
    <w:rsid w:val="1D9C6312"/>
    <w:rsid w:val="1DA4489F"/>
    <w:rsid w:val="1DA53B3F"/>
    <w:rsid w:val="1DAA6C81"/>
    <w:rsid w:val="1DB16262"/>
    <w:rsid w:val="1DB45D52"/>
    <w:rsid w:val="1DBA2C3C"/>
    <w:rsid w:val="1DBD70AE"/>
    <w:rsid w:val="1DBE3824"/>
    <w:rsid w:val="1DC87107"/>
    <w:rsid w:val="1DCB6BF8"/>
    <w:rsid w:val="1DCF03F4"/>
    <w:rsid w:val="1DCF493A"/>
    <w:rsid w:val="1DD261D8"/>
    <w:rsid w:val="1DD36DFA"/>
    <w:rsid w:val="1DD67A76"/>
    <w:rsid w:val="1DD737EE"/>
    <w:rsid w:val="1DD75402"/>
    <w:rsid w:val="1DE026A3"/>
    <w:rsid w:val="1DE06B47"/>
    <w:rsid w:val="1DE32193"/>
    <w:rsid w:val="1DE37C44"/>
    <w:rsid w:val="1DE55F0B"/>
    <w:rsid w:val="1DE63A32"/>
    <w:rsid w:val="1DE67A5F"/>
    <w:rsid w:val="1DE765A7"/>
    <w:rsid w:val="1DEB0A3D"/>
    <w:rsid w:val="1DED55CE"/>
    <w:rsid w:val="1DED6B6E"/>
    <w:rsid w:val="1DF517C5"/>
    <w:rsid w:val="1DFE521F"/>
    <w:rsid w:val="1E02610A"/>
    <w:rsid w:val="1E075364"/>
    <w:rsid w:val="1E087E4C"/>
    <w:rsid w:val="1E0F4D36"/>
    <w:rsid w:val="1E114F52"/>
    <w:rsid w:val="1E116D00"/>
    <w:rsid w:val="1E1862E1"/>
    <w:rsid w:val="1E193E07"/>
    <w:rsid w:val="1E1A4FF0"/>
    <w:rsid w:val="1E1E28AB"/>
    <w:rsid w:val="1E1E4F79"/>
    <w:rsid w:val="1E1E766F"/>
    <w:rsid w:val="1E217E45"/>
    <w:rsid w:val="1E220F0E"/>
    <w:rsid w:val="1E28404A"/>
    <w:rsid w:val="1E2F53D8"/>
    <w:rsid w:val="1E340C41"/>
    <w:rsid w:val="1E3E4729"/>
    <w:rsid w:val="1E3E4FB4"/>
    <w:rsid w:val="1E403142"/>
    <w:rsid w:val="1E433475"/>
    <w:rsid w:val="1E49784A"/>
    <w:rsid w:val="1E4E1D03"/>
    <w:rsid w:val="1E4F2C3F"/>
    <w:rsid w:val="1E4F5A7B"/>
    <w:rsid w:val="1E546CEA"/>
    <w:rsid w:val="1E555448"/>
    <w:rsid w:val="1E5723F7"/>
    <w:rsid w:val="1E5906A7"/>
    <w:rsid w:val="1E5B152D"/>
    <w:rsid w:val="1E5F5CBE"/>
    <w:rsid w:val="1E62130A"/>
    <w:rsid w:val="1E6432D4"/>
    <w:rsid w:val="1E652BA8"/>
    <w:rsid w:val="1E673F9C"/>
    <w:rsid w:val="1E696B3C"/>
    <w:rsid w:val="1E6E5F01"/>
    <w:rsid w:val="1E766B63"/>
    <w:rsid w:val="1E77796A"/>
    <w:rsid w:val="1E7C4299"/>
    <w:rsid w:val="1E7D7EF2"/>
    <w:rsid w:val="1E7F05AE"/>
    <w:rsid w:val="1E803A9B"/>
    <w:rsid w:val="1E821E95"/>
    <w:rsid w:val="1E867014"/>
    <w:rsid w:val="1E875215"/>
    <w:rsid w:val="1E8A0861"/>
    <w:rsid w:val="1E94348E"/>
    <w:rsid w:val="1E9B481C"/>
    <w:rsid w:val="1E9E5891"/>
    <w:rsid w:val="1E9E60BA"/>
    <w:rsid w:val="1E9F29BF"/>
    <w:rsid w:val="1E9F430C"/>
    <w:rsid w:val="1EA5569B"/>
    <w:rsid w:val="1EAA01A3"/>
    <w:rsid w:val="1EAA1AE8"/>
    <w:rsid w:val="1EAA4A5F"/>
    <w:rsid w:val="1EAB0F03"/>
    <w:rsid w:val="1EAC4C7B"/>
    <w:rsid w:val="1EAD7DE2"/>
    <w:rsid w:val="1EAE09F3"/>
    <w:rsid w:val="1EAE454F"/>
    <w:rsid w:val="1EAE5864"/>
    <w:rsid w:val="1EB018DF"/>
    <w:rsid w:val="1EB06519"/>
    <w:rsid w:val="1EB1403F"/>
    <w:rsid w:val="1EB15448"/>
    <w:rsid w:val="1EB15DEE"/>
    <w:rsid w:val="1EB3600A"/>
    <w:rsid w:val="1EB37DB8"/>
    <w:rsid w:val="1EBA0EAC"/>
    <w:rsid w:val="1EBA7398"/>
    <w:rsid w:val="1EBE4E7B"/>
    <w:rsid w:val="1EBF050A"/>
    <w:rsid w:val="1EC42C98"/>
    <w:rsid w:val="1EC64A9D"/>
    <w:rsid w:val="1ECD058E"/>
    <w:rsid w:val="1ECF04F0"/>
    <w:rsid w:val="1ED50531"/>
    <w:rsid w:val="1ED8781E"/>
    <w:rsid w:val="1EDB2E6A"/>
    <w:rsid w:val="1EDC730E"/>
    <w:rsid w:val="1EDF295B"/>
    <w:rsid w:val="1EE15A6C"/>
    <w:rsid w:val="1EED239C"/>
    <w:rsid w:val="1EF328AA"/>
    <w:rsid w:val="1EF81C6E"/>
    <w:rsid w:val="1EFF4DAB"/>
    <w:rsid w:val="1F005027"/>
    <w:rsid w:val="1F046865"/>
    <w:rsid w:val="1F070103"/>
    <w:rsid w:val="1F073C5F"/>
    <w:rsid w:val="1F093E7B"/>
    <w:rsid w:val="1F0B3750"/>
    <w:rsid w:val="1F0C1276"/>
    <w:rsid w:val="1F0C52E3"/>
    <w:rsid w:val="1F0E3293"/>
    <w:rsid w:val="1F105AB8"/>
    <w:rsid w:val="1F124EA7"/>
    <w:rsid w:val="1F136AA8"/>
    <w:rsid w:val="1F1545CE"/>
    <w:rsid w:val="1F197111"/>
    <w:rsid w:val="1F1C3BAF"/>
    <w:rsid w:val="1F1D3483"/>
    <w:rsid w:val="1F242A63"/>
    <w:rsid w:val="1F274302"/>
    <w:rsid w:val="1F28557B"/>
    <w:rsid w:val="1F29007A"/>
    <w:rsid w:val="1F291E28"/>
    <w:rsid w:val="1F2B5BA0"/>
    <w:rsid w:val="1F2E1635"/>
    <w:rsid w:val="1F2E743E"/>
    <w:rsid w:val="1F30765A"/>
    <w:rsid w:val="1F3709E9"/>
    <w:rsid w:val="1F372797"/>
    <w:rsid w:val="1F394761"/>
    <w:rsid w:val="1F443106"/>
    <w:rsid w:val="1F444AA3"/>
    <w:rsid w:val="1F460C2C"/>
    <w:rsid w:val="1F49071C"/>
    <w:rsid w:val="1F4B3E9E"/>
    <w:rsid w:val="1F4C2284"/>
    <w:rsid w:val="1F4D3D68"/>
    <w:rsid w:val="1F52137F"/>
    <w:rsid w:val="1F533349"/>
    <w:rsid w:val="1F536EA5"/>
    <w:rsid w:val="1F550E6F"/>
    <w:rsid w:val="1F552C1D"/>
    <w:rsid w:val="1F5570C1"/>
    <w:rsid w:val="1F5A46D7"/>
    <w:rsid w:val="1F5C044F"/>
    <w:rsid w:val="1F5C21FD"/>
    <w:rsid w:val="1F5F584A"/>
    <w:rsid w:val="1F61475A"/>
    <w:rsid w:val="1F62533A"/>
    <w:rsid w:val="1F6966C8"/>
    <w:rsid w:val="1F6B41EE"/>
    <w:rsid w:val="1F6E4863"/>
    <w:rsid w:val="1F6E513F"/>
    <w:rsid w:val="1F6F048C"/>
    <w:rsid w:val="1F721A21"/>
    <w:rsid w:val="1F7638D9"/>
    <w:rsid w:val="1F777037"/>
    <w:rsid w:val="1F7A08D5"/>
    <w:rsid w:val="1F7C63FB"/>
    <w:rsid w:val="1F7D3F22"/>
    <w:rsid w:val="1F8452B0"/>
    <w:rsid w:val="1F884DA0"/>
    <w:rsid w:val="1F8A4FBC"/>
    <w:rsid w:val="1F8B4890"/>
    <w:rsid w:val="1F8D10C6"/>
    <w:rsid w:val="1F8E612F"/>
    <w:rsid w:val="1F8F25D3"/>
    <w:rsid w:val="1F9000F9"/>
    <w:rsid w:val="1F933745"/>
    <w:rsid w:val="1F9B509B"/>
    <w:rsid w:val="1F9C4CF0"/>
    <w:rsid w:val="1FA45268"/>
    <w:rsid w:val="1FA616CA"/>
    <w:rsid w:val="1FA80104"/>
    <w:rsid w:val="1FA802B9"/>
    <w:rsid w:val="1FAC33EA"/>
    <w:rsid w:val="1FAD2A59"/>
    <w:rsid w:val="1FAD4807"/>
    <w:rsid w:val="1FB042F7"/>
    <w:rsid w:val="1FB07AC3"/>
    <w:rsid w:val="1FB5190D"/>
    <w:rsid w:val="1FB738D7"/>
    <w:rsid w:val="1FB843E7"/>
    <w:rsid w:val="1FBE4C66"/>
    <w:rsid w:val="1FC13108"/>
    <w:rsid w:val="1FC16504"/>
    <w:rsid w:val="1FC3402A"/>
    <w:rsid w:val="1FC55DBE"/>
    <w:rsid w:val="1FCA066A"/>
    <w:rsid w:val="1FCA360B"/>
    <w:rsid w:val="1FCD4EA9"/>
    <w:rsid w:val="1FD06747"/>
    <w:rsid w:val="1FD224BF"/>
    <w:rsid w:val="1FD55B0C"/>
    <w:rsid w:val="1FD60202"/>
    <w:rsid w:val="1FD72E25"/>
    <w:rsid w:val="1FD91AA0"/>
    <w:rsid w:val="1FDE70B6"/>
    <w:rsid w:val="1FE02E2E"/>
    <w:rsid w:val="1FE10954"/>
    <w:rsid w:val="1FE31210"/>
    <w:rsid w:val="1FE426A0"/>
    <w:rsid w:val="1FEF3071"/>
    <w:rsid w:val="1FFB37C4"/>
    <w:rsid w:val="1FFF6E7D"/>
    <w:rsid w:val="200054D9"/>
    <w:rsid w:val="2000702C"/>
    <w:rsid w:val="20015EDA"/>
    <w:rsid w:val="20020FF7"/>
    <w:rsid w:val="20054643"/>
    <w:rsid w:val="20062518"/>
    <w:rsid w:val="20085EE1"/>
    <w:rsid w:val="200D34F7"/>
    <w:rsid w:val="200F7B00"/>
    <w:rsid w:val="20174376"/>
    <w:rsid w:val="201C198C"/>
    <w:rsid w:val="201E74B3"/>
    <w:rsid w:val="20230F6D"/>
    <w:rsid w:val="20232D1B"/>
    <w:rsid w:val="20256A93"/>
    <w:rsid w:val="202D3B9A"/>
    <w:rsid w:val="20337402"/>
    <w:rsid w:val="20390790"/>
    <w:rsid w:val="203B5D95"/>
    <w:rsid w:val="203C098B"/>
    <w:rsid w:val="203E1903"/>
    <w:rsid w:val="20401B1F"/>
    <w:rsid w:val="204213F3"/>
    <w:rsid w:val="2043260B"/>
    <w:rsid w:val="20474C5B"/>
    <w:rsid w:val="20476A09"/>
    <w:rsid w:val="204809D3"/>
    <w:rsid w:val="20482782"/>
    <w:rsid w:val="20496676"/>
    <w:rsid w:val="204A5756"/>
    <w:rsid w:val="204C2272"/>
    <w:rsid w:val="204C4020"/>
    <w:rsid w:val="204F4230"/>
    <w:rsid w:val="204F58BE"/>
    <w:rsid w:val="205904EB"/>
    <w:rsid w:val="20592BE1"/>
    <w:rsid w:val="205E01F7"/>
    <w:rsid w:val="205E1FA5"/>
    <w:rsid w:val="206046DD"/>
    <w:rsid w:val="20607AD1"/>
    <w:rsid w:val="20656BE4"/>
    <w:rsid w:val="20672C08"/>
    <w:rsid w:val="20694BCD"/>
    <w:rsid w:val="206E043A"/>
    <w:rsid w:val="207035BF"/>
    <w:rsid w:val="20735512"/>
    <w:rsid w:val="208319DF"/>
    <w:rsid w:val="20831A0C"/>
    <w:rsid w:val="20855A40"/>
    <w:rsid w:val="20867C96"/>
    <w:rsid w:val="20875058"/>
    <w:rsid w:val="20880DD0"/>
    <w:rsid w:val="208C6B12"/>
    <w:rsid w:val="208E288A"/>
    <w:rsid w:val="209105AD"/>
    <w:rsid w:val="209354CA"/>
    <w:rsid w:val="20983EB6"/>
    <w:rsid w:val="209E23A2"/>
    <w:rsid w:val="20A3123C"/>
    <w:rsid w:val="20A7394C"/>
    <w:rsid w:val="20A74FBA"/>
    <w:rsid w:val="20A756FA"/>
    <w:rsid w:val="20AA51EA"/>
    <w:rsid w:val="20B05033"/>
    <w:rsid w:val="20B16579"/>
    <w:rsid w:val="20B41BC5"/>
    <w:rsid w:val="20B63B8F"/>
    <w:rsid w:val="20B65FAF"/>
    <w:rsid w:val="20B816B5"/>
    <w:rsid w:val="20C16E58"/>
    <w:rsid w:val="20CC5834"/>
    <w:rsid w:val="20E8770D"/>
    <w:rsid w:val="20ED7432"/>
    <w:rsid w:val="20F46465"/>
    <w:rsid w:val="20F555B5"/>
    <w:rsid w:val="20F748D2"/>
    <w:rsid w:val="20FB5A46"/>
    <w:rsid w:val="20FD17BE"/>
    <w:rsid w:val="210A4734"/>
    <w:rsid w:val="210B5E71"/>
    <w:rsid w:val="210F0963"/>
    <w:rsid w:val="21110DC5"/>
    <w:rsid w:val="21117017"/>
    <w:rsid w:val="21154D5A"/>
    <w:rsid w:val="211B39F2"/>
    <w:rsid w:val="211D59BC"/>
    <w:rsid w:val="21210FCF"/>
    <w:rsid w:val="21236F43"/>
    <w:rsid w:val="212E5E1B"/>
    <w:rsid w:val="213056EF"/>
    <w:rsid w:val="21330813"/>
    <w:rsid w:val="21354B49"/>
    <w:rsid w:val="21372D0F"/>
    <w:rsid w:val="213C22E6"/>
    <w:rsid w:val="213D1BBA"/>
    <w:rsid w:val="21405125"/>
    <w:rsid w:val="214271D1"/>
    <w:rsid w:val="21430308"/>
    <w:rsid w:val="21466CC1"/>
    <w:rsid w:val="21467ABC"/>
    <w:rsid w:val="214F7359"/>
    <w:rsid w:val="21507B40"/>
    <w:rsid w:val="2152133A"/>
    <w:rsid w:val="215A276C"/>
    <w:rsid w:val="216102D0"/>
    <w:rsid w:val="21642211"/>
    <w:rsid w:val="216435EB"/>
    <w:rsid w:val="21667363"/>
    <w:rsid w:val="21674E89"/>
    <w:rsid w:val="2168340C"/>
    <w:rsid w:val="216929AF"/>
    <w:rsid w:val="216B2BCB"/>
    <w:rsid w:val="217952E8"/>
    <w:rsid w:val="217A2E0F"/>
    <w:rsid w:val="217C0935"/>
    <w:rsid w:val="2181419D"/>
    <w:rsid w:val="21845A3B"/>
    <w:rsid w:val="21863561"/>
    <w:rsid w:val="21897ECB"/>
    <w:rsid w:val="218B53BC"/>
    <w:rsid w:val="218E0668"/>
    <w:rsid w:val="21920158"/>
    <w:rsid w:val="219537A4"/>
    <w:rsid w:val="219D08AB"/>
    <w:rsid w:val="219E4D4F"/>
    <w:rsid w:val="21A63C04"/>
    <w:rsid w:val="21A8172A"/>
    <w:rsid w:val="21AE2AB8"/>
    <w:rsid w:val="21B03B55"/>
    <w:rsid w:val="21B31E7D"/>
    <w:rsid w:val="21BC3427"/>
    <w:rsid w:val="21BC51D5"/>
    <w:rsid w:val="21BF0821"/>
    <w:rsid w:val="21C10A3D"/>
    <w:rsid w:val="21C706C4"/>
    <w:rsid w:val="21C83B7A"/>
    <w:rsid w:val="21C916A0"/>
    <w:rsid w:val="21CB27F1"/>
    <w:rsid w:val="21CF315A"/>
    <w:rsid w:val="21D267A7"/>
    <w:rsid w:val="21D342CD"/>
    <w:rsid w:val="21D544E9"/>
    <w:rsid w:val="21DB46C8"/>
    <w:rsid w:val="21DE514B"/>
    <w:rsid w:val="21E12E8E"/>
    <w:rsid w:val="21E62252"/>
    <w:rsid w:val="21E93569"/>
    <w:rsid w:val="21E93AF0"/>
    <w:rsid w:val="21ED01F5"/>
    <w:rsid w:val="21EF7079"/>
    <w:rsid w:val="21F26040"/>
    <w:rsid w:val="21F8186C"/>
    <w:rsid w:val="21F93D33"/>
    <w:rsid w:val="21FC167D"/>
    <w:rsid w:val="21FF3314"/>
    <w:rsid w:val="22032E04"/>
    <w:rsid w:val="22056B7C"/>
    <w:rsid w:val="220608A2"/>
    <w:rsid w:val="220628F4"/>
    <w:rsid w:val="220646A2"/>
    <w:rsid w:val="22086346"/>
    <w:rsid w:val="2208666C"/>
    <w:rsid w:val="220964A4"/>
    <w:rsid w:val="220A23E4"/>
    <w:rsid w:val="220B7F0B"/>
    <w:rsid w:val="220F1234"/>
    <w:rsid w:val="221943D6"/>
    <w:rsid w:val="221A365E"/>
    <w:rsid w:val="221C3EC6"/>
    <w:rsid w:val="22205764"/>
    <w:rsid w:val="22235254"/>
    <w:rsid w:val="22266AF2"/>
    <w:rsid w:val="22274816"/>
    <w:rsid w:val="222D224E"/>
    <w:rsid w:val="22350AE4"/>
    <w:rsid w:val="2237485C"/>
    <w:rsid w:val="223A40EF"/>
    <w:rsid w:val="223C63CB"/>
    <w:rsid w:val="223D6DA5"/>
    <w:rsid w:val="224469E3"/>
    <w:rsid w:val="22460F43"/>
    <w:rsid w:val="224A27E1"/>
    <w:rsid w:val="224E5C00"/>
    <w:rsid w:val="224F429B"/>
    <w:rsid w:val="224F66C7"/>
    <w:rsid w:val="2254541C"/>
    <w:rsid w:val="22561186"/>
    <w:rsid w:val="225B2099"/>
    <w:rsid w:val="22604A7B"/>
    <w:rsid w:val="22610ADC"/>
    <w:rsid w:val="226225B1"/>
    <w:rsid w:val="2265761B"/>
    <w:rsid w:val="22673393"/>
    <w:rsid w:val="22682C67"/>
    <w:rsid w:val="226A4C31"/>
    <w:rsid w:val="226B5457"/>
    <w:rsid w:val="226F2247"/>
    <w:rsid w:val="226F3FF6"/>
    <w:rsid w:val="227B405E"/>
    <w:rsid w:val="227C6712"/>
    <w:rsid w:val="227F528A"/>
    <w:rsid w:val="22806203"/>
    <w:rsid w:val="22873A35"/>
    <w:rsid w:val="22877591"/>
    <w:rsid w:val="22885BF9"/>
    <w:rsid w:val="22895117"/>
    <w:rsid w:val="228965D3"/>
    <w:rsid w:val="228A7081"/>
    <w:rsid w:val="2296541A"/>
    <w:rsid w:val="229879F0"/>
    <w:rsid w:val="22993768"/>
    <w:rsid w:val="22A16179"/>
    <w:rsid w:val="22A95394"/>
    <w:rsid w:val="22AA7723"/>
    <w:rsid w:val="22AB3233"/>
    <w:rsid w:val="22AD2D70"/>
    <w:rsid w:val="22B61C24"/>
    <w:rsid w:val="22BB6551"/>
    <w:rsid w:val="22BD1205"/>
    <w:rsid w:val="22BE4F7D"/>
    <w:rsid w:val="22BE6D2B"/>
    <w:rsid w:val="22C00CF5"/>
    <w:rsid w:val="22C02AA3"/>
    <w:rsid w:val="22C17821"/>
    <w:rsid w:val="22C2681B"/>
    <w:rsid w:val="22C6199A"/>
    <w:rsid w:val="22C72083"/>
    <w:rsid w:val="22C75A2E"/>
    <w:rsid w:val="22C81958"/>
    <w:rsid w:val="22CA1B74"/>
    <w:rsid w:val="22CA3922"/>
    <w:rsid w:val="22CC0F2A"/>
    <w:rsid w:val="22CC1448"/>
    <w:rsid w:val="22CD2452"/>
    <w:rsid w:val="22CF2CE6"/>
    <w:rsid w:val="22D84291"/>
    <w:rsid w:val="22DB49BE"/>
    <w:rsid w:val="22DB5B2F"/>
    <w:rsid w:val="22DC2A30"/>
    <w:rsid w:val="22DD3655"/>
    <w:rsid w:val="22E22A19"/>
    <w:rsid w:val="22E54C87"/>
    <w:rsid w:val="22E54E3C"/>
    <w:rsid w:val="22E76282"/>
    <w:rsid w:val="22E83DA8"/>
    <w:rsid w:val="22EE1374"/>
    <w:rsid w:val="22F02C37"/>
    <w:rsid w:val="22F17100"/>
    <w:rsid w:val="22F664C5"/>
    <w:rsid w:val="22FA4207"/>
    <w:rsid w:val="22FD3574"/>
    <w:rsid w:val="22FD7853"/>
    <w:rsid w:val="22FE5379"/>
    <w:rsid w:val="22FF35CB"/>
    <w:rsid w:val="23005249"/>
    <w:rsid w:val="23046E34"/>
    <w:rsid w:val="23056708"/>
    <w:rsid w:val="2309444A"/>
    <w:rsid w:val="2318468D"/>
    <w:rsid w:val="23194618"/>
    <w:rsid w:val="231A0926"/>
    <w:rsid w:val="231D6147"/>
    <w:rsid w:val="231F5C99"/>
    <w:rsid w:val="2322375E"/>
    <w:rsid w:val="23272B22"/>
    <w:rsid w:val="23290648"/>
    <w:rsid w:val="232A43C0"/>
    <w:rsid w:val="232C0139"/>
    <w:rsid w:val="232E2103"/>
    <w:rsid w:val="232E3EB1"/>
    <w:rsid w:val="2335523F"/>
    <w:rsid w:val="23386ADD"/>
    <w:rsid w:val="233C481F"/>
    <w:rsid w:val="233C55E1"/>
    <w:rsid w:val="233E17D0"/>
    <w:rsid w:val="23405992"/>
    <w:rsid w:val="23411E36"/>
    <w:rsid w:val="2342170A"/>
    <w:rsid w:val="23424FFC"/>
    <w:rsid w:val="23445482"/>
    <w:rsid w:val="23447230"/>
    <w:rsid w:val="23492A98"/>
    <w:rsid w:val="234C2589"/>
    <w:rsid w:val="23563407"/>
    <w:rsid w:val="23586A43"/>
    <w:rsid w:val="235C2297"/>
    <w:rsid w:val="235F0836"/>
    <w:rsid w:val="23623B5A"/>
    <w:rsid w:val="23645B24"/>
    <w:rsid w:val="23651C9F"/>
    <w:rsid w:val="236553F8"/>
    <w:rsid w:val="23696C97"/>
    <w:rsid w:val="236B51E7"/>
    <w:rsid w:val="23700025"/>
    <w:rsid w:val="237A0EA4"/>
    <w:rsid w:val="237D251C"/>
    <w:rsid w:val="237F295E"/>
    <w:rsid w:val="23857832"/>
    <w:rsid w:val="238B4600"/>
    <w:rsid w:val="238B4E5F"/>
    <w:rsid w:val="238E6718"/>
    <w:rsid w:val="239006C7"/>
    <w:rsid w:val="2393640A"/>
    <w:rsid w:val="23953F30"/>
    <w:rsid w:val="239575E6"/>
    <w:rsid w:val="23963804"/>
    <w:rsid w:val="2398757C"/>
    <w:rsid w:val="239A32F4"/>
    <w:rsid w:val="239D182C"/>
    <w:rsid w:val="239D4B92"/>
    <w:rsid w:val="239E0527"/>
    <w:rsid w:val="239E30F8"/>
    <w:rsid w:val="239F6B5C"/>
    <w:rsid w:val="23A35ADA"/>
    <w:rsid w:val="23A62696"/>
    <w:rsid w:val="23A7180F"/>
    <w:rsid w:val="23A75A11"/>
    <w:rsid w:val="23B02B18"/>
    <w:rsid w:val="23B24AE2"/>
    <w:rsid w:val="23B31D5F"/>
    <w:rsid w:val="23B56380"/>
    <w:rsid w:val="23BD6FE3"/>
    <w:rsid w:val="23BE3486"/>
    <w:rsid w:val="23BE5285"/>
    <w:rsid w:val="23C15AB0"/>
    <w:rsid w:val="23C16AD3"/>
    <w:rsid w:val="23C30A9D"/>
    <w:rsid w:val="23C659E4"/>
    <w:rsid w:val="23C661FA"/>
    <w:rsid w:val="23C91E2B"/>
    <w:rsid w:val="23CE2F9E"/>
    <w:rsid w:val="23D20CE0"/>
    <w:rsid w:val="23D26F32"/>
    <w:rsid w:val="23D5257E"/>
    <w:rsid w:val="23DC4E4F"/>
    <w:rsid w:val="23DE59BA"/>
    <w:rsid w:val="23E97DD8"/>
    <w:rsid w:val="23EB3172"/>
    <w:rsid w:val="23EC3D11"/>
    <w:rsid w:val="23ED1676"/>
    <w:rsid w:val="23ED5B1A"/>
    <w:rsid w:val="23EE0080"/>
    <w:rsid w:val="23F073B8"/>
    <w:rsid w:val="23F314B9"/>
    <w:rsid w:val="23F724F4"/>
    <w:rsid w:val="23F77216"/>
    <w:rsid w:val="23F95193"/>
    <w:rsid w:val="23FA0237"/>
    <w:rsid w:val="23FF4CA7"/>
    <w:rsid w:val="24084702"/>
    <w:rsid w:val="24095EC2"/>
    <w:rsid w:val="240B75A8"/>
    <w:rsid w:val="240F5DE0"/>
    <w:rsid w:val="24117358"/>
    <w:rsid w:val="24134E54"/>
    <w:rsid w:val="2418246B"/>
    <w:rsid w:val="241C052D"/>
    <w:rsid w:val="241E3F25"/>
    <w:rsid w:val="241E5CD3"/>
    <w:rsid w:val="242343C0"/>
    <w:rsid w:val="242A2E19"/>
    <w:rsid w:val="242B03F0"/>
    <w:rsid w:val="242B0459"/>
    <w:rsid w:val="242D5F16"/>
    <w:rsid w:val="242F26B6"/>
    <w:rsid w:val="2434206F"/>
    <w:rsid w:val="24482D50"/>
    <w:rsid w:val="244871F4"/>
    <w:rsid w:val="244B1E69"/>
    <w:rsid w:val="244C16FD"/>
    <w:rsid w:val="244C26BE"/>
    <w:rsid w:val="244D0366"/>
    <w:rsid w:val="244F233A"/>
    <w:rsid w:val="245051B0"/>
    <w:rsid w:val="245142FB"/>
    <w:rsid w:val="24523BCF"/>
    <w:rsid w:val="245C2C9F"/>
    <w:rsid w:val="245C4A01"/>
    <w:rsid w:val="24613E12"/>
    <w:rsid w:val="246851A0"/>
    <w:rsid w:val="24686FE5"/>
    <w:rsid w:val="246B6A3F"/>
    <w:rsid w:val="24704055"/>
    <w:rsid w:val="247052C5"/>
    <w:rsid w:val="247104F9"/>
    <w:rsid w:val="24727DCD"/>
    <w:rsid w:val="24741A72"/>
    <w:rsid w:val="24743B45"/>
    <w:rsid w:val="24760BE2"/>
    <w:rsid w:val="247B1377"/>
    <w:rsid w:val="2480073C"/>
    <w:rsid w:val="248144B4"/>
    <w:rsid w:val="24816262"/>
    <w:rsid w:val="24855D52"/>
    <w:rsid w:val="24885842"/>
    <w:rsid w:val="248C5333"/>
    <w:rsid w:val="24912949"/>
    <w:rsid w:val="2492221D"/>
    <w:rsid w:val="24942439"/>
    <w:rsid w:val="24945F95"/>
    <w:rsid w:val="24961D0D"/>
    <w:rsid w:val="24997A50"/>
    <w:rsid w:val="249D7540"/>
    <w:rsid w:val="249E5066"/>
    <w:rsid w:val="249F17D3"/>
    <w:rsid w:val="24A00233"/>
    <w:rsid w:val="24A37D02"/>
    <w:rsid w:val="24A51F50"/>
    <w:rsid w:val="24A843FE"/>
    <w:rsid w:val="24B86128"/>
    <w:rsid w:val="24C10D89"/>
    <w:rsid w:val="24CA19B7"/>
    <w:rsid w:val="24CC1BD3"/>
    <w:rsid w:val="24CC3981"/>
    <w:rsid w:val="24CF521F"/>
    <w:rsid w:val="24D42836"/>
    <w:rsid w:val="24D6035C"/>
    <w:rsid w:val="24DA2BBE"/>
    <w:rsid w:val="24DB3BC4"/>
    <w:rsid w:val="24DB6E55"/>
    <w:rsid w:val="24DE57D6"/>
    <w:rsid w:val="24E0567E"/>
    <w:rsid w:val="24E33EA6"/>
    <w:rsid w:val="24E964E8"/>
    <w:rsid w:val="24EF75A7"/>
    <w:rsid w:val="24F5448C"/>
    <w:rsid w:val="24F609FE"/>
    <w:rsid w:val="24F84776"/>
    <w:rsid w:val="2501777F"/>
    <w:rsid w:val="25046061"/>
    <w:rsid w:val="25090731"/>
    <w:rsid w:val="250C6474"/>
    <w:rsid w:val="250D7AF6"/>
    <w:rsid w:val="250F1AC0"/>
    <w:rsid w:val="25143E89"/>
    <w:rsid w:val="251C4037"/>
    <w:rsid w:val="251E1D03"/>
    <w:rsid w:val="252437BD"/>
    <w:rsid w:val="2524556B"/>
    <w:rsid w:val="252B661C"/>
    <w:rsid w:val="25323DC4"/>
    <w:rsid w:val="2533755C"/>
    <w:rsid w:val="25341526"/>
    <w:rsid w:val="253432D4"/>
    <w:rsid w:val="253D662D"/>
    <w:rsid w:val="25421E95"/>
    <w:rsid w:val="254774AC"/>
    <w:rsid w:val="254A2AF8"/>
    <w:rsid w:val="254E25E8"/>
    <w:rsid w:val="255676EF"/>
    <w:rsid w:val="25583467"/>
    <w:rsid w:val="255D282B"/>
    <w:rsid w:val="256A4F48"/>
    <w:rsid w:val="256C0CC0"/>
    <w:rsid w:val="256C6F12"/>
    <w:rsid w:val="257162D7"/>
    <w:rsid w:val="25740E92"/>
    <w:rsid w:val="25753D18"/>
    <w:rsid w:val="25761B3F"/>
    <w:rsid w:val="25777D91"/>
    <w:rsid w:val="25781413"/>
    <w:rsid w:val="25787665"/>
    <w:rsid w:val="257B7155"/>
    <w:rsid w:val="257C53A7"/>
    <w:rsid w:val="257F09F3"/>
    <w:rsid w:val="257F3613"/>
    <w:rsid w:val="258239F9"/>
    <w:rsid w:val="258254C2"/>
    <w:rsid w:val="25826736"/>
    <w:rsid w:val="258424AE"/>
    <w:rsid w:val="2584600A"/>
    <w:rsid w:val="25847A9B"/>
    <w:rsid w:val="258B55EA"/>
    <w:rsid w:val="259B3353"/>
    <w:rsid w:val="259C15A5"/>
    <w:rsid w:val="259C7458"/>
    <w:rsid w:val="259D3570"/>
    <w:rsid w:val="259D70CC"/>
    <w:rsid w:val="25A246E2"/>
    <w:rsid w:val="25A6790C"/>
    <w:rsid w:val="25A92E69"/>
    <w:rsid w:val="25A93CC2"/>
    <w:rsid w:val="25AF56A8"/>
    <w:rsid w:val="25B06DFF"/>
    <w:rsid w:val="25B20DC9"/>
    <w:rsid w:val="25B34B41"/>
    <w:rsid w:val="25B71256"/>
    <w:rsid w:val="25B763DF"/>
    <w:rsid w:val="25BA7C7E"/>
    <w:rsid w:val="25BC39F6"/>
    <w:rsid w:val="25BE5F7F"/>
    <w:rsid w:val="25BF34E6"/>
    <w:rsid w:val="25C26B32"/>
    <w:rsid w:val="25C40AFC"/>
    <w:rsid w:val="25C603D0"/>
    <w:rsid w:val="25CC175F"/>
    <w:rsid w:val="25CC2E6A"/>
    <w:rsid w:val="25CC4F38"/>
    <w:rsid w:val="25D074A1"/>
    <w:rsid w:val="25D845A8"/>
    <w:rsid w:val="25DD396C"/>
    <w:rsid w:val="25E116AE"/>
    <w:rsid w:val="25E42F4C"/>
    <w:rsid w:val="25EB6089"/>
    <w:rsid w:val="25EB7E37"/>
    <w:rsid w:val="25EF3DCB"/>
    <w:rsid w:val="25F0173F"/>
    <w:rsid w:val="25F018F1"/>
    <w:rsid w:val="25F0369F"/>
    <w:rsid w:val="25FC2044"/>
    <w:rsid w:val="25FE1F57"/>
    <w:rsid w:val="25FF38E2"/>
    <w:rsid w:val="26041B6B"/>
    <w:rsid w:val="26046186"/>
    <w:rsid w:val="26070462"/>
    <w:rsid w:val="26103D41"/>
    <w:rsid w:val="26170C2C"/>
    <w:rsid w:val="261750D0"/>
    <w:rsid w:val="261849A4"/>
    <w:rsid w:val="261A696E"/>
    <w:rsid w:val="26211AAB"/>
    <w:rsid w:val="262A3886"/>
    <w:rsid w:val="263C2DB6"/>
    <w:rsid w:val="26404E20"/>
    <w:rsid w:val="2641214D"/>
    <w:rsid w:val="26461511"/>
    <w:rsid w:val="26465DC5"/>
    <w:rsid w:val="26487037"/>
    <w:rsid w:val="264D0AF2"/>
    <w:rsid w:val="26532A92"/>
    <w:rsid w:val="265509F5"/>
    <w:rsid w:val="265C2AE3"/>
    <w:rsid w:val="26630315"/>
    <w:rsid w:val="26657A78"/>
    <w:rsid w:val="266B4AD8"/>
    <w:rsid w:val="266B71CA"/>
    <w:rsid w:val="266D2F42"/>
    <w:rsid w:val="2673570E"/>
    <w:rsid w:val="26753BA5"/>
    <w:rsid w:val="26755E2C"/>
    <w:rsid w:val="267B7681"/>
    <w:rsid w:val="267C3185"/>
    <w:rsid w:val="267E6EFD"/>
    <w:rsid w:val="2680391F"/>
    <w:rsid w:val="268362C1"/>
    <w:rsid w:val="268564DD"/>
    <w:rsid w:val="26865DB2"/>
    <w:rsid w:val="26890B30"/>
    <w:rsid w:val="26891855"/>
    <w:rsid w:val="26914E82"/>
    <w:rsid w:val="269229A8"/>
    <w:rsid w:val="26937061"/>
    <w:rsid w:val="26937225"/>
    <w:rsid w:val="2694227D"/>
    <w:rsid w:val="26943F86"/>
    <w:rsid w:val="26962499"/>
    <w:rsid w:val="269851E1"/>
    <w:rsid w:val="269E134D"/>
    <w:rsid w:val="26A30712"/>
    <w:rsid w:val="26A36964"/>
    <w:rsid w:val="26A56238"/>
    <w:rsid w:val="26A57B72"/>
    <w:rsid w:val="26AA1A7C"/>
    <w:rsid w:val="26B02E2F"/>
    <w:rsid w:val="26B23E49"/>
    <w:rsid w:val="26B75F6B"/>
    <w:rsid w:val="26BA4560"/>
    <w:rsid w:val="26C30DB4"/>
    <w:rsid w:val="26C412B6"/>
    <w:rsid w:val="26C568DA"/>
    <w:rsid w:val="26C64400"/>
    <w:rsid w:val="26C863CA"/>
    <w:rsid w:val="26C92BC5"/>
    <w:rsid w:val="26D0702D"/>
    <w:rsid w:val="26DB60FD"/>
    <w:rsid w:val="26DB7EAB"/>
    <w:rsid w:val="26DC54DA"/>
    <w:rsid w:val="26DE174A"/>
    <w:rsid w:val="26E03714"/>
    <w:rsid w:val="26E054C2"/>
    <w:rsid w:val="26E2748C"/>
    <w:rsid w:val="26E34EAD"/>
    <w:rsid w:val="26E8081A"/>
    <w:rsid w:val="26EC24A4"/>
    <w:rsid w:val="26ED5E31"/>
    <w:rsid w:val="26EF3957"/>
    <w:rsid w:val="26F31699"/>
    <w:rsid w:val="26F62F37"/>
    <w:rsid w:val="26F86CAF"/>
    <w:rsid w:val="26F96584"/>
    <w:rsid w:val="26F969CE"/>
    <w:rsid w:val="26FB4305"/>
    <w:rsid w:val="26FD2518"/>
    <w:rsid w:val="27007912"/>
    <w:rsid w:val="27027B2E"/>
    <w:rsid w:val="27040EBB"/>
    <w:rsid w:val="270578EC"/>
    <w:rsid w:val="2709648F"/>
    <w:rsid w:val="270D202F"/>
    <w:rsid w:val="270E647B"/>
    <w:rsid w:val="27117D71"/>
    <w:rsid w:val="27135897"/>
    <w:rsid w:val="271433BD"/>
    <w:rsid w:val="271635D9"/>
    <w:rsid w:val="27166BAC"/>
    <w:rsid w:val="271C2272"/>
    <w:rsid w:val="271D6716"/>
    <w:rsid w:val="271F4221"/>
    <w:rsid w:val="27202D3F"/>
    <w:rsid w:val="27206206"/>
    <w:rsid w:val="272B367E"/>
    <w:rsid w:val="272C0707"/>
    <w:rsid w:val="272C6EB9"/>
    <w:rsid w:val="272D4881"/>
    <w:rsid w:val="272F08E2"/>
    <w:rsid w:val="27327271"/>
    <w:rsid w:val="27335F39"/>
    <w:rsid w:val="27361586"/>
    <w:rsid w:val="273852FE"/>
    <w:rsid w:val="273D2914"/>
    <w:rsid w:val="27400656"/>
    <w:rsid w:val="27455C6D"/>
    <w:rsid w:val="274666AE"/>
    <w:rsid w:val="274676FC"/>
    <w:rsid w:val="27475541"/>
    <w:rsid w:val="274C29DB"/>
    <w:rsid w:val="274C5843"/>
    <w:rsid w:val="27511310"/>
    <w:rsid w:val="2753038A"/>
    <w:rsid w:val="27541561"/>
    <w:rsid w:val="27541A0C"/>
    <w:rsid w:val="275A7954"/>
    <w:rsid w:val="275B2D9A"/>
    <w:rsid w:val="275B3E1E"/>
    <w:rsid w:val="275D6B12"/>
    <w:rsid w:val="27630C0D"/>
    <w:rsid w:val="27636686"/>
    <w:rsid w:val="27684462"/>
    <w:rsid w:val="276A59DB"/>
    <w:rsid w:val="276B56D3"/>
    <w:rsid w:val="276D7AF2"/>
    <w:rsid w:val="276E0D20"/>
    <w:rsid w:val="27703DC3"/>
    <w:rsid w:val="277A3B68"/>
    <w:rsid w:val="277B51EB"/>
    <w:rsid w:val="277B7067"/>
    <w:rsid w:val="277D5407"/>
    <w:rsid w:val="277E2C99"/>
    <w:rsid w:val="27814EF7"/>
    <w:rsid w:val="278542BB"/>
    <w:rsid w:val="27872CDC"/>
    <w:rsid w:val="278B7B24"/>
    <w:rsid w:val="278C7E6E"/>
    <w:rsid w:val="278F0C96"/>
    <w:rsid w:val="2792259F"/>
    <w:rsid w:val="279978A1"/>
    <w:rsid w:val="279A4EC5"/>
    <w:rsid w:val="279B71DA"/>
    <w:rsid w:val="279D1605"/>
    <w:rsid w:val="27A02EA3"/>
    <w:rsid w:val="27A04C51"/>
    <w:rsid w:val="27A42993"/>
    <w:rsid w:val="27A6495D"/>
    <w:rsid w:val="27A72484"/>
    <w:rsid w:val="27A91D58"/>
    <w:rsid w:val="27B5694E"/>
    <w:rsid w:val="27BA5D13"/>
    <w:rsid w:val="27BE3C67"/>
    <w:rsid w:val="27BF77CD"/>
    <w:rsid w:val="27C272BD"/>
    <w:rsid w:val="27C43035"/>
    <w:rsid w:val="27C44DE4"/>
    <w:rsid w:val="27C923FA"/>
    <w:rsid w:val="27CB43C4"/>
    <w:rsid w:val="27CE17BE"/>
    <w:rsid w:val="27D86739"/>
    <w:rsid w:val="27DA4607"/>
    <w:rsid w:val="27DC037F"/>
    <w:rsid w:val="27DD40F7"/>
    <w:rsid w:val="27E234BC"/>
    <w:rsid w:val="27E25DE6"/>
    <w:rsid w:val="27E62FAC"/>
    <w:rsid w:val="27E965F8"/>
    <w:rsid w:val="27EB2370"/>
    <w:rsid w:val="27EB6814"/>
    <w:rsid w:val="27EC14FD"/>
    <w:rsid w:val="27EE3C0E"/>
    <w:rsid w:val="27F37477"/>
    <w:rsid w:val="27F751B9"/>
    <w:rsid w:val="27FB23CD"/>
    <w:rsid w:val="27FF406E"/>
    <w:rsid w:val="27FF7BCA"/>
    <w:rsid w:val="2802334F"/>
    <w:rsid w:val="28031BCE"/>
    <w:rsid w:val="280C4F25"/>
    <w:rsid w:val="280D0539"/>
    <w:rsid w:val="28135FC7"/>
    <w:rsid w:val="28153891"/>
    <w:rsid w:val="28174CD6"/>
    <w:rsid w:val="281A4A03"/>
    <w:rsid w:val="281D44F4"/>
    <w:rsid w:val="281E2746"/>
    <w:rsid w:val="28213FE4"/>
    <w:rsid w:val="28235FAE"/>
    <w:rsid w:val="28237D5C"/>
    <w:rsid w:val="2824610E"/>
    <w:rsid w:val="28285372"/>
    <w:rsid w:val="282A2D36"/>
    <w:rsid w:val="282C4737"/>
    <w:rsid w:val="282F6F65"/>
    <w:rsid w:val="28357A8F"/>
    <w:rsid w:val="283A32F8"/>
    <w:rsid w:val="283E5C7F"/>
    <w:rsid w:val="283F446A"/>
    <w:rsid w:val="28407F43"/>
    <w:rsid w:val="284303FE"/>
    <w:rsid w:val="28485A15"/>
    <w:rsid w:val="284952E9"/>
    <w:rsid w:val="284D302B"/>
    <w:rsid w:val="284D76B0"/>
    <w:rsid w:val="284E0B51"/>
    <w:rsid w:val="28506677"/>
    <w:rsid w:val="28551EE0"/>
    <w:rsid w:val="2856314B"/>
    <w:rsid w:val="28575241"/>
    <w:rsid w:val="285E6FE6"/>
    <w:rsid w:val="28642123"/>
    <w:rsid w:val="2864476D"/>
    <w:rsid w:val="28687E65"/>
    <w:rsid w:val="286B34B1"/>
    <w:rsid w:val="286F11F3"/>
    <w:rsid w:val="28731691"/>
    <w:rsid w:val="28757E8C"/>
    <w:rsid w:val="287700A8"/>
    <w:rsid w:val="28780D72"/>
    <w:rsid w:val="287B7B98"/>
    <w:rsid w:val="287C56BE"/>
    <w:rsid w:val="28823125"/>
    <w:rsid w:val="288325A9"/>
    <w:rsid w:val="2883430C"/>
    <w:rsid w:val="28846321"/>
    <w:rsid w:val="288602EB"/>
    <w:rsid w:val="288C4F96"/>
    <w:rsid w:val="28902F18"/>
    <w:rsid w:val="289522DC"/>
    <w:rsid w:val="2899001E"/>
    <w:rsid w:val="289B3D96"/>
    <w:rsid w:val="289C366A"/>
    <w:rsid w:val="289F1401"/>
    <w:rsid w:val="28A63E40"/>
    <w:rsid w:val="28A864B3"/>
    <w:rsid w:val="28AA222B"/>
    <w:rsid w:val="28AB7D51"/>
    <w:rsid w:val="28AF4DBB"/>
    <w:rsid w:val="28B16468"/>
    <w:rsid w:val="28B74948"/>
    <w:rsid w:val="28BE5377"/>
    <w:rsid w:val="28BF330C"/>
    <w:rsid w:val="28C11F60"/>
    <w:rsid w:val="28C36E49"/>
    <w:rsid w:val="28C72DDD"/>
    <w:rsid w:val="28CB19DB"/>
    <w:rsid w:val="28D309C2"/>
    <w:rsid w:val="28D36FBE"/>
    <w:rsid w:val="28D70B46"/>
    <w:rsid w:val="28D728F5"/>
    <w:rsid w:val="28D82090"/>
    <w:rsid w:val="28D9666D"/>
    <w:rsid w:val="28DA340F"/>
    <w:rsid w:val="28DC43AF"/>
    <w:rsid w:val="28DE0127"/>
    <w:rsid w:val="28DF7DF7"/>
    <w:rsid w:val="28E03E9F"/>
    <w:rsid w:val="28E81476"/>
    <w:rsid w:val="28EA087A"/>
    <w:rsid w:val="28EA6ACC"/>
    <w:rsid w:val="28F33BD2"/>
    <w:rsid w:val="28F434A6"/>
    <w:rsid w:val="28F72F97"/>
    <w:rsid w:val="28F74D45"/>
    <w:rsid w:val="28F9286B"/>
    <w:rsid w:val="29037B8D"/>
    <w:rsid w:val="29053FDD"/>
    <w:rsid w:val="29064F88"/>
    <w:rsid w:val="290C07F0"/>
    <w:rsid w:val="290D27BA"/>
    <w:rsid w:val="29143B49"/>
    <w:rsid w:val="291C47AB"/>
    <w:rsid w:val="291D0C4F"/>
    <w:rsid w:val="291D667C"/>
    <w:rsid w:val="291E0523"/>
    <w:rsid w:val="2927387C"/>
    <w:rsid w:val="292813A2"/>
    <w:rsid w:val="29282EA6"/>
    <w:rsid w:val="292C1B1A"/>
    <w:rsid w:val="29373393"/>
    <w:rsid w:val="29477A7A"/>
    <w:rsid w:val="294C5091"/>
    <w:rsid w:val="294D3731"/>
    <w:rsid w:val="294F2FF6"/>
    <w:rsid w:val="295126A7"/>
    <w:rsid w:val="29534671"/>
    <w:rsid w:val="29542197"/>
    <w:rsid w:val="2956295F"/>
    <w:rsid w:val="295757E3"/>
    <w:rsid w:val="295773B4"/>
    <w:rsid w:val="295977AD"/>
    <w:rsid w:val="295A0AA5"/>
    <w:rsid w:val="295B1778"/>
    <w:rsid w:val="295B3526"/>
    <w:rsid w:val="295C2DFA"/>
    <w:rsid w:val="295D54F0"/>
    <w:rsid w:val="295E3016"/>
    <w:rsid w:val="295E4DC4"/>
    <w:rsid w:val="295F7C99"/>
    <w:rsid w:val="29657F00"/>
    <w:rsid w:val="29665177"/>
    <w:rsid w:val="296A3769"/>
    <w:rsid w:val="296C6B91"/>
    <w:rsid w:val="296E14AB"/>
    <w:rsid w:val="297E0FC2"/>
    <w:rsid w:val="2984482A"/>
    <w:rsid w:val="298C36DF"/>
    <w:rsid w:val="298C7710"/>
    <w:rsid w:val="298C7B83"/>
    <w:rsid w:val="298E0E4D"/>
    <w:rsid w:val="298E38FB"/>
    <w:rsid w:val="29930F11"/>
    <w:rsid w:val="2994507C"/>
    <w:rsid w:val="299B6018"/>
    <w:rsid w:val="299B7DC6"/>
    <w:rsid w:val="299D769A"/>
    <w:rsid w:val="299F1664"/>
    <w:rsid w:val="29A24CB1"/>
    <w:rsid w:val="29A46C7B"/>
    <w:rsid w:val="29AA49F5"/>
    <w:rsid w:val="29AB625B"/>
    <w:rsid w:val="29AC3D81"/>
    <w:rsid w:val="29B570DA"/>
    <w:rsid w:val="29B64C00"/>
    <w:rsid w:val="29B733F6"/>
    <w:rsid w:val="29BD6562"/>
    <w:rsid w:val="29BD7D3C"/>
    <w:rsid w:val="29C015DB"/>
    <w:rsid w:val="29C15A7E"/>
    <w:rsid w:val="29C27101"/>
    <w:rsid w:val="29C37F84"/>
    <w:rsid w:val="29C4095E"/>
    <w:rsid w:val="29C410CB"/>
    <w:rsid w:val="29C44CF4"/>
    <w:rsid w:val="29C72969"/>
    <w:rsid w:val="29C76E0D"/>
    <w:rsid w:val="29CE3CF8"/>
    <w:rsid w:val="29CE516F"/>
    <w:rsid w:val="29CE5AA6"/>
    <w:rsid w:val="29CF181E"/>
    <w:rsid w:val="29D222A8"/>
    <w:rsid w:val="29D357B2"/>
    <w:rsid w:val="29D56857"/>
    <w:rsid w:val="29D659C5"/>
    <w:rsid w:val="29D86924"/>
    <w:rsid w:val="29D919AD"/>
    <w:rsid w:val="29DA08EE"/>
    <w:rsid w:val="29DA269C"/>
    <w:rsid w:val="29DB01C2"/>
    <w:rsid w:val="29DC2957"/>
    <w:rsid w:val="29DF18FC"/>
    <w:rsid w:val="29E51041"/>
    <w:rsid w:val="29E61F3B"/>
    <w:rsid w:val="29EA3E3E"/>
    <w:rsid w:val="29F15C38"/>
    <w:rsid w:val="29F51284"/>
    <w:rsid w:val="29F714A0"/>
    <w:rsid w:val="29FA2D3E"/>
    <w:rsid w:val="29FC6AB7"/>
    <w:rsid w:val="2A040D26"/>
    <w:rsid w:val="2A04596B"/>
    <w:rsid w:val="2A094D30"/>
    <w:rsid w:val="2A0F77B2"/>
    <w:rsid w:val="2A102562"/>
    <w:rsid w:val="2A17569E"/>
    <w:rsid w:val="2A1A6F3D"/>
    <w:rsid w:val="2A1F069B"/>
    <w:rsid w:val="2A222295"/>
    <w:rsid w:val="2A292D24"/>
    <w:rsid w:val="2A2953D2"/>
    <w:rsid w:val="2A2A61BA"/>
    <w:rsid w:val="2A2B2EF8"/>
    <w:rsid w:val="2A300308"/>
    <w:rsid w:val="2A353D77"/>
    <w:rsid w:val="2A3A313B"/>
    <w:rsid w:val="2A3F5EB0"/>
    <w:rsid w:val="2A435F0E"/>
    <w:rsid w:val="2A443FBA"/>
    <w:rsid w:val="2A470BC4"/>
    <w:rsid w:val="2A4733C9"/>
    <w:rsid w:val="2A475858"/>
    <w:rsid w:val="2A4915D0"/>
    <w:rsid w:val="2A500BB0"/>
    <w:rsid w:val="2A502FEB"/>
    <w:rsid w:val="2A505BBC"/>
    <w:rsid w:val="2A50653C"/>
    <w:rsid w:val="2A522B7B"/>
    <w:rsid w:val="2A571F3F"/>
    <w:rsid w:val="2A58434E"/>
    <w:rsid w:val="2A585A8F"/>
    <w:rsid w:val="2A5C7555"/>
    <w:rsid w:val="2A5E151F"/>
    <w:rsid w:val="2A5E32CD"/>
    <w:rsid w:val="2A622692"/>
    <w:rsid w:val="2A662182"/>
    <w:rsid w:val="2A677CA8"/>
    <w:rsid w:val="2A6843C4"/>
    <w:rsid w:val="2A6A2706"/>
    <w:rsid w:val="2A6A2ACF"/>
    <w:rsid w:val="2A6A6147"/>
    <w:rsid w:val="2A6B366E"/>
    <w:rsid w:val="2A6B7798"/>
    <w:rsid w:val="2A6C52BE"/>
    <w:rsid w:val="2A71789D"/>
    <w:rsid w:val="2A7228D5"/>
    <w:rsid w:val="2A726D79"/>
    <w:rsid w:val="2A7731A7"/>
    <w:rsid w:val="2A790107"/>
    <w:rsid w:val="2A7D74CC"/>
    <w:rsid w:val="2A834AE2"/>
    <w:rsid w:val="2A8820F8"/>
    <w:rsid w:val="2A8940C2"/>
    <w:rsid w:val="2A8B3997"/>
    <w:rsid w:val="2A8D5961"/>
    <w:rsid w:val="2A9036A3"/>
    <w:rsid w:val="2A915F2E"/>
    <w:rsid w:val="2A9270B0"/>
    <w:rsid w:val="2A930A9D"/>
    <w:rsid w:val="2A992557"/>
    <w:rsid w:val="2A9D36CA"/>
    <w:rsid w:val="2AA333D6"/>
    <w:rsid w:val="2AA80E45"/>
    <w:rsid w:val="2AAA6513"/>
    <w:rsid w:val="2AAB2DC7"/>
    <w:rsid w:val="2AAE58D7"/>
    <w:rsid w:val="2AB63109"/>
    <w:rsid w:val="2ABC1DA2"/>
    <w:rsid w:val="2ABE1FBE"/>
    <w:rsid w:val="2AC05D36"/>
    <w:rsid w:val="2AC46EA9"/>
    <w:rsid w:val="2AC60E73"/>
    <w:rsid w:val="2AC70E34"/>
    <w:rsid w:val="2AC86999"/>
    <w:rsid w:val="2ACD0A78"/>
    <w:rsid w:val="2ACE1AD5"/>
    <w:rsid w:val="2AD0584D"/>
    <w:rsid w:val="2AD417E1"/>
    <w:rsid w:val="2AD4533E"/>
    <w:rsid w:val="2AD90BA6"/>
    <w:rsid w:val="2ADC41F2"/>
    <w:rsid w:val="2AE01F34"/>
    <w:rsid w:val="2AEF4E4D"/>
    <w:rsid w:val="2AF27EBA"/>
    <w:rsid w:val="2AF43C32"/>
    <w:rsid w:val="2AF4778E"/>
    <w:rsid w:val="2AF552B4"/>
    <w:rsid w:val="2AF754D0"/>
    <w:rsid w:val="2AF8625E"/>
    <w:rsid w:val="2AF9470D"/>
    <w:rsid w:val="2B02634F"/>
    <w:rsid w:val="2B0513A0"/>
    <w:rsid w:val="2B065713"/>
    <w:rsid w:val="2B0705B1"/>
    <w:rsid w:val="2B084FE7"/>
    <w:rsid w:val="2B086822"/>
    <w:rsid w:val="2B0B2D29"/>
    <w:rsid w:val="2B0C37AD"/>
    <w:rsid w:val="2B0D4CF3"/>
    <w:rsid w:val="2B116592"/>
    <w:rsid w:val="2B161A0E"/>
    <w:rsid w:val="2B1A57AD"/>
    <w:rsid w:val="2B2160A9"/>
    <w:rsid w:val="2B255B99"/>
    <w:rsid w:val="2B261911"/>
    <w:rsid w:val="2B2A7653"/>
    <w:rsid w:val="2B2B6F28"/>
    <w:rsid w:val="2B33475A"/>
    <w:rsid w:val="2B345DDC"/>
    <w:rsid w:val="2B4029D3"/>
    <w:rsid w:val="2B45623B"/>
    <w:rsid w:val="2B4A5600"/>
    <w:rsid w:val="2B4D3342"/>
    <w:rsid w:val="2B514BE0"/>
    <w:rsid w:val="2B5302F9"/>
    <w:rsid w:val="2B5D17D7"/>
    <w:rsid w:val="2B632B65"/>
    <w:rsid w:val="2B6366C1"/>
    <w:rsid w:val="2B68109E"/>
    <w:rsid w:val="2B696BA9"/>
    <w:rsid w:val="2B6C37C8"/>
    <w:rsid w:val="2B6D2330"/>
    <w:rsid w:val="2B6D7540"/>
    <w:rsid w:val="2B6E5792"/>
    <w:rsid w:val="2B77216D"/>
    <w:rsid w:val="2B786611"/>
    <w:rsid w:val="2B822FEC"/>
    <w:rsid w:val="2B836D64"/>
    <w:rsid w:val="2B85488A"/>
    <w:rsid w:val="2B8855E7"/>
    <w:rsid w:val="2B8F395A"/>
    <w:rsid w:val="2B957EC3"/>
    <w:rsid w:val="2B9952EB"/>
    <w:rsid w:val="2B9A3357"/>
    <w:rsid w:val="2B9F159F"/>
    <w:rsid w:val="2BA72A52"/>
    <w:rsid w:val="2BA74800"/>
    <w:rsid w:val="2BA86521"/>
    <w:rsid w:val="2BAB0C35"/>
    <w:rsid w:val="2BAE0B66"/>
    <w:rsid w:val="2BAE3DE1"/>
    <w:rsid w:val="2BB4516F"/>
    <w:rsid w:val="2BB46F1D"/>
    <w:rsid w:val="2BB53C62"/>
    <w:rsid w:val="2BB76C46"/>
    <w:rsid w:val="2BBB64FD"/>
    <w:rsid w:val="2BBD4024"/>
    <w:rsid w:val="2BBF5FEE"/>
    <w:rsid w:val="2BC2163A"/>
    <w:rsid w:val="2BC37160"/>
    <w:rsid w:val="2BC74EA2"/>
    <w:rsid w:val="2BC929C8"/>
    <w:rsid w:val="2BC96E6C"/>
    <w:rsid w:val="2BCA04EF"/>
    <w:rsid w:val="2BCA6741"/>
    <w:rsid w:val="2BCC1169"/>
    <w:rsid w:val="2BCC4267"/>
    <w:rsid w:val="2BD31A99"/>
    <w:rsid w:val="2BD61589"/>
    <w:rsid w:val="2BD840A4"/>
    <w:rsid w:val="2BD9277E"/>
    <w:rsid w:val="2BDB094E"/>
    <w:rsid w:val="2BDF21EC"/>
    <w:rsid w:val="2BE07D12"/>
    <w:rsid w:val="2BE23A8A"/>
    <w:rsid w:val="2BE45A54"/>
    <w:rsid w:val="2BE710A1"/>
    <w:rsid w:val="2BEB6DE3"/>
    <w:rsid w:val="2BED6BAB"/>
    <w:rsid w:val="2BEF0B9E"/>
    <w:rsid w:val="2BEF61A7"/>
    <w:rsid w:val="2BF043F9"/>
    <w:rsid w:val="2BF10171"/>
    <w:rsid w:val="2BF57C61"/>
    <w:rsid w:val="2BF81500"/>
    <w:rsid w:val="2BFC0D12"/>
    <w:rsid w:val="2BFD474A"/>
    <w:rsid w:val="2C041C52"/>
    <w:rsid w:val="2C0C4FAB"/>
    <w:rsid w:val="2C0D2CC2"/>
    <w:rsid w:val="2C0E2AD1"/>
    <w:rsid w:val="2C11611D"/>
    <w:rsid w:val="2C131E96"/>
    <w:rsid w:val="2C13426D"/>
    <w:rsid w:val="2C153E60"/>
    <w:rsid w:val="2C161986"/>
    <w:rsid w:val="2C1A3224"/>
    <w:rsid w:val="2C1C3440"/>
    <w:rsid w:val="2C1C51EE"/>
    <w:rsid w:val="2C24507B"/>
    <w:rsid w:val="2C245E51"/>
    <w:rsid w:val="2C2916B9"/>
    <w:rsid w:val="2C29790B"/>
    <w:rsid w:val="2C2E3173"/>
    <w:rsid w:val="2C332538"/>
    <w:rsid w:val="2C352789"/>
    <w:rsid w:val="2C4058A5"/>
    <w:rsid w:val="2C416A03"/>
    <w:rsid w:val="2C46226B"/>
    <w:rsid w:val="2C4B162F"/>
    <w:rsid w:val="2C4C3F30"/>
    <w:rsid w:val="2C532BDA"/>
    <w:rsid w:val="2C550700"/>
    <w:rsid w:val="2C5B55EB"/>
    <w:rsid w:val="2C5F157F"/>
    <w:rsid w:val="2C694B99"/>
    <w:rsid w:val="2C7072E8"/>
    <w:rsid w:val="2C75313C"/>
    <w:rsid w:val="2C7645CC"/>
    <w:rsid w:val="2C792640"/>
    <w:rsid w:val="2C792F4D"/>
    <w:rsid w:val="2C79468E"/>
    <w:rsid w:val="2C7C5C8D"/>
    <w:rsid w:val="2C7F6D72"/>
    <w:rsid w:val="2C830311"/>
    <w:rsid w:val="2C8965FC"/>
    <w:rsid w:val="2C8B2374"/>
    <w:rsid w:val="2C8B5ED0"/>
    <w:rsid w:val="2C8E3C12"/>
    <w:rsid w:val="2C8F0EA7"/>
    <w:rsid w:val="2C92725E"/>
    <w:rsid w:val="2C956D4E"/>
    <w:rsid w:val="2C9F197B"/>
    <w:rsid w:val="2CA70830"/>
    <w:rsid w:val="2CA84CD4"/>
    <w:rsid w:val="2CA86A82"/>
    <w:rsid w:val="2CA9068B"/>
    <w:rsid w:val="2CA945A8"/>
    <w:rsid w:val="2CAB3D48"/>
    <w:rsid w:val="2CAB6572"/>
    <w:rsid w:val="2CAC5BC5"/>
    <w:rsid w:val="2CAE1BBE"/>
    <w:rsid w:val="2CB03B88"/>
    <w:rsid w:val="2CB2345D"/>
    <w:rsid w:val="2CB73169"/>
    <w:rsid w:val="2CB82A3D"/>
    <w:rsid w:val="2CB90C8F"/>
    <w:rsid w:val="2CBB5260"/>
    <w:rsid w:val="2CBC7C58"/>
    <w:rsid w:val="2CC118F2"/>
    <w:rsid w:val="2CC413E2"/>
    <w:rsid w:val="2CC47634"/>
    <w:rsid w:val="2CC56979"/>
    <w:rsid w:val="2CCC7F97"/>
    <w:rsid w:val="2CD5539D"/>
    <w:rsid w:val="2CD57196"/>
    <w:rsid w:val="2CD86C3B"/>
    <w:rsid w:val="2CDC2BCF"/>
    <w:rsid w:val="2CDD4252"/>
    <w:rsid w:val="2CDF621C"/>
    <w:rsid w:val="2CE101E6"/>
    <w:rsid w:val="2CE41F2E"/>
    <w:rsid w:val="2CE51A84"/>
    <w:rsid w:val="2CE81574"/>
    <w:rsid w:val="2CE974BF"/>
    <w:rsid w:val="2CEA52EC"/>
    <w:rsid w:val="2CED0939"/>
    <w:rsid w:val="2CEF46B1"/>
    <w:rsid w:val="2CF241A1"/>
    <w:rsid w:val="2CF47F19"/>
    <w:rsid w:val="2CF94F11"/>
    <w:rsid w:val="2CFA3055"/>
    <w:rsid w:val="2CFA4E04"/>
    <w:rsid w:val="2CFE66A2"/>
    <w:rsid w:val="2CFF066C"/>
    <w:rsid w:val="2D012636"/>
    <w:rsid w:val="2D03015C"/>
    <w:rsid w:val="2D031F0A"/>
    <w:rsid w:val="2D0839C4"/>
    <w:rsid w:val="2D0A773C"/>
    <w:rsid w:val="2D0B13C9"/>
    <w:rsid w:val="2D0B5263"/>
    <w:rsid w:val="2D102879"/>
    <w:rsid w:val="2D12214D"/>
    <w:rsid w:val="2D140E5E"/>
    <w:rsid w:val="2D1759B5"/>
    <w:rsid w:val="2D1934DC"/>
    <w:rsid w:val="2D1B5C2C"/>
    <w:rsid w:val="2D1C121E"/>
    <w:rsid w:val="2D1C2FCC"/>
    <w:rsid w:val="2D1E4F96"/>
    <w:rsid w:val="2D2105E2"/>
    <w:rsid w:val="2D212671"/>
    <w:rsid w:val="2D214A86"/>
    <w:rsid w:val="2D241F6F"/>
    <w:rsid w:val="2D297497"/>
    <w:rsid w:val="2D2D51D9"/>
    <w:rsid w:val="2D320A41"/>
    <w:rsid w:val="2D3447B9"/>
    <w:rsid w:val="2D35408E"/>
    <w:rsid w:val="2D3703E5"/>
    <w:rsid w:val="2D377E06"/>
    <w:rsid w:val="2D3A44A6"/>
    <w:rsid w:val="2D3B78F6"/>
    <w:rsid w:val="2D3F7BCD"/>
    <w:rsid w:val="2D401748"/>
    <w:rsid w:val="2D482013"/>
    <w:rsid w:val="2D48295C"/>
    <w:rsid w:val="2D4A5D8B"/>
    <w:rsid w:val="2D4D0983"/>
    <w:rsid w:val="2D546C0A"/>
    <w:rsid w:val="2D5704A8"/>
    <w:rsid w:val="2D595FCE"/>
    <w:rsid w:val="2D5B1D46"/>
    <w:rsid w:val="2D5B36F4"/>
    <w:rsid w:val="2D5B7F98"/>
    <w:rsid w:val="2D5C5ABE"/>
    <w:rsid w:val="2D5D6739"/>
    <w:rsid w:val="2D60068C"/>
    <w:rsid w:val="2D614E83"/>
    <w:rsid w:val="2D630BFB"/>
    <w:rsid w:val="2D652BC5"/>
    <w:rsid w:val="2D656721"/>
    <w:rsid w:val="2D6706EB"/>
    <w:rsid w:val="2D6E3085"/>
    <w:rsid w:val="2D74105A"/>
    <w:rsid w:val="2D756F06"/>
    <w:rsid w:val="2D7626DC"/>
    <w:rsid w:val="2D7828F8"/>
    <w:rsid w:val="2D7A3A3A"/>
    <w:rsid w:val="2D7B4196"/>
    <w:rsid w:val="2D8017AD"/>
    <w:rsid w:val="2D8F5E37"/>
    <w:rsid w:val="2D92328E"/>
    <w:rsid w:val="2D9D410D"/>
    <w:rsid w:val="2DA03BFD"/>
    <w:rsid w:val="2DA07759"/>
    <w:rsid w:val="2DA57465"/>
    <w:rsid w:val="2DA92EA3"/>
    <w:rsid w:val="2DAE631A"/>
    <w:rsid w:val="2DAF3E40"/>
    <w:rsid w:val="2DB17BB8"/>
    <w:rsid w:val="2DB45021"/>
    <w:rsid w:val="2DB57BAF"/>
    <w:rsid w:val="2DB72CF5"/>
    <w:rsid w:val="2DB979F9"/>
    <w:rsid w:val="2DBA6ABB"/>
    <w:rsid w:val="2DBB4593"/>
    <w:rsid w:val="2DBD655D"/>
    <w:rsid w:val="2DC618FC"/>
    <w:rsid w:val="2DC86CB0"/>
    <w:rsid w:val="2DC93154"/>
    <w:rsid w:val="2DD35D80"/>
    <w:rsid w:val="2DDB2E87"/>
    <w:rsid w:val="2DDB4C35"/>
    <w:rsid w:val="2DDD13C6"/>
    <w:rsid w:val="2DDE357F"/>
    <w:rsid w:val="2DDF2977"/>
    <w:rsid w:val="2DE35CC7"/>
    <w:rsid w:val="2DE47F8D"/>
    <w:rsid w:val="2DE53D06"/>
    <w:rsid w:val="2DE73F83"/>
    <w:rsid w:val="2DE75388"/>
    <w:rsid w:val="2DEA4E78"/>
    <w:rsid w:val="2DED6716"/>
    <w:rsid w:val="2DEE0B8D"/>
    <w:rsid w:val="2DF2432C"/>
    <w:rsid w:val="2DF857E7"/>
    <w:rsid w:val="2DF87595"/>
    <w:rsid w:val="2DFA155F"/>
    <w:rsid w:val="2DFA568F"/>
    <w:rsid w:val="2DFB52D7"/>
    <w:rsid w:val="2E0028ED"/>
    <w:rsid w:val="2E0221C2"/>
    <w:rsid w:val="2E0A551A"/>
    <w:rsid w:val="2E0C3040"/>
    <w:rsid w:val="2E141EF5"/>
    <w:rsid w:val="2E175D80"/>
    <w:rsid w:val="2E183793"/>
    <w:rsid w:val="2E190DDE"/>
    <w:rsid w:val="2E1D6FFC"/>
    <w:rsid w:val="2E1E169D"/>
    <w:rsid w:val="2E1F0FC6"/>
    <w:rsid w:val="2E24038A"/>
    <w:rsid w:val="2E254102"/>
    <w:rsid w:val="2E271C28"/>
    <w:rsid w:val="2E2760CC"/>
    <w:rsid w:val="2E277E7A"/>
    <w:rsid w:val="2E2A34C6"/>
    <w:rsid w:val="2E2A55F7"/>
    <w:rsid w:val="2E2C36E3"/>
    <w:rsid w:val="2E2F6D2F"/>
    <w:rsid w:val="2E3118D8"/>
    <w:rsid w:val="2E343932"/>
    <w:rsid w:val="2E376E42"/>
    <w:rsid w:val="2E385BE3"/>
    <w:rsid w:val="2E4140F1"/>
    <w:rsid w:val="2E440A2C"/>
    <w:rsid w:val="2E4564F4"/>
    <w:rsid w:val="2E456552"/>
    <w:rsid w:val="2E4A5917"/>
    <w:rsid w:val="2E4C2B0D"/>
    <w:rsid w:val="2E4F2177"/>
    <w:rsid w:val="2E505623"/>
    <w:rsid w:val="2E52321D"/>
    <w:rsid w:val="2E530C6F"/>
    <w:rsid w:val="2E5336C9"/>
    <w:rsid w:val="2E536EC1"/>
    <w:rsid w:val="2E5642BC"/>
    <w:rsid w:val="2E580034"/>
    <w:rsid w:val="2E5A0250"/>
    <w:rsid w:val="2E5A0537"/>
    <w:rsid w:val="2E5A3DAC"/>
    <w:rsid w:val="2E5B7B24"/>
    <w:rsid w:val="2E5C5D76"/>
    <w:rsid w:val="2E5F4906"/>
    <w:rsid w:val="2E620EB2"/>
    <w:rsid w:val="2E625356"/>
    <w:rsid w:val="2E666BF4"/>
    <w:rsid w:val="2E6C1D31"/>
    <w:rsid w:val="2E6D7F83"/>
    <w:rsid w:val="2E701821"/>
    <w:rsid w:val="2E704C40"/>
    <w:rsid w:val="2E76495E"/>
    <w:rsid w:val="2E764C99"/>
    <w:rsid w:val="2E7806D6"/>
    <w:rsid w:val="2E786928"/>
    <w:rsid w:val="2E7A444E"/>
    <w:rsid w:val="2E7C61BE"/>
    <w:rsid w:val="2E7C6DB5"/>
    <w:rsid w:val="2E7D06D3"/>
    <w:rsid w:val="2E870919"/>
    <w:rsid w:val="2E8C5F2F"/>
    <w:rsid w:val="2E8E7EF9"/>
    <w:rsid w:val="2E903C71"/>
    <w:rsid w:val="2E920577"/>
    <w:rsid w:val="2E935510"/>
    <w:rsid w:val="2E951288"/>
    <w:rsid w:val="2E9F3EB4"/>
    <w:rsid w:val="2EA43279"/>
    <w:rsid w:val="2EA9088F"/>
    <w:rsid w:val="2EAD4823"/>
    <w:rsid w:val="2EB21298"/>
    <w:rsid w:val="2EB21E3A"/>
    <w:rsid w:val="2EB57234"/>
    <w:rsid w:val="2EBA6870"/>
    <w:rsid w:val="2EBB78BE"/>
    <w:rsid w:val="2EBF00B3"/>
    <w:rsid w:val="2EC41B6D"/>
    <w:rsid w:val="2ECD27D0"/>
    <w:rsid w:val="2ECF44CB"/>
    <w:rsid w:val="2ED022C0"/>
    <w:rsid w:val="2ED26038"/>
    <w:rsid w:val="2ED27DE6"/>
    <w:rsid w:val="2ED51684"/>
    <w:rsid w:val="2EDC0C65"/>
    <w:rsid w:val="2EDE3B95"/>
    <w:rsid w:val="2EDF2503"/>
    <w:rsid w:val="2EE47B19"/>
    <w:rsid w:val="2EEE2746"/>
    <w:rsid w:val="2EF02962"/>
    <w:rsid w:val="2EF10397"/>
    <w:rsid w:val="2EF53AD4"/>
    <w:rsid w:val="2F032695"/>
    <w:rsid w:val="2F041F69"/>
    <w:rsid w:val="2F0476B2"/>
    <w:rsid w:val="2F063F34"/>
    <w:rsid w:val="2F083808"/>
    <w:rsid w:val="2F0B154A"/>
    <w:rsid w:val="2F0B211E"/>
    <w:rsid w:val="2F0C3E0F"/>
    <w:rsid w:val="2F0D7070"/>
    <w:rsid w:val="2F1018EA"/>
    <w:rsid w:val="2F120B2A"/>
    <w:rsid w:val="2F176141"/>
    <w:rsid w:val="2F1C5505"/>
    <w:rsid w:val="2F1D760E"/>
    <w:rsid w:val="2F1E302B"/>
    <w:rsid w:val="2F261EE0"/>
    <w:rsid w:val="2F274DD0"/>
    <w:rsid w:val="2F2820FC"/>
    <w:rsid w:val="2F285C58"/>
    <w:rsid w:val="2F2A7C22"/>
    <w:rsid w:val="2F2B399A"/>
    <w:rsid w:val="2F2F5238"/>
    <w:rsid w:val="2F300FB0"/>
    <w:rsid w:val="2F320885"/>
    <w:rsid w:val="2F350375"/>
    <w:rsid w:val="2F364819"/>
    <w:rsid w:val="2F3B1E2F"/>
    <w:rsid w:val="2F43624E"/>
    <w:rsid w:val="2F46399F"/>
    <w:rsid w:val="2F4B7B98"/>
    <w:rsid w:val="2F560A17"/>
    <w:rsid w:val="2F580725"/>
    <w:rsid w:val="2F5A7DDB"/>
    <w:rsid w:val="2F603644"/>
    <w:rsid w:val="2F672A78"/>
    <w:rsid w:val="2F745341"/>
    <w:rsid w:val="2F776BDF"/>
    <w:rsid w:val="2F794705"/>
    <w:rsid w:val="2F7964B4"/>
    <w:rsid w:val="2F7C5FA4"/>
    <w:rsid w:val="2F7D2448"/>
    <w:rsid w:val="2F7E7F6E"/>
    <w:rsid w:val="2F7F2AA0"/>
    <w:rsid w:val="2F833124"/>
    <w:rsid w:val="2F8337D6"/>
    <w:rsid w:val="2F880DEC"/>
    <w:rsid w:val="2F8A6913"/>
    <w:rsid w:val="2F8D01B1"/>
    <w:rsid w:val="2F8D6403"/>
    <w:rsid w:val="2F917175"/>
    <w:rsid w:val="2F93220A"/>
    <w:rsid w:val="2F967065"/>
    <w:rsid w:val="2F976C21"/>
    <w:rsid w:val="2F9851E3"/>
    <w:rsid w:val="2F997048"/>
    <w:rsid w:val="2F9B0B20"/>
    <w:rsid w:val="2F9B467C"/>
    <w:rsid w:val="2F9F2EBA"/>
    <w:rsid w:val="2FA02C09"/>
    <w:rsid w:val="2FA33530"/>
    <w:rsid w:val="2FAA7CE5"/>
    <w:rsid w:val="2FAC6889"/>
    <w:rsid w:val="2FAD2601"/>
    <w:rsid w:val="2FB120F1"/>
    <w:rsid w:val="2FB4573E"/>
    <w:rsid w:val="2FB614B6"/>
    <w:rsid w:val="2FB7522E"/>
    <w:rsid w:val="2FB76FDC"/>
    <w:rsid w:val="2FC11C09"/>
    <w:rsid w:val="2FC260AC"/>
    <w:rsid w:val="2FC47CD4"/>
    <w:rsid w:val="2FC55B9D"/>
    <w:rsid w:val="2FC73729"/>
    <w:rsid w:val="2FC811E9"/>
    <w:rsid w:val="2FC8743B"/>
    <w:rsid w:val="2FD14541"/>
    <w:rsid w:val="2FD45DE0"/>
    <w:rsid w:val="2FD933F6"/>
    <w:rsid w:val="2FDB0F1C"/>
    <w:rsid w:val="2FDB716E"/>
    <w:rsid w:val="2FDE27BA"/>
    <w:rsid w:val="2FE36023"/>
    <w:rsid w:val="2FE853E7"/>
    <w:rsid w:val="2FEA5603"/>
    <w:rsid w:val="2FED0C50"/>
    <w:rsid w:val="2FED26A0"/>
    <w:rsid w:val="2FEF2C1A"/>
    <w:rsid w:val="2FF50E32"/>
    <w:rsid w:val="2FF7387C"/>
    <w:rsid w:val="2FF975F4"/>
    <w:rsid w:val="2FFC0D05"/>
    <w:rsid w:val="300206D5"/>
    <w:rsid w:val="300246FB"/>
    <w:rsid w:val="300B73F6"/>
    <w:rsid w:val="300C37CC"/>
    <w:rsid w:val="300F6E18"/>
    <w:rsid w:val="3014442E"/>
    <w:rsid w:val="301B3A0F"/>
    <w:rsid w:val="301B57BD"/>
    <w:rsid w:val="301B756B"/>
    <w:rsid w:val="301D32E3"/>
    <w:rsid w:val="30201103"/>
    <w:rsid w:val="302100FF"/>
    <w:rsid w:val="30240B15"/>
    <w:rsid w:val="302527A4"/>
    <w:rsid w:val="30257F10"/>
    <w:rsid w:val="302B59D4"/>
    <w:rsid w:val="302C1778"/>
    <w:rsid w:val="302C5C1C"/>
    <w:rsid w:val="302C7740"/>
    <w:rsid w:val="303074BA"/>
    <w:rsid w:val="303B2136"/>
    <w:rsid w:val="303B5E5F"/>
    <w:rsid w:val="303D7627"/>
    <w:rsid w:val="303F594F"/>
    <w:rsid w:val="30405223"/>
    <w:rsid w:val="304170CB"/>
    <w:rsid w:val="30442F65"/>
    <w:rsid w:val="30444D13"/>
    <w:rsid w:val="30446AC1"/>
    <w:rsid w:val="3045283A"/>
    <w:rsid w:val="30470360"/>
    <w:rsid w:val="304A60A2"/>
    <w:rsid w:val="30550CCF"/>
    <w:rsid w:val="305667F5"/>
    <w:rsid w:val="305B3E0B"/>
    <w:rsid w:val="3062163D"/>
    <w:rsid w:val="30623321"/>
    <w:rsid w:val="30623DE4"/>
    <w:rsid w:val="30685202"/>
    <w:rsid w:val="306C6018"/>
    <w:rsid w:val="30731155"/>
    <w:rsid w:val="30741FB4"/>
    <w:rsid w:val="30755662"/>
    <w:rsid w:val="30766E97"/>
    <w:rsid w:val="30846656"/>
    <w:rsid w:val="3086532C"/>
    <w:rsid w:val="3089052D"/>
    <w:rsid w:val="308A43D0"/>
    <w:rsid w:val="308B70BE"/>
    <w:rsid w:val="309015AF"/>
    <w:rsid w:val="309317F7"/>
    <w:rsid w:val="30974EC3"/>
    <w:rsid w:val="30983B9C"/>
    <w:rsid w:val="309A5723"/>
    <w:rsid w:val="309A5F10"/>
    <w:rsid w:val="309C1A0D"/>
    <w:rsid w:val="309F019C"/>
    <w:rsid w:val="30A13F14"/>
    <w:rsid w:val="30A25EDE"/>
    <w:rsid w:val="30A27C8C"/>
    <w:rsid w:val="30A47560"/>
    <w:rsid w:val="30A6777C"/>
    <w:rsid w:val="30A9726C"/>
    <w:rsid w:val="30B04157"/>
    <w:rsid w:val="30B139AA"/>
    <w:rsid w:val="30B26121"/>
    <w:rsid w:val="30B33C47"/>
    <w:rsid w:val="30B55C11"/>
    <w:rsid w:val="30B80CAC"/>
    <w:rsid w:val="30C108CE"/>
    <w:rsid w:val="30C220DC"/>
    <w:rsid w:val="30C61BCC"/>
    <w:rsid w:val="30C776F3"/>
    <w:rsid w:val="30C96FC7"/>
    <w:rsid w:val="30CD2F5B"/>
    <w:rsid w:val="30CE282F"/>
    <w:rsid w:val="30D86B55"/>
    <w:rsid w:val="30DC13F0"/>
    <w:rsid w:val="30E47124"/>
    <w:rsid w:val="30E65DCB"/>
    <w:rsid w:val="30E738F1"/>
    <w:rsid w:val="30E91417"/>
    <w:rsid w:val="30E97669"/>
    <w:rsid w:val="30ED53AB"/>
    <w:rsid w:val="30F142F0"/>
    <w:rsid w:val="30F304E8"/>
    <w:rsid w:val="30F46739"/>
    <w:rsid w:val="30F53DBD"/>
    <w:rsid w:val="30FA3624"/>
    <w:rsid w:val="30FD5F50"/>
    <w:rsid w:val="30FF6E8C"/>
    <w:rsid w:val="31010E56"/>
    <w:rsid w:val="31046251"/>
    <w:rsid w:val="31085D41"/>
    <w:rsid w:val="311428B2"/>
    <w:rsid w:val="311A20BE"/>
    <w:rsid w:val="311E5564"/>
    <w:rsid w:val="31201969"/>
    <w:rsid w:val="312106D4"/>
    <w:rsid w:val="31224929"/>
    <w:rsid w:val="3123652A"/>
    <w:rsid w:val="3123750E"/>
    <w:rsid w:val="312A215B"/>
    <w:rsid w:val="312D1C4B"/>
    <w:rsid w:val="312D57A8"/>
    <w:rsid w:val="31321010"/>
    <w:rsid w:val="31350B00"/>
    <w:rsid w:val="3135465C"/>
    <w:rsid w:val="31376626"/>
    <w:rsid w:val="3138414C"/>
    <w:rsid w:val="313A6116"/>
    <w:rsid w:val="313F3E12"/>
    <w:rsid w:val="31413001"/>
    <w:rsid w:val="31434FCB"/>
    <w:rsid w:val="3143726F"/>
    <w:rsid w:val="31464ABB"/>
    <w:rsid w:val="31466869"/>
    <w:rsid w:val="314825E1"/>
    <w:rsid w:val="314E571E"/>
    <w:rsid w:val="3150593A"/>
    <w:rsid w:val="3159659D"/>
    <w:rsid w:val="315B5608"/>
    <w:rsid w:val="315C608D"/>
    <w:rsid w:val="31603761"/>
    <w:rsid w:val="31647A1E"/>
    <w:rsid w:val="3166245B"/>
    <w:rsid w:val="316D2048"/>
    <w:rsid w:val="31700A79"/>
    <w:rsid w:val="31723B02"/>
    <w:rsid w:val="31784BB8"/>
    <w:rsid w:val="317D4577"/>
    <w:rsid w:val="317E5771"/>
    <w:rsid w:val="317F0E37"/>
    <w:rsid w:val="31817793"/>
    <w:rsid w:val="31857392"/>
    <w:rsid w:val="31881D10"/>
    <w:rsid w:val="318B4309"/>
    <w:rsid w:val="318F6462"/>
    <w:rsid w:val="319A0963"/>
    <w:rsid w:val="319C0B7F"/>
    <w:rsid w:val="31A16195"/>
    <w:rsid w:val="31A517E2"/>
    <w:rsid w:val="31A5314A"/>
    <w:rsid w:val="31AB7B22"/>
    <w:rsid w:val="31AE4DFC"/>
    <w:rsid w:val="31AF3D3F"/>
    <w:rsid w:val="31B732C3"/>
    <w:rsid w:val="31B859B9"/>
    <w:rsid w:val="31B934DF"/>
    <w:rsid w:val="31BB1005"/>
    <w:rsid w:val="31BB12CA"/>
    <w:rsid w:val="31BC4D7D"/>
    <w:rsid w:val="31BD2FCF"/>
    <w:rsid w:val="31C003CA"/>
    <w:rsid w:val="31C0486E"/>
    <w:rsid w:val="31C205E6"/>
    <w:rsid w:val="31C3435E"/>
    <w:rsid w:val="31C36CF8"/>
    <w:rsid w:val="31C4449A"/>
    <w:rsid w:val="31C62983"/>
    <w:rsid w:val="31C854D0"/>
    <w:rsid w:val="31C94210"/>
    <w:rsid w:val="31CB6BCB"/>
    <w:rsid w:val="31D1650A"/>
    <w:rsid w:val="31D16A7B"/>
    <w:rsid w:val="31D413BE"/>
    <w:rsid w:val="31D5284E"/>
    <w:rsid w:val="31D616B2"/>
    <w:rsid w:val="31D92BDB"/>
    <w:rsid w:val="31E0281A"/>
    <w:rsid w:val="31E247E4"/>
    <w:rsid w:val="31E3055C"/>
    <w:rsid w:val="31E7004C"/>
    <w:rsid w:val="31F91B2E"/>
    <w:rsid w:val="31FC33CC"/>
    <w:rsid w:val="31FF1567"/>
    <w:rsid w:val="31FF437A"/>
    <w:rsid w:val="3203475A"/>
    <w:rsid w:val="320501EC"/>
    <w:rsid w:val="320756DD"/>
    <w:rsid w:val="320944A7"/>
    <w:rsid w:val="320D2B61"/>
    <w:rsid w:val="320F1351"/>
    <w:rsid w:val="320F28B0"/>
    <w:rsid w:val="32116E77"/>
    <w:rsid w:val="32140715"/>
    <w:rsid w:val="32180050"/>
    <w:rsid w:val="321B1AA4"/>
    <w:rsid w:val="321E1594"/>
    <w:rsid w:val="32250B75"/>
    <w:rsid w:val="3229553B"/>
    <w:rsid w:val="322A1CE7"/>
    <w:rsid w:val="322B5D49"/>
    <w:rsid w:val="32326DEE"/>
    <w:rsid w:val="32335040"/>
    <w:rsid w:val="32356A97"/>
    <w:rsid w:val="323A4620"/>
    <w:rsid w:val="323B5CA2"/>
    <w:rsid w:val="323C5A5D"/>
    <w:rsid w:val="323C7DCD"/>
    <w:rsid w:val="32430FFB"/>
    <w:rsid w:val="324A05DB"/>
    <w:rsid w:val="324C6101"/>
    <w:rsid w:val="324E1E79"/>
    <w:rsid w:val="324F79A0"/>
    <w:rsid w:val="3251196A"/>
    <w:rsid w:val="325154C6"/>
    <w:rsid w:val="32582CF8"/>
    <w:rsid w:val="32584AA6"/>
    <w:rsid w:val="325B4596"/>
    <w:rsid w:val="326571C3"/>
    <w:rsid w:val="32677589"/>
    <w:rsid w:val="326A2A2B"/>
    <w:rsid w:val="326A47D9"/>
    <w:rsid w:val="326C1E5D"/>
    <w:rsid w:val="326E42CA"/>
    <w:rsid w:val="32700042"/>
    <w:rsid w:val="32717916"/>
    <w:rsid w:val="32755658"/>
    <w:rsid w:val="32780143"/>
    <w:rsid w:val="327A2C6E"/>
    <w:rsid w:val="327A42BE"/>
    <w:rsid w:val="327F2033"/>
    <w:rsid w:val="32807B59"/>
    <w:rsid w:val="3284589B"/>
    <w:rsid w:val="328A09D8"/>
    <w:rsid w:val="32931F82"/>
    <w:rsid w:val="3296737C"/>
    <w:rsid w:val="32994EA0"/>
    <w:rsid w:val="329B0E37"/>
    <w:rsid w:val="32A001FB"/>
    <w:rsid w:val="32A25D21"/>
    <w:rsid w:val="32A61CB5"/>
    <w:rsid w:val="32AE0B6A"/>
    <w:rsid w:val="32B05ACE"/>
    <w:rsid w:val="32B128D9"/>
    <w:rsid w:val="32B31CDC"/>
    <w:rsid w:val="32B36180"/>
    <w:rsid w:val="32B40693"/>
    <w:rsid w:val="32B759A1"/>
    <w:rsid w:val="32B75C71"/>
    <w:rsid w:val="32B85545"/>
    <w:rsid w:val="32BD2C24"/>
    <w:rsid w:val="32BE744E"/>
    <w:rsid w:val="32BF4B25"/>
    <w:rsid w:val="32C24615"/>
    <w:rsid w:val="32C43EEA"/>
    <w:rsid w:val="32C75788"/>
    <w:rsid w:val="32CB171C"/>
    <w:rsid w:val="32D16607"/>
    <w:rsid w:val="32D3412D"/>
    <w:rsid w:val="32D560F7"/>
    <w:rsid w:val="32D571A3"/>
    <w:rsid w:val="32D67C67"/>
    <w:rsid w:val="32D81743"/>
    <w:rsid w:val="32D87995"/>
    <w:rsid w:val="32DD144F"/>
    <w:rsid w:val="32E20814"/>
    <w:rsid w:val="32E77BD8"/>
    <w:rsid w:val="32EA7AB2"/>
    <w:rsid w:val="32EE0F67"/>
    <w:rsid w:val="32F04CDF"/>
    <w:rsid w:val="32F32A3D"/>
    <w:rsid w:val="32F347CF"/>
    <w:rsid w:val="32F36623"/>
    <w:rsid w:val="32F440A4"/>
    <w:rsid w:val="32F50547"/>
    <w:rsid w:val="32F83B93"/>
    <w:rsid w:val="32FB17B4"/>
    <w:rsid w:val="32FD22FD"/>
    <w:rsid w:val="32FE0260"/>
    <w:rsid w:val="33010C9A"/>
    <w:rsid w:val="3304078A"/>
    <w:rsid w:val="330469DC"/>
    <w:rsid w:val="330B1B18"/>
    <w:rsid w:val="330B7D6A"/>
    <w:rsid w:val="330C5891"/>
    <w:rsid w:val="330C763F"/>
    <w:rsid w:val="330D3AE3"/>
    <w:rsid w:val="330E1609"/>
    <w:rsid w:val="331309CD"/>
    <w:rsid w:val="331A65AF"/>
    <w:rsid w:val="331C3D26"/>
    <w:rsid w:val="331F3816"/>
    <w:rsid w:val="332143CC"/>
    <w:rsid w:val="33240E2C"/>
    <w:rsid w:val="33296443"/>
    <w:rsid w:val="33353039"/>
    <w:rsid w:val="33354DE7"/>
    <w:rsid w:val="333746BC"/>
    <w:rsid w:val="33381756"/>
    <w:rsid w:val="333A23FE"/>
    <w:rsid w:val="33437504"/>
    <w:rsid w:val="3344327C"/>
    <w:rsid w:val="33447CF9"/>
    <w:rsid w:val="33460DA3"/>
    <w:rsid w:val="334A7763"/>
    <w:rsid w:val="334B460B"/>
    <w:rsid w:val="334E5EA9"/>
    <w:rsid w:val="334E7C57"/>
    <w:rsid w:val="335039CF"/>
    <w:rsid w:val="335334BF"/>
    <w:rsid w:val="3353526D"/>
    <w:rsid w:val="33590AD6"/>
    <w:rsid w:val="335A65FC"/>
    <w:rsid w:val="335C05C6"/>
    <w:rsid w:val="335E1684"/>
    <w:rsid w:val="335E60EC"/>
    <w:rsid w:val="336254B1"/>
    <w:rsid w:val="33641229"/>
    <w:rsid w:val="33677B8F"/>
    <w:rsid w:val="33694A91"/>
    <w:rsid w:val="3369683F"/>
    <w:rsid w:val="336A2CE3"/>
    <w:rsid w:val="336E3E55"/>
    <w:rsid w:val="33705E1F"/>
    <w:rsid w:val="33745910"/>
    <w:rsid w:val="337551E4"/>
    <w:rsid w:val="337C47C4"/>
    <w:rsid w:val="338418CB"/>
    <w:rsid w:val="338D3D76"/>
    <w:rsid w:val="339935C8"/>
    <w:rsid w:val="33997124"/>
    <w:rsid w:val="339C6C14"/>
    <w:rsid w:val="339D48C8"/>
    <w:rsid w:val="339E473B"/>
    <w:rsid w:val="33A4500D"/>
    <w:rsid w:val="33AA7583"/>
    <w:rsid w:val="33AE06F6"/>
    <w:rsid w:val="33BE20D3"/>
    <w:rsid w:val="33BE7EEE"/>
    <w:rsid w:val="33C06DA7"/>
    <w:rsid w:val="33C543BD"/>
    <w:rsid w:val="33C65A3F"/>
    <w:rsid w:val="33C70135"/>
    <w:rsid w:val="33C81968"/>
    <w:rsid w:val="33C95001"/>
    <w:rsid w:val="33CA3782"/>
    <w:rsid w:val="33CD5020"/>
    <w:rsid w:val="33CF0D98"/>
    <w:rsid w:val="33D04B10"/>
    <w:rsid w:val="33D26ADA"/>
    <w:rsid w:val="33D4015C"/>
    <w:rsid w:val="33D53ED4"/>
    <w:rsid w:val="33D64A34"/>
    <w:rsid w:val="33D75E9F"/>
    <w:rsid w:val="33D95773"/>
    <w:rsid w:val="33E11B47"/>
    <w:rsid w:val="33E365F1"/>
    <w:rsid w:val="33E660E2"/>
    <w:rsid w:val="33E701B5"/>
    <w:rsid w:val="33E81E5A"/>
    <w:rsid w:val="33EF143A"/>
    <w:rsid w:val="33F22CD8"/>
    <w:rsid w:val="33F26834"/>
    <w:rsid w:val="33FC76B3"/>
    <w:rsid w:val="33FE342B"/>
    <w:rsid w:val="33FE78CF"/>
    <w:rsid w:val="340071A3"/>
    <w:rsid w:val="34014CC9"/>
    <w:rsid w:val="34034EE6"/>
    <w:rsid w:val="340842AA"/>
    <w:rsid w:val="340A6274"/>
    <w:rsid w:val="340F73E6"/>
    <w:rsid w:val="34126ED7"/>
    <w:rsid w:val="34140EA1"/>
    <w:rsid w:val="3416085D"/>
    <w:rsid w:val="34191C89"/>
    <w:rsid w:val="34210CBB"/>
    <w:rsid w:val="342D3D10"/>
    <w:rsid w:val="342D5ABF"/>
    <w:rsid w:val="3431735D"/>
    <w:rsid w:val="34346E4D"/>
    <w:rsid w:val="34394463"/>
    <w:rsid w:val="34395261"/>
    <w:rsid w:val="343D7DFF"/>
    <w:rsid w:val="343F6D1F"/>
    <w:rsid w:val="3442156A"/>
    <w:rsid w:val="344277BC"/>
    <w:rsid w:val="34495F0D"/>
    <w:rsid w:val="344C23E9"/>
    <w:rsid w:val="34515C51"/>
    <w:rsid w:val="34525300"/>
    <w:rsid w:val="34545741"/>
    <w:rsid w:val="34592D57"/>
    <w:rsid w:val="345E722D"/>
    <w:rsid w:val="34655258"/>
    <w:rsid w:val="346A7471"/>
    <w:rsid w:val="346C2A8B"/>
    <w:rsid w:val="346F257B"/>
    <w:rsid w:val="34713BFD"/>
    <w:rsid w:val="34785525"/>
    <w:rsid w:val="34790D04"/>
    <w:rsid w:val="34827C54"/>
    <w:rsid w:val="34833930"/>
    <w:rsid w:val="34863867"/>
    <w:rsid w:val="34872CF7"/>
    <w:rsid w:val="348845FB"/>
    <w:rsid w:val="348953EB"/>
    <w:rsid w:val="348A1163"/>
    <w:rsid w:val="348A2F11"/>
    <w:rsid w:val="348E2A01"/>
    <w:rsid w:val="34990098"/>
    <w:rsid w:val="34993154"/>
    <w:rsid w:val="349D2C44"/>
    <w:rsid w:val="349F4C0E"/>
    <w:rsid w:val="34A02734"/>
    <w:rsid w:val="34A2025B"/>
    <w:rsid w:val="34A22009"/>
    <w:rsid w:val="34A87296"/>
    <w:rsid w:val="34A9783B"/>
    <w:rsid w:val="34AB35B3"/>
    <w:rsid w:val="34AF2977"/>
    <w:rsid w:val="34B306BA"/>
    <w:rsid w:val="34B561E0"/>
    <w:rsid w:val="34BA1A48"/>
    <w:rsid w:val="34BA37F6"/>
    <w:rsid w:val="34BD7C90"/>
    <w:rsid w:val="34C401D1"/>
    <w:rsid w:val="34D7310F"/>
    <w:rsid w:val="34D81ECE"/>
    <w:rsid w:val="34DB551B"/>
    <w:rsid w:val="34E316B2"/>
    <w:rsid w:val="34E41C88"/>
    <w:rsid w:val="34E72FB8"/>
    <w:rsid w:val="34E94521"/>
    <w:rsid w:val="34EC597A"/>
    <w:rsid w:val="34EE7F06"/>
    <w:rsid w:val="34F36D08"/>
    <w:rsid w:val="34F51DC6"/>
    <w:rsid w:val="34F5482E"/>
    <w:rsid w:val="34F839CE"/>
    <w:rsid w:val="34FC399A"/>
    <w:rsid w:val="34FD1935"/>
    <w:rsid w:val="34FD7B87"/>
    <w:rsid w:val="350137AB"/>
    <w:rsid w:val="35050E48"/>
    <w:rsid w:val="350925D2"/>
    <w:rsid w:val="350B5E00"/>
    <w:rsid w:val="350C1B78"/>
    <w:rsid w:val="350E3A5C"/>
    <w:rsid w:val="350E58F0"/>
    <w:rsid w:val="35102DBF"/>
    <w:rsid w:val="3511718E"/>
    <w:rsid w:val="35131158"/>
    <w:rsid w:val="351849C1"/>
    <w:rsid w:val="351D3D85"/>
    <w:rsid w:val="351F7AFD"/>
    <w:rsid w:val="352057FD"/>
    <w:rsid w:val="352073D1"/>
    <w:rsid w:val="35223149"/>
    <w:rsid w:val="35243365"/>
    <w:rsid w:val="352549E8"/>
    <w:rsid w:val="3529272A"/>
    <w:rsid w:val="352B0250"/>
    <w:rsid w:val="352E1AEE"/>
    <w:rsid w:val="352E5F92"/>
    <w:rsid w:val="352F7F42"/>
    <w:rsid w:val="35300883"/>
    <w:rsid w:val="35337105"/>
    <w:rsid w:val="35386E11"/>
    <w:rsid w:val="353A1D60"/>
    <w:rsid w:val="353A4937"/>
    <w:rsid w:val="354237EC"/>
    <w:rsid w:val="3542559A"/>
    <w:rsid w:val="35466E38"/>
    <w:rsid w:val="35494B7A"/>
    <w:rsid w:val="354B6B44"/>
    <w:rsid w:val="354F72C2"/>
    <w:rsid w:val="355157DD"/>
    <w:rsid w:val="35524794"/>
    <w:rsid w:val="35591A96"/>
    <w:rsid w:val="355E6877"/>
    <w:rsid w:val="355F7EFA"/>
    <w:rsid w:val="356674DA"/>
    <w:rsid w:val="35675000"/>
    <w:rsid w:val="356A0417"/>
    <w:rsid w:val="356D139C"/>
    <w:rsid w:val="356D4F9D"/>
    <w:rsid w:val="3570514C"/>
    <w:rsid w:val="357059DA"/>
    <w:rsid w:val="35775243"/>
    <w:rsid w:val="35777939"/>
    <w:rsid w:val="3578720D"/>
    <w:rsid w:val="357F67EE"/>
    <w:rsid w:val="35812566"/>
    <w:rsid w:val="358160D1"/>
    <w:rsid w:val="3586192A"/>
    <w:rsid w:val="358D4A67"/>
    <w:rsid w:val="358F4C83"/>
    <w:rsid w:val="358F6E87"/>
    <w:rsid w:val="35951B6D"/>
    <w:rsid w:val="359528C1"/>
    <w:rsid w:val="35956BF6"/>
    <w:rsid w:val="35986E4F"/>
    <w:rsid w:val="35A3072E"/>
    <w:rsid w:val="35A53D8B"/>
    <w:rsid w:val="35A973C7"/>
    <w:rsid w:val="35AD5109"/>
    <w:rsid w:val="35AE1D1F"/>
    <w:rsid w:val="35AF0E81"/>
    <w:rsid w:val="35B04BF9"/>
    <w:rsid w:val="35B4360A"/>
    <w:rsid w:val="35B93AAE"/>
    <w:rsid w:val="35BB6E36"/>
    <w:rsid w:val="35BC359E"/>
    <w:rsid w:val="35C67F79"/>
    <w:rsid w:val="35CB1A33"/>
    <w:rsid w:val="35CB70D1"/>
    <w:rsid w:val="35D46B3A"/>
    <w:rsid w:val="35D52E6A"/>
    <w:rsid w:val="35D5640E"/>
    <w:rsid w:val="35DA3A24"/>
    <w:rsid w:val="35E36D7D"/>
    <w:rsid w:val="35E623C9"/>
    <w:rsid w:val="35E825E5"/>
    <w:rsid w:val="35F1149A"/>
    <w:rsid w:val="35F27157"/>
    <w:rsid w:val="35F76384"/>
    <w:rsid w:val="35FC1BEC"/>
    <w:rsid w:val="360016CD"/>
    <w:rsid w:val="360016DD"/>
    <w:rsid w:val="3602502C"/>
    <w:rsid w:val="36034D29"/>
    <w:rsid w:val="360B0081"/>
    <w:rsid w:val="360D3DFA"/>
    <w:rsid w:val="360E01D9"/>
    <w:rsid w:val="360F36CE"/>
    <w:rsid w:val="36127662"/>
    <w:rsid w:val="36133BB0"/>
    <w:rsid w:val="36140CE4"/>
    <w:rsid w:val="36160F00"/>
    <w:rsid w:val="36174C78"/>
    <w:rsid w:val="3619279E"/>
    <w:rsid w:val="361A4E3E"/>
    <w:rsid w:val="361B6516"/>
    <w:rsid w:val="361C403D"/>
    <w:rsid w:val="361D6A8E"/>
    <w:rsid w:val="361E7DB5"/>
    <w:rsid w:val="362058DB"/>
    <w:rsid w:val="362353CB"/>
    <w:rsid w:val="36266C69"/>
    <w:rsid w:val="36274FEC"/>
    <w:rsid w:val="36307493"/>
    <w:rsid w:val="36315D3A"/>
    <w:rsid w:val="36370E76"/>
    <w:rsid w:val="363C648D"/>
    <w:rsid w:val="363E0457"/>
    <w:rsid w:val="36405F7D"/>
    <w:rsid w:val="36455341"/>
    <w:rsid w:val="36484E32"/>
    <w:rsid w:val="364A2958"/>
    <w:rsid w:val="364C0B13"/>
    <w:rsid w:val="364D069A"/>
    <w:rsid w:val="36513CE6"/>
    <w:rsid w:val="36525CB0"/>
    <w:rsid w:val="3656754F"/>
    <w:rsid w:val="36581519"/>
    <w:rsid w:val="3659703F"/>
    <w:rsid w:val="365A15F9"/>
    <w:rsid w:val="365D5F63"/>
    <w:rsid w:val="365D6B2F"/>
    <w:rsid w:val="36642B6C"/>
    <w:rsid w:val="36647880"/>
    <w:rsid w:val="36657792"/>
    <w:rsid w:val="366859E7"/>
    <w:rsid w:val="366C6D72"/>
    <w:rsid w:val="366D6646"/>
    <w:rsid w:val="366F6336"/>
    <w:rsid w:val="36767BF1"/>
    <w:rsid w:val="367845C1"/>
    <w:rsid w:val="36794FEB"/>
    <w:rsid w:val="367A601A"/>
    <w:rsid w:val="367F74A1"/>
    <w:rsid w:val="36820D95"/>
    <w:rsid w:val="36857E34"/>
    <w:rsid w:val="36874BEE"/>
    <w:rsid w:val="368A544A"/>
    <w:rsid w:val="368E62C3"/>
    <w:rsid w:val="368F0CB2"/>
    <w:rsid w:val="369342FF"/>
    <w:rsid w:val="36940077"/>
    <w:rsid w:val="369462C9"/>
    <w:rsid w:val="369B3F26"/>
    <w:rsid w:val="369B6B2C"/>
    <w:rsid w:val="369D33CF"/>
    <w:rsid w:val="369D517D"/>
    <w:rsid w:val="369E0EF6"/>
    <w:rsid w:val="36A03408"/>
    <w:rsid w:val="36A04C6E"/>
    <w:rsid w:val="36A14795"/>
    <w:rsid w:val="36A77DAA"/>
    <w:rsid w:val="36AA1648"/>
    <w:rsid w:val="36AA39B8"/>
    <w:rsid w:val="36AC53C0"/>
    <w:rsid w:val="36AE738B"/>
    <w:rsid w:val="36B316DA"/>
    <w:rsid w:val="36B62551"/>
    <w:rsid w:val="36B74B2C"/>
    <w:rsid w:val="36BA5D2F"/>
    <w:rsid w:val="36BD137C"/>
    <w:rsid w:val="36BE50F4"/>
    <w:rsid w:val="36BF32BE"/>
    <w:rsid w:val="36C344B8"/>
    <w:rsid w:val="36C4095C"/>
    <w:rsid w:val="36C73FA8"/>
    <w:rsid w:val="36CA5847"/>
    <w:rsid w:val="36CE17DB"/>
    <w:rsid w:val="36CF7301"/>
    <w:rsid w:val="36D27CB5"/>
    <w:rsid w:val="36D546CB"/>
    <w:rsid w:val="36D861B6"/>
    <w:rsid w:val="36D93CDC"/>
    <w:rsid w:val="36DA1F2E"/>
    <w:rsid w:val="36DB5CA6"/>
    <w:rsid w:val="36DD2B68"/>
    <w:rsid w:val="36E01FE0"/>
    <w:rsid w:val="36E25286"/>
    <w:rsid w:val="36E508D2"/>
    <w:rsid w:val="36E65E63"/>
    <w:rsid w:val="36ED1EEB"/>
    <w:rsid w:val="36ED633C"/>
    <w:rsid w:val="36EE3C2B"/>
    <w:rsid w:val="36EF34FF"/>
    <w:rsid w:val="36F11025"/>
    <w:rsid w:val="36F47456"/>
    <w:rsid w:val="36F6663C"/>
    <w:rsid w:val="36FB1EA4"/>
    <w:rsid w:val="36FC292C"/>
    <w:rsid w:val="36FE0E31"/>
    <w:rsid w:val="36FE5B80"/>
    <w:rsid w:val="3701395E"/>
    <w:rsid w:val="37034BCF"/>
    <w:rsid w:val="37052D23"/>
    <w:rsid w:val="37054AD1"/>
    <w:rsid w:val="3707395A"/>
    <w:rsid w:val="370C5E5F"/>
    <w:rsid w:val="371371EE"/>
    <w:rsid w:val="37155B10"/>
    <w:rsid w:val="37164F30"/>
    <w:rsid w:val="37180854"/>
    <w:rsid w:val="371D006C"/>
    <w:rsid w:val="37227431"/>
    <w:rsid w:val="372C6501"/>
    <w:rsid w:val="372E13CA"/>
    <w:rsid w:val="372E5DD5"/>
    <w:rsid w:val="3733163E"/>
    <w:rsid w:val="373830F8"/>
    <w:rsid w:val="373A48BE"/>
    <w:rsid w:val="373B6744"/>
    <w:rsid w:val="373D426B"/>
    <w:rsid w:val="37420939"/>
    <w:rsid w:val="37424565"/>
    <w:rsid w:val="37425D25"/>
    <w:rsid w:val="374470BC"/>
    <w:rsid w:val="374675C3"/>
    <w:rsid w:val="37474C07"/>
    <w:rsid w:val="374B6019"/>
    <w:rsid w:val="374D6BA3"/>
    <w:rsid w:val="37500442"/>
    <w:rsid w:val="3756532C"/>
    <w:rsid w:val="37575712"/>
    <w:rsid w:val="375A7F25"/>
    <w:rsid w:val="375C0B95"/>
    <w:rsid w:val="375D116C"/>
    <w:rsid w:val="37620175"/>
    <w:rsid w:val="37643EED"/>
    <w:rsid w:val="37647A49"/>
    <w:rsid w:val="37682FD3"/>
    <w:rsid w:val="37691503"/>
    <w:rsid w:val="376B0DD8"/>
    <w:rsid w:val="376D2DA2"/>
    <w:rsid w:val="37737C8C"/>
    <w:rsid w:val="37760883"/>
    <w:rsid w:val="37781747"/>
    <w:rsid w:val="37783AA1"/>
    <w:rsid w:val="377F2AD5"/>
    <w:rsid w:val="377F4883"/>
    <w:rsid w:val="37893954"/>
    <w:rsid w:val="378A0189"/>
    <w:rsid w:val="378B4801"/>
    <w:rsid w:val="378B76CC"/>
    <w:rsid w:val="378D51F2"/>
    <w:rsid w:val="379E73FF"/>
    <w:rsid w:val="37A278A0"/>
    <w:rsid w:val="37AB3982"/>
    <w:rsid w:val="37AD0841"/>
    <w:rsid w:val="37AD7642"/>
    <w:rsid w:val="37B07132"/>
    <w:rsid w:val="37B54360"/>
    <w:rsid w:val="37B564F7"/>
    <w:rsid w:val="37BA58BB"/>
    <w:rsid w:val="37BD53AB"/>
    <w:rsid w:val="37C242B9"/>
    <w:rsid w:val="37C408B8"/>
    <w:rsid w:val="37C64260"/>
    <w:rsid w:val="37D20E57"/>
    <w:rsid w:val="37D351ED"/>
    <w:rsid w:val="37D54A07"/>
    <w:rsid w:val="37D90437"/>
    <w:rsid w:val="37D97E4C"/>
    <w:rsid w:val="37DC3A83"/>
    <w:rsid w:val="37DC7F27"/>
    <w:rsid w:val="37DE77FC"/>
    <w:rsid w:val="37E03F72"/>
    <w:rsid w:val="37E312B6"/>
    <w:rsid w:val="37E33064"/>
    <w:rsid w:val="37E44AA4"/>
    <w:rsid w:val="37E46AA7"/>
    <w:rsid w:val="37E62C43"/>
    <w:rsid w:val="37E666B0"/>
    <w:rsid w:val="37EB016A"/>
    <w:rsid w:val="37EB1F18"/>
    <w:rsid w:val="37EB70CB"/>
    <w:rsid w:val="37ED3EE3"/>
    <w:rsid w:val="37F64733"/>
    <w:rsid w:val="37FB65FF"/>
    <w:rsid w:val="37FD7DBA"/>
    <w:rsid w:val="37FE7E9E"/>
    <w:rsid w:val="38042FDA"/>
    <w:rsid w:val="38045A76"/>
    <w:rsid w:val="380D1E8F"/>
    <w:rsid w:val="380E117F"/>
    <w:rsid w:val="380F3E59"/>
    <w:rsid w:val="38190834"/>
    <w:rsid w:val="381921BA"/>
    <w:rsid w:val="381D4C13"/>
    <w:rsid w:val="38211DDE"/>
    <w:rsid w:val="382316B2"/>
    <w:rsid w:val="382947EF"/>
    <w:rsid w:val="382D2E86"/>
    <w:rsid w:val="383438BF"/>
    <w:rsid w:val="38367638"/>
    <w:rsid w:val="38392C84"/>
    <w:rsid w:val="38397128"/>
    <w:rsid w:val="383C5DD6"/>
    <w:rsid w:val="383E029A"/>
    <w:rsid w:val="383E473E"/>
    <w:rsid w:val="38471845"/>
    <w:rsid w:val="3848736B"/>
    <w:rsid w:val="384D672F"/>
    <w:rsid w:val="385201EA"/>
    <w:rsid w:val="38521F98"/>
    <w:rsid w:val="38543F62"/>
    <w:rsid w:val="38563D6C"/>
    <w:rsid w:val="3857135C"/>
    <w:rsid w:val="38577975"/>
    <w:rsid w:val="385C6972"/>
    <w:rsid w:val="38657F1D"/>
    <w:rsid w:val="386E0B07"/>
    <w:rsid w:val="38740160"/>
    <w:rsid w:val="38752EFE"/>
    <w:rsid w:val="387737AC"/>
    <w:rsid w:val="38832151"/>
    <w:rsid w:val="3885236D"/>
    <w:rsid w:val="388F4F9A"/>
    <w:rsid w:val="38910D12"/>
    <w:rsid w:val="38912AC0"/>
    <w:rsid w:val="38934A8A"/>
    <w:rsid w:val="389A0BB8"/>
    <w:rsid w:val="38A50319"/>
    <w:rsid w:val="38A5656B"/>
    <w:rsid w:val="38A87E0A"/>
    <w:rsid w:val="38AA3B82"/>
    <w:rsid w:val="38AF1198"/>
    <w:rsid w:val="38B30C88"/>
    <w:rsid w:val="38B62526"/>
    <w:rsid w:val="38B82D22"/>
    <w:rsid w:val="38B8629F"/>
    <w:rsid w:val="38BB18EB"/>
    <w:rsid w:val="38BD6B23"/>
    <w:rsid w:val="38C435DA"/>
    <w:rsid w:val="38C43E25"/>
    <w:rsid w:val="38CC58A6"/>
    <w:rsid w:val="38CC5B33"/>
    <w:rsid w:val="38CF183A"/>
    <w:rsid w:val="38CF35E8"/>
    <w:rsid w:val="38D37F4B"/>
    <w:rsid w:val="38D46E50"/>
    <w:rsid w:val="38D6668F"/>
    <w:rsid w:val="38D80B0A"/>
    <w:rsid w:val="38D97FC3"/>
    <w:rsid w:val="38DC14F7"/>
    <w:rsid w:val="38E36364"/>
    <w:rsid w:val="38EE1CC0"/>
    <w:rsid w:val="38EF5A38"/>
    <w:rsid w:val="38F17A02"/>
    <w:rsid w:val="38F65019"/>
    <w:rsid w:val="38F848ED"/>
    <w:rsid w:val="38F8669B"/>
    <w:rsid w:val="38FD1F03"/>
    <w:rsid w:val="390019F4"/>
    <w:rsid w:val="39012F5F"/>
    <w:rsid w:val="39050DB8"/>
    <w:rsid w:val="39113C01"/>
    <w:rsid w:val="391A2AB5"/>
    <w:rsid w:val="391F631E"/>
    <w:rsid w:val="39225E0E"/>
    <w:rsid w:val="3925145A"/>
    <w:rsid w:val="392A0C82"/>
    <w:rsid w:val="392E47B3"/>
    <w:rsid w:val="3930052B"/>
    <w:rsid w:val="39382F3B"/>
    <w:rsid w:val="39394BC4"/>
    <w:rsid w:val="393B53E7"/>
    <w:rsid w:val="393D0552"/>
    <w:rsid w:val="393D49F6"/>
    <w:rsid w:val="3942025E"/>
    <w:rsid w:val="394750CB"/>
    <w:rsid w:val="39494261"/>
    <w:rsid w:val="394C61B4"/>
    <w:rsid w:val="394E6C03"/>
    <w:rsid w:val="395064D7"/>
    <w:rsid w:val="39513FFD"/>
    <w:rsid w:val="39535FC7"/>
    <w:rsid w:val="395A05A6"/>
    <w:rsid w:val="39602492"/>
    <w:rsid w:val="396106E4"/>
    <w:rsid w:val="39627FB8"/>
    <w:rsid w:val="396957EB"/>
    <w:rsid w:val="396B7DEA"/>
    <w:rsid w:val="396E4BAF"/>
    <w:rsid w:val="39700927"/>
    <w:rsid w:val="39706B79"/>
    <w:rsid w:val="3971644D"/>
    <w:rsid w:val="397217C8"/>
    <w:rsid w:val="397A79F8"/>
    <w:rsid w:val="397C1E1E"/>
    <w:rsid w:val="397D1296"/>
    <w:rsid w:val="397D3044"/>
    <w:rsid w:val="3983100C"/>
    <w:rsid w:val="3986014B"/>
    <w:rsid w:val="3986639D"/>
    <w:rsid w:val="398E5251"/>
    <w:rsid w:val="39902180"/>
    <w:rsid w:val="3995213C"/>
    <w:rsid w:val="399A09D4"/>
    <w:rsid w:val="399C2A22"/>
    <w:rsid w:val="399E2974"/>
    <w:rsid w:val="399E6794"/>
    <w:rsid w:val="39A131D7"/>
    <w:rsid w:val="39A46823"/>
    <w:rsid w:val="39A6259B"/>
    <w:rsid w:val="39A84565"/>
    <w:rsid w:val="39AB5E03"/>
    <w:rsid w:val="39AB7BB1"/>
    <w:rsid w:val="39AF6E3D"/>
    <w:rsid w:val="39B0341A"/>
    <w:rsid w:val="39B051C8"/>
    <w:rsid w:val="39B12CEE"/>
    <w:rsid w:val="39B90520"/>
    <w:rsid w:val="39BB78C7"/>
    <w:rsid w:val="39BF18AF"/>
    <w:rsid w:val="39BF668E"/>
    <w:rsid w:val="39C11183"/>
    <w:rsid w:val="39C42A21"/>
    <w:rsid w:val="39C62978"/>
    <w:rsid w:val="39CB2002"/>
    <w:rsid w:val="39CD5D7A"/>
    <w:rsid w:val="39CE597F"/>
    <w:rsid w:val="39D32C64"/>
    <w:rsid w:val="39D8471E"/>
    <w:rsid w:val="39D96878"/>
    <w:rsid w:val="39DC5FBD"/>
    <w:rsid w:val="39DE7F87"/>
    <w:rsid w:val="39E2749E"/>
    <w:rsid w:val="39E3559D"/>
    <w:rsid w:val="39EA2D8B"/>
    <w:rsid w:val="39EB6200"/>
    <w:rsid w:val="39ED01CA"/>
    <w:rsid w:val="39EE5CF0"/>
    <w:rsid w:val="39F257E0"/>
    <w:rsid w:val="39FE1322"/>
    <w:rsid w:val="39FF1EC0"/>
    <w:rsid w:val="3A015A23"/>
    <w:rsid w:val="3A016441"/>
    <w:rsid w:val="3A0177D1"/>
    <w:rsid w:val="3A055283"/>
    <w:rsid w:val="3A092B2A"/>
    <w:rsid w:val="3A0C143C"/>
    <w:rsid w:val="3A105C66"/>
    <w:rsid w:val="3A125E82"/>
    <w:rsid w:val="3A127C30"/>
    <w:rsid w:val="3A1439A9"/>
    <w:rsid w:val="3A145757"/>
    <w:rsid w:val="3A190FBF"/>
    <w:rsid w:val="3A1A4D37"/>
    <w:rsid w:val="3A1F40FB"/>
    <w:rsid w:val="3A231646"/>
    <w:rsid w:val="3A250E0D"/>
    <w:rsid w:val="3A26548A"/>
    <w:rsid w:val="3A266CCC"/>
    <w:rsid w:val="3A2B0CF2"/>
    <w:rsid w:val="3A2B16AE"/>
    <w:rsid w:val="3A2B484E"/>
    <w:rsid w:val="3A323E2F"/>
    <w:rsid w:val="3A32526F"/>
    <w:rsid w:val="3A3556CD"/>
    <w:rsid w:val="3A396F6B"/>
    <w:rsid w:val="3A3E0A25"/>
    <w:rsid w:val="3A414072"/>
    <w:rsid w:val="3A451DB4"/>
    <w:rsid w:val="3A4D2A17"/>
    <w:rsid w:val="3A4E3759"/>
    <w:rsid w:val="3A4F2C33"/>
    <w:rsid w:val="3A4F49E1"/>
    <w:rsid w:val="3A522C54"/>
    <w:rsid w:val="3A573895"/>
    <w:rsid w:val="3A5E4C24"/>
    <w:rsid w:val="3A663AD8"/>
    <w:rsid w:val="3A685AA2"/>
    <w:rsid w:val="3A68758F"/>
    <w:rsid w:val="3A695377"/>
    <w:rsid w:val="3A6B10EF"/>
    <w:rsid w:val="3A6C475E"/>
    <w:rsid w:val="3A6D4E67"/>
    <w:rsid w:val="3A712BA9"/>
    <w:rsid w:val="3A7368B4"/>
    <w:rsid w:val="3A744447"/>
    <w:rsid w:val="3A751F6D"/>
    <w:rsid w:val="3A763C53"/>
    <w:rsid w:val="3A766411"/>
    <w:rsid w:val="3A78116B"/>
    <w:rsid w:val="3A791A5E"/>
    <w:rsid w:val="3A7D408B"/>
    <w:rsid w:val="3A7E52C6"/>
    <w:rsid w:val="3A7E7074"/>
    <w:rsid w:val="3A810912"/>
    <w:rsid w:val="3A836438"/>
    <w:rsid w:val="3A84453E"/>
    <w:rsid w:val="3A8521B0"/>
    <w:rsid w:val="3A8601A8"/>
    <w:rsid w:val="3A8723CC"/>
    <w:rsid w:val="3A880D96"/>
    <w:rsid w:val="3A8827B8"/>
    <w:rsid w:val="3A8A3C6B"/>
    <w:rsid w:val="3A8B353F"/>
    <w:rsid w:val="3A91750A"/>
    <w:rsid w:val="3A9C574C"/>
    <w:rsid w:val="3A9C7348"/>
    <w:rsid w:val="3AA12D62"/>
    <w:rsid w:val="3AA20FB4"/>
    <w:rsid w:val="3AA41612"/>
    <w:rsid w:val="3AA45CB6"/>
    <w:rsid w:val="3AAA60BB"/>
    <w:rsid w:val="3AAB6C4F"/>
    <w:rsid w:val="3AB24F6F"/>
    <w:rsid w:val="3AB26D1E"/>
    <w:rsid w:val="3AC56A51"/>
    <w:rsid w:val="3AC76C6D"/>
    <w:rsid w:val="3AC802EF"/>
    <w:rsid w:val="3AC9755C"/>
    <w:rsid w:val="3ACD1DA9"/>
    <w:rsid w:val="3AD1189A"/>
    <w:rsid w:val="3AD4138A"/>
    <w:rsid w:val="3AD60C5E"/>
    <w:rsid w:val="3AD66EB0"/>
    <w:rsid w:val="3AD96C13"/>
    <w:rsid w:val="3ADB0022"/>
    <w:rsid w:val="3ADC3D9A"/>
    <w:rsid w:val="3AE113B1"/>
    <w:rsid w:val="3AF235BE"/>
    <w:rsid w:val="3AF42149"/>
    <w:rsid w:val="3AFB2473"/>
    <w:rsid w:val="3B00217F"/>
    <w:rsid w:val="3B003F2D"/>
    <w:rsid w:val="3B0312A1"/>
    <w:rsid w:val="3B084B8F"/>
    <w:rsid w:val="3B091033"/>
    <w:rsid w:val="3B0A4DAB"/>
    <w:rsid w:val="3B0C0B24"/>
    <w:rsid w:val="3B135A0E"/>
    <w:rsid w:val="3B16734F"/>
    <w:rsid w:val="3B167C0B"/>
    <w:rsid w:val="3B181276"/>
    <w:rsid w:val="3B1F0857"/>
    <w:rsid w:val="3B20637D"/>
    <w:rsid w:val="3B20692C"/>
    <w:rsid w:val="3B2319C9"/>
    <w:rsid w:val="3B240E97"/>
    <w:rsid w:val="3B247C1B"/>
    <w:rsid w:val="3B251BE5"/>
    <w:rsid w:val="3B255D13"/>
    <w:rsid w:val="3B27770B"/>
    <w:rsid w:val="3B374E9C"/>
    <w:rsid w:val="3B384E25"/>
    <w:rsid w:val="3B3911ED"/>
    <w:rsid w:val="3B3B6D13"/>
    <w:rsid w:val="3B3C718F"/>
    <w:rsid w:val="3B424545"/>
    <w:rsid w:val="3B4262F3"/>
    <w:rsid w:val="3B443E1A"/>
    <w:rsid w:val="3B460044"/>
    <w:rsid w:val="3B4C5C32"/>
    <w:rsid w:val="3B4C67D8"/>
    <w:rsid w:val="3B4E4C98"/>
    <w:rsid w:val="3B4F27BE"/>
    <w:rsid w:val="3B55139D"/>
    <w:rsid w:val="3B5A1C91"/>
    <w:rsid w:val="3B6B3A9C"/>
    <w:rsid w:val="3B6B584A"/>
    <w:rsid w:val="3B6E533A"/>
    <w:rsid w:val="3B6F4C0F"/>
    <w:rsid w:val="3B714E2B"/>
    <w:rsid w:val="3B716BD9"/>
    <w:rsid w:val="3B722D63"/>
    <w:rsid w:val="3B783AC3"/>
    <w:rsid w:val="3B7A783B"/>
    <w:rsid w:val="3B7F30A4"/>
    <w:rsid w:val="3B806E1C"/>
    <w:rsid w:val="3B8A07A5"/>
    <w:rsid w:val="3B910593"/>
    <w:rsid w:val="3B985F13"/>
    <w:rsid w:val="3B99523B"/>
    <w:rsid w:val="3B9C4E79"/>
    <w:rsid w:val="3B9D352A"/>
    <w:rsid w:val="3B9F54F4"/>
    <w:rsid w:val="3BA1126C"/>
    <w:rsid w:val="3BA23236"/>
    <w:rsid w:val="3BA448B8"/>
    <w:rsid w:val="3BA9378A"/>
    <w:rsid w:val="3BA945C4"/>
    <w:rsid w:val="3BA9567F"/>
    <w:rsid w:val="3BAC5E63"/>
    <w:rsid w:val="3BAE4FCF"/>
    <w:rsid w:val="3BB014AF"/>
    <w:rsid w:val="3BB0325D"/>
    <w:rsid w:val="3BB16FD5"/>
    <w:rsid w:val="3BB40E41"/>
    <w:rsid w:val="3BB4717C"/>
    <w:rsid w:val="3BB865B6"/>
    <w:rsid w:val="3BBA232E"/>
    <w:rsid w:val="3BBC42F8"/>
    <w:rsid w:val="3BBF5492"/>
    <w:rsid w:val="3BC1190E"/>
    <w:rsid w:val="3BC907C3"/>
    <w:rsid w:val="3BC91BD6"/>
    <w:rsid w:val="3BCE7B87"/>
    <w:rsid w:val="3BD76CB6"/>
    <w:rsid w:val="3BD81617"/>
    <w:rsid w:val="3BDD7DCA"/>
    <w:rsid w:val="3BE164EA"/>
    <w:rsid w:val="3BE23632"/>
    <w:rsid w:val="3BE45256"/>
    <w:rsid w:val="3BE60A52"/>
    <w:rsid w:val="3BE61128"/>
    <w:rsid w:val="3BE70C49"/>
    <w:rsid w:val="3BE86E9B"/>
    <w:rsid w:val="3BEC707E"/>
    <w:rsid w:val="3BEF3A59"/>
    <w:rsid w:val="3BF50BF3"/>
    <w:rsid w:val="3BF55114"/>
    <w:rsid w:val="3BF910A8"/>
    <w:rsid w:val="3BFE66BE"/>
    <w:rsid w:val="3C096E11"/>
    <w:rsid w:val="3C0B0DDB"/>
    <w:rsid w:val="3C0D413C"/>
    <w:rsid w:val="3C0D4B53"/>
    <w:rsid w:val="3C0D65B5"/>
    <w:rsid w:val="3C123F18"/>
    <w:rsid w:val="3C145EFF"/>
    <w:rsid w:val="3C17152E"/>
    <w:rsid w:val="3C1934F8"/>
    <w:rsid w:val="3C1A2DCC"/>
    <w:rsid w:val="3C1A7270"/>
    <w:rsid w:val="3C1C6B44"/>
    <w:rsid w:val="3C1F3E60"/>
    <w:rsid w:val="3C217EE4"/>
    <w:rsid w:val="3C2E0626"/>
    <w:rsid w:val="3C357C06"/>
    <w:rsid w:val="3C391D8E"/>
    <w:rsid w:val="3C3A521C"/>
    <w:rsid w:val="3C4147FD"/>
    <w:rsid w:val="3C4605F3"/>
    <w:rsid w:val="3C461E13"/>
    <w:rsid w:val="3C471EF3"/>
    <w:rsid w:val="3C4E0CC8"/>
    <w:rsid w:val="3C4F6F1A"/>
    <w:rsid w:val="3C502C92"/>
    <w:rsid w:val="3C5A6340"/>
    <w:rsid w:val="3C5F4C83"/>
    <w:rsid w:val="3C6109FB"/>
    <w:rsid w:val="3C6127A9"/>
    <w:rsid w:val="3C683B38"/>
    <w:rsid w:val="3C691CF2"/>
    <w:rsid w:val="3C6978B0"/>
    <w:rsid w:val="3C6A11AE"/>
    <w:rsid w:val="3C6D55F2"/>
    <w:rsid w:val="3C6E77BC"/>
    <w:rsid w:val="3C706E90"/>
    <w:rsid w:val="3C7324DC"/>
    <w:rsid w:val="3C74072E"/>
    <w:rsid w:val="3C75078B"/>
    <w:rsid w:val="3C797AF3"/>
    <w:rsid w:val="3C7B3647"/>
    <w:rsid w:val="3C805325"/>
    <w:rsid w:val="3C860462"/>
    <w:rsid w:val="3C8D17A0"/>
    <w:rsid w:val="3C8F37BA"/>
    <w:rsid w:val="3C9506A5"/>
    <w:rsid w:val="3C983B5D"/>
    <w:rsid w:val="3C9A11D3"/>
    <w:rsid w:val="3C9B3F0D"/>
    <w:rsid w:val="3CA134EE"/>
    <w:rsid w:val="3CA21500"/>
    <w:rsid w:val="3CA37266"/>
    <w:rsid w:val="3CA60B04"/>
    <w:rsid w:val="3CA8662A"/>
    <w:rsid w:val="3CAB24D0"/>
    <w:rsid w:val="3CB72D11"/>
    <w:rsid w:val="3CB7686D"/>
    <w:rsid w:val="3CBC3E83"/>
    <w:rsid w:val="3CBC5C91"/>
    <w:rsid w:val="3CBE05CE"/>
    <w:rsid w:val="3CBE19AA"/>
    <w:rsid w:val="3CBE7045"/>
    <w:rsid w:val="3CBE7BFC"/>
    <w:rsid w:val="3CC1149A"/>
    <w:rsid w:val="3CC21B20"/>
    <w:rsid w:val="3CCA02B2"/>
    <w:rsid w:val="3CCF044E"/>
    <w:rsid w:val="3CD016DD"/>
    <w:rsid w:val="3CD15B81"/>
    <w:rsid w:val="3CD1792F"/>
    <w:rsid w:val="3CD218F9"/>
    <w:rsid w:val="3CD967E3"/>
    <w:rsid w:val="3CDA57AD"/>
    <w:rsid w:val="3CDB69FF"/>
    <w:rsid w:val="3CE11114"/>
    <w:rsid w:val="3CE37662"/>
    <w:rsid w:val="3CE82ECA"/>
    <w:rsid w:val="3CED228F"/>
    <w:rsid w:val="3CF11D7F"/>
    <w:rsid w:val="3CF7310E"/>
    <w:rsid w:val="3CF772CF"/>
    <w:rsid w:val="3CF90C34"/>
    <w:rsid w:val="3CF947C0"/>
    <w:rsid w:val="3CF96E86"/>
    <w:rsid w:val="3CFB0E50"/>
    <w:rsid w:val="3CFE449C"/>
    <w:rsid w:val="3CFE624A"/>
    <w:rsid w:val="3CFF7DD1"/>
    <w:rsid w:val="3D001FC2"/>
    <w:rsid w:val="3D023F8C"/>
    <w:rsid w:val="3D037D04"/>
    <w:rsid w:val="3D05582A"/>
    <w:rsid w:val="3D0715A3"/>
    <w:rsid w:val="3D076AAE"/>
    <w:rsid w:val="3D08531B"/>
    <w:rsid w:val="3D0870C9"/>
    <w:rsid w:val="3D0F48FB"/>
    <w:rsid w:val="3D12337E"/>
    <w:rsid w:val="3D184472"/>
    <w:rsid w:val="3D1D247A"/>
    <w:rsid w:val="3D1E68EC"/>
    <w:rsid w:val="3D2263DC"/>
    <w:rsid w:val="3D233F03"/>
    <w:rsid w:val="3D2C725B"/>
    <w:rsid w:val="3D2E2FD3"/>
    <w:rsid w:val="3D347EBE"/>
    <w:rsid w:val="3D363C36"/>
    <w:rsid w:val="3D3B749E"/>
    <w:rsid w:val="3D402D06"/>
    <w:rsid w:val="3D406863"/>
    <w:rsid w:val="3D45031D"/>
    <w:rsid w:val="3D475E43"/>
    <w:rsid w:val="3D491BBB"/>
    <w:rsid w:val="3D4A2BD7"/>
    <w:rsid w:val="3D4C5F1D"/>
    <w:rsid w:val="3D516CC2"/>
    <w:rsid w:val="3D5227F9"/>
    <w:rsid w:val="3D536596"/>
    <w:rsid w:val="3D5F318D"/>
    <w:rsid w:val="3D605157"/>
    <w:rsid w:val="3D622C7D"/>
    <w:rsid w:val="3D65451B"/>
    <w:rsid w:val="3D670293"/>
    <w:rsid w:val="3D687B67"/>
    <w:rsid w:val="3D6A1B31"/>
    <w:rsid w:val="3D6A7D83"/>
    <w:rsid w:val="3D6C72B3"/>
    <w:rsid w:val="3D702C5A"/>
    <w:rsid w:val="3D712D52"/>
    <w:rsid w:val="3D7529B0"/>
    <w:rsid w:val="3D766728"/>
    <w:rsid w:val="3D7824A0"/>
    <w:rsid w:val="3D785FFC"/>
    <w:rsid w:val="3D790ED4"/>
    <w:rsid w:val="3D7A6218"/>
    <w:rsid w:val="3D7B3D3F"/>
    <w:rsid w:val="3D7B5AED"/>
    <w:rsid w:val="3D7D1865"/>
    <w:rsid w:val="3D7D7AB7"/>
    <w:rsid w:val="3D7F382F"/>
    <w:rsid w:val="3D840E45"/>
    <w:rsid w:val="3D842BF3"/>
    <w:rsid w:val="3D85696B"/>
    <w:rsid w:val="3D864BBD"/>
    <w:rsid w:val="3D874491"/>
    <w:rsid w:val="3D87623F"/>
    <w:rsid w:val="3D8A4880"/>
    <w:rsid w:val="3D8D69A3"/>
    <w:rsid w:val="3D8E65E6"/>
    <w:rsid w:val="3D932E36"/>
    <w:rsid w:val="3D960B78"/>
    <w:rsid w:val="3D9B618F"/>
    <w:rsid w:val="3D9F7A2D"/>
    <w:rsid w:val="3DA037A5"/>
    <w:rsid w:val="3DA46DF1"/>
    <w:rsid w:val="3DA803B0"/>
    <w:rsid w:val="3DB246A5"/>
    <w:rsid w:val="3DB35286"/>
    <w:rsid w:val="3DBB413B"/>
    <w:rsid w:val="3DBD7EB3"/>
    <w:rsid w:val="3DBF1E7D"/>
    <w:rsid w:val="3DC15BF5"/>
    <w:rsid w:val="3DC2371B"/>
    <w:rsid w:val="3DC6320C"/>
    <w:rsid w:val="3DC94AAA"/>
    <w:rsid w:val="3DCC6348"/>
    <w:rsid w:val="3DCD7770"/>
    <w:rsid w:val="3DD0408A"/>
    <w:rsid w:val="3DD31EFC"/>
    <w:rsid w:val="3DD376D7"/>
    <w:rsid w:val="3DD84CED"/>
    <w:rsid w:val="3DDD2303"/>
    <w:rsid w:val="3DDE0AF1"/>
    <w:rsid w:val="3DE90CA8"/>
    <w:rsid w:val="3DEC2546"/>
    <w:rsid w:val="3DEE62BF"/>
    <w:rsid w:val="3DF153E6"/>
    <w:rsid w:val="3DF15DAF"/>
    <w:rsid w:val="3DF8538F"/>
    <w:rsid w:val="3DFA2EB5"/>
    <w:rsid w:val="3DFB09DB"/>
    <w:rsid w:val="3DFD29A6"/>
    <w:rsid w:val="3E014244"/>
    <w:rsid w:val="3E02162D"/>
    <w:rsid w:val="3E06185A"/>
    <w:rsid w:val="3E071210"/>
    <w:rsid w:val="3E07248B"/>
    <w:rsid w:val="3E1201FF"/>
    <w:rsid w:val="3E1677F2"/>
    <w:rsid w:val="3E18158D"/>
    <w:rsid w:val="3E1877DF"/>
    <w:rsid w:val="3E1F0B6E"/>
    <w:rsid w:val="3E1F291C"/>
    <w:rsid w:val="3E216046"/>
    <w:rsid w:val="3E246184"/>
    <w:rsid w:val="3E2B12C1"/>
    <w:rsid w:val="3E2B306F"/>
    <w:rsid w:val="3E2E064A"/>
    <w:rsid w:val="3E2E0DB1"/>
    <w:rsid w:val="3E2E7003"/>
    <w:rsid w:val="3E330175"/>
    <w:rsid w:val="3E3626AC"/>
    <w:rsid w:val="3E416D36"/>
    <w:rsid w:val="3E435CB3"/>
    <w:rsid w:val="3E4942AA"/>
    <w:rsid w:val="3E502554"/>
    <w:rsid w:val="3E5235C3"/>
    <w:rsid w:val="3E5500EC"/>
    <w:rsid w:val="3E55633E"/>
    <w:rsid w:val="3E5716A8"/>
    <w:rsid w:val="3E587BDC"/>
    <w:rsid w:val="3E594080"/>
    <w:rsid w:val="3E5959D1"/>
    <w:rsid w:val="3E595E2E"/>
    <w:rsid w:val="3E5A3954"/>
    <w:rsid w:val="3E5C147A"/>
    <w:rsid w:val="3E5C591E"/>
    <w:rsid w:val="3E612F34"/>
    <w:rsid w:val="3E6350CC"/>
    <w:rsid w:val="3E682515"/>
    <w:rsid w:val="3E691DE9"/>
    <w:rsid w:val="3E6B623F"/>
    <w:rsid w:val="3E6E1261"/>
    <w:rsid w:val="3E6F5ADD"/>
    <w:rsid w:val="3E75078E"/>
    <w:rsid w:val="3E750F66"/>
    <w:rsid w:val="3E75253C"/>
    <w:rsid w:val="3E7964D0"/>
    <w:rsid w:val="3E7A1E9F"/>
    <w:rsid w:val="3E7A5DA4"/>
    <w:rsid w:val="3E7E5894"/>
    <w:rsid w:val="3E7F160D"/>
    <w:rsid w:val="3E810EE1"/>
    <w:rsid w:val="3E854E75"/>
    <w:rsid w:val="3E860BED"/>
    <w:rsid w:val="3E876CE6"/>
    <w:rsid w:val="3E8A248B"/>
    <w:rsid w:val="3E8E2DB7"/>
    <w:rsid w:val="3E8F1850"/>
    <w:rsid w:val="3E926441"/>
    <w:rsid w:val="3E94330A"/>
    <w:rsid w:val="3E974BA8"/>
    <w:rsid w:val="3E9A1FA2"/>
    <w:rsid w:val="3EAD617A"/>
    <w:rsid w:val="3EB07A18"/>
    <w:rsid w:val="3EB412B6"/>
    <w:rsid w:val="3EBA2645"/>
    <w:rsid w:val="3EBD7A0F"/>
    <w:rsid w:val="3EBF1A09"/>
    <w:rsid w:val="3EC62B88"/>
    <w:rsid w:val="3ECB4852"/>
    <w:rsid w:val="3ED6747E"/>
    <w:rsid w:val="3ED71449"/>
    <w:rsid w:val="3EDE4585"/>
    <w:rsid w:val="3EE17BD1"/>
    <w:rsid w:val="3EEA4CD8"/>
    <w:rsid w:val="3EED2A1A"/>
    <w:rsid w:val="3EF21DDE"/>
    <w:rsid w:val="3EF618CF"/>
    <w:rsid w:val="3EF868E3"/>
    <w:rsid w:val="3EF9316D"/>
    <w:rsid w:val="3EF94F1B"/>
    <w:rsid w:val="3EFD0EAF"/>
    <w:rsid w:val="3F025137"/>
    <w:rsid w:val="3F051B12"/>
    <w:rsid w:val="3F0A35CC"/>
    <w:rsid w:val="3F0A537A"/>
    <w:rsid w:val="3F0C10F2"/>
    <w:rsid w:val="3F0D09C6"/>
    <w:rsid w:val="3F0D4E6A"/>
    <w:rsid w:val="3F0F473E"/>
    <w:rsid w:val="3F136CC1"/>
    <w:rsid w:val="3F163D1F"/>
    <w:rsid w:val="3F1735F3"/>
    <w:rsid w:val="3F1955BD"/>
    <w:rsid w:val="3F1E0E25"/>
    <w:rsid w:val="3F20694C"/>
    <w:rsid w:val="3F2301EA"/>
    <w:rsid w:val="3F235CAB"/>
    <w:rsid w:val="3F2521B4"/>
    <w:rsid w:val="3F277DAD"/>
    <w:rsid w:val="3F285C7B"/>
    <w:rsid w:val="3F2C3542"/>
    <w:rsid w:val="3F2F08A8"/>
    <w:rsid w:val="3F32042D"/>
    <w:rsid w:val="3F346B36"/>
    <w:rsid w:val="3F3D5750"/>
    <w:rsid w:val="3F422D66"/>
    <w:rsid w:val="3F485EA2"/>
    <w:rsid w:val="3F496996"/>
    <w:rsid w:val="3F4A39C9"/>
    <w:rsid w:val="3F4A5777"/>
    <w:rsid w:val="3F4D5267"/>
    <w:rsid w:val="3F56036D"/>
    <w:rsid w:val="3F5900B0"/>
    <w:rsid w:val="3F5B3E28"/>
    <w:rsid w:val="3F5D194E"/>
    <w:rsid w:val="3F6031EC"/>
    <w:rsid w:val="3F626F64"/>
    <w:rsid w:val="3F642278"/>
    <w:rsid w:val="3F656A54"/>
    <w:rsid w:val="3F676329"/>
    <w:rsid w:val="3F6D40F6"/>
    <w:rsid w:val="3F7171A7"/>
    <w:rsid w:val="3F74620D"/>
    <w:rsid w:val="3F746D26"/>
    <w:rsid w:val="3F767786"/>
    <w:rsid w:val="3F786788"/>
    <w:rsid w:val="3F79526A"/>
    <w:rsid w:val="3F7A3AC2"/>
    <w:rsid w:val="3F7D3D9E"/>
    <w:rsid w:val="3F8073EA"/>
    <w:rsid w:val="3F830C89"/>
    <w:rsid w:val="3F841CFC"/>
    <w:rsid w:val="3F8838CF"/>
    <w:rsid w:val="3F890995"/>
    <w:rsid w:val="3F8C1CD0"/>
    <w:rsid w:val="3F8C3FE1"/>
    <w:rsid w:val="3F8E5FAB"/>
    <w:rsid w:val="3F9115F7"/>
    <w:rsid w:val="3F964E60"/>
    <w:rsid w:val="3F9904AC"/>
    <w:rsid w:val="3F9D4665"/>
    <w:rsid w:val="3FA05CDE"/>
    <w:rsid w:val="3FA07A8C"/>
    <w:rsid w:val="3FA27361"/>
    <w:rsid w:val="3FA330D9"/>
    <w:rsid w:val="3FA530A3"/>
    <w:rsid w:val="3FA56E51"/>
    <w:rsid w:val="3FAB68BC"/>
    <w:rsid w:val="3FAC38F4"/>
    <w:rsid w:val="3FB52739"/>
    <w:rsid w:val="3FBF6165"/>
    <w:rsid w:val="3FC76DC7"/>
    <w:rsid w:val="3FC90D91"/>
    <w:rsid w:val="3FC96FE3"/>
    <w:rsid w:val="3FCC262F"/>
    <w:rsid w:val="3FCF2120"/>
    <w:rsid w:val="3FCF6064"/>
    <w:rsid w:val="3FD12164"/>
    <w:rsid w:val="3FD6525C"/>
    <w:rsid w:val="3FDA0202"/>
    <w:rsid w:val="3FDA11F0"/>
    <w:rsid w:val="3FDB2873"/>
    <w:rsid w:val="3FE060DB"/>
    <w:rsid w:val="3FE212A4"/>
    <w:rsid w:val="3FE21E53"/>
    <w:rsid w:val="3FE478F9"/>
    <w:rsid w:val="3FE66D36"/>
    <w:rsid w:val="3FE77469"/>
    <w:rsid w:val="3FEC2CD2"/>
    <w:rsid w:val="3FEE25A6"/>
    <w:rsid w:val="3FF74EF0"/>
    <w:rsid w:val="3FF83425"/>
    <w:rsid w:val="3FFB0761"/>
    <w:rsid w:val="3FFB4CC3"/>
    <w:rsid w:val="3FFF4F2D"/>
    <w:rsid w:val="40026051"/>
    <w:rsid w:val="400B31BF"/>
    <w:rsid w:val="401527BC"/>
    <w:rsid w:val="40153FD6"/>
    <w:rsid w:val="40195E74"/>
    <w:rsid w:val="401C35B7"/>
    <w:rsid w:val="401D2E8B"/>
    <w:rsid w:val="401D6B00"/>
    <w:rsid w:val="4024246B"/>
    <w:rsid w:val="40242C9D"/>
    <w:rsid w:val="40251D40"/>
    <w:rsid w:val="40324B88"/>
    <w:rsid w:val="403703F1"/>
    <w:rsid w:val="403C77B5"/>
    <w:rsid w:val="403F1053"/>
    <w:rsid w:val="404831FE"/>
    <w:rsid w:val="404C3770"/>
    <w:rsid w:val="404E7113"/>
    <w:rsid w:val="40511B68"/>
    <w:rsid w:val="405E5702"/>
    <w:rsid w:val="405F0517"/>
    <w:rsid w:val="4061721C"/>
    <w:rsid w:val="4063054B"/>
    <w:rsid w:val="40644F5E"/>
    <w:rsid w:val="40646D0C"/>
    <w:rsid w:val="40664832"/>
    <w:rsid w:val="40672358"/>
    <w:rsid w:val="406D5BC1"/>
    <w:rsid w:val="40750F19"/>
    <w:rsid w:val="40776A3F"/>
    <w:rsid w:val="407A681D"/>
    <w:rsid w:val="407C5E04"/>
    <w:rsid w:val="407D392A"/>
    <w:rsid w:val="4081166C"/>
    <w:rsid w:val="40850A58"/>
    <w:rsid w:val="408847A8"/>
    <w:rsid w:val="40890521"/>
    <w:rsid w:val="40896772"/>
    <w:rsid w:val="408B4299"/>
    <w:rsid w:val="408B6047"/>
    <w:rsid w:val="408D0011"/>
    <w:rsid w:val="408D71EA"/>
    <w:rsid w:val="4093314D"/>
    <w:rsid w:val="40972C3D"/>
    <w:rsid w:val="4099576A"/>
    <w:rsid w:val="409A0980"/>
    <w:rsid w:val="40A47108"/>
    <w:rsid w:val="40A560BB"/>
    <w:rsid w:val="40A806BA"/>
    <w:rsid w:val="40AD67D4"/>
    <w:rsid w:val="40AF61D9"/>
    <w:rsid w:val="40B27A77"/>
    <w:rsid w:val="40B362CD"/>
    <w:rsid w:val="40B51316"/>
    <w:rsid w:val="40B97058"/>
    <w:rsid w:val="40BE466E"/>
    <w:rsid w:val="40C003E6"/>
    <w:rsid w:val="40C1415E"/>
    <w:rsid w:val="40C27F71"/>
    <w:rsid w:val="40C31C84"/>
    <w:rsid w:val="40C81049"/>
    <w:rsid w:val="40CC2FE3"/>
    <w:rsid w:val="40D23C76"/>
    <w:rsid w:val="40D774DE"/>
    <w:rsid w:val="40DA6FCE"/>
    <w:rsid w:val="40DF157D"/>
    <w:rsid w:val="40E35E83"/>
    <w:rsid w:val="40E562DD"/>
    <w:rsid w:val="40E63BC5"/>
    <w:rsid w:val="40E67721"/>
    <w:rsid w:val="40E952E6"/>
    <w:rsid w:val="40ED1A7B"/>
    <w:rsid w:val="40EE7B1D"/>
    <w:rsid w:val="40F005A0"/>
    <w:rsid w:val="40F2256A"/>
    <w:rsid w:val="40F276D3"/>
    <w:rsid w:val="40F41E3E"/>
    <w:rsid w:val="40F736DC"/>
    <w:rsid w:val="40FA6487"/>
    <w:rsid w:val="40FC0CF2"/>
    <w:rsid w:val="410C362B"/>
    <w:rsid w:val="410D2F00"/>
    <w:rsid w:val="41103C6B"/>
    <w:rsid w:val="4110479E"/>
    <w:rsid w:val="41114BBA"/>
    <w:rsid w:val="41120516"/>
    <w:rsid w:val="41126AEB"/>
    <w:rsid w:val="41175793"/>
    <w:rsid w:val="411C3143"/>
    <w:rsid w:val="411C75E7"/>
    <w:rsid w:val="412169AB"/>
    <w:rsid w:val="41241D87"/>
    <w:rsid w:val="412546ED"/>
    <w:rsid w:val="4125649B"/>
    <w:rsid w:val="41287D39"/>
    <w:rsid w:val="412F0F7D"/>
    <w:rsid w:val="413466DE"/>
    <w:rsid w:val="41347F55"/>
    <w:rsid w:val="413A424B"/>
    <w:rsid w:val="413C37E5"/>
    <w:rsid w:val="413C5593"/>
    <w:rsid w:val="413F7AE6"/>
    <w:rsid w:val="41410DFB"/>
    <w:rsid w:val="41410E54"/>
    <w:rsid w:val="41457180"/>
    <w:rsid w:val="41466412"/>
    <w:rsid w:val="4148218A"/>
    <w:rsid w:val="41483F38"/>
    <w:rsid w:val="414D4FAE"/>
    <w:rsid w:val="414F3518"/>
    <w:rsid w:val="414F52C6"/>
    <w:rsid w:val="41526B64"/>
    <w:rsid w:val="41540B2E"/>
    <w:rsid w:val="415428DD"/>
    <w:rsid w:val="41562AF9"/>
    <w:rsid w:val="41581D4D"/>
    <w:rsid w:val="41596145"/>
    <w:rsid w:val="41597EF3"/>
    <w:rsid w:val="415C79E3"/>
    <w:rsid w:val="41601281"/>
    <w:rsid w:val="416074D3"/>
    <w:rsid w:val="41630D72"/>
    <w:rsid w:val="41636FC4"/>
    <w:rsid w:val="416A65A4"/>
    <w:rsid w:val="416C126A"/>
    <w:rsid w:val="416C231C"/>
    <w:rsid w:val="416C67D4"/>
    <w:rsid w:val="41717932"/>
    <w:rsid w:val="41790595"/>
    <w:rsid w:val="4181094E"/>
    <w:rsid w:val="41840582"/>
    <w:rsid w:val="41866897"/>
    <w:rsid w:val="418807D8"/>
    <w:rsid w:val="41886A2A"/>
    <w:rsid w:val="418D5DEE"/>
    <w:rsid w:val="418E2292"/>
    <w:rsid w:val="419929E5"/>
    <w:rsid w:val="419C7ECA"/>
    <w:rsid w:val="419D24D5"/>
    <w:rsid w:val="419E1DAA"/>
    <w:rsid w:val="41A028AC"/>
    <w:rsid w:val="41A04232"/>
    <w:rsid w:val="41A43864"/>
    <w:rsid w:val="41A5138A"/>
    <w:rsid w:val="41A82C28"/>
    <w:rsid w:val="41AA4BF2"/>
    <w:rsid w:val="41AC096A"/>
    <w:rsid w:val="41AE6491"/>
    <w:rsid w:val="41AF2209"/>
    <w:rsid w:val="41AF633F"/>
    <w:rsid w:val="41B07B63"/>
    <w:rsid w:val="41B56B45"/>
    <w:rsid w:val="41B80A98"/>
    <w:rsid w:val="41CA6CFC"/>
    <w:rsid w:val="41CA7043"/>
    <w:rsid w:val="41CB6863"/>
    <w:rsid w:val="41D028AB"/>
    <w:rsid w:val="41D13F2D"/>
    <w:rsid w:val="41D2798B"/>
    <w:rsid w:val="41D659E7"/>
    <w:rsid w:val="41D83E0A"/>
    <w:rsid w:val="41D852BC"/>
    <w:rsid w:val="41DF2AEE"/>
    <w:rsid w:val="41DF489C"/>
    <w:rsid w:val="41E225DE"/>
    <w:rsid w:val="41E53E7C"/>
    <w:rsid w:val="41E55C2A"/>
    <w:rsid w:val="41E579D9"/>
    <w:rsid w:val="41E73B64"/>
    <w:rsid w:val="41E9571B"/>
    <w:rsid w:val="41EB61F0"/>
    <w:rsid w:val="41ED183A"/>
    <w:rsid w:val="41EE2D31"/>
    <w:rsid w:val="41EE72BB"/>
    <w:rsid w:val="41F320F5"/>
    <w:rsid w:val="41F36599"/>
    <w:rsid w:val="41F45941"/>
    <w:rsid w:val="42027077"/>
    <w:rsid w:val="420662CD"/>
    <w:rsid w:val="42070318"/>
    <w:rsid w:val="420E4058"/>
    <w:rsid w:val="42100EF9"/>
    <w:rsid w:val="421233DB"/>
    <w:rsid w:val="4216697D"/>
    <w:rsid w:val="42176C30"/>
    <w:rsid w:val="421A3B26"/>
    <w:rsid w:val="421D1269"/>
    <w:rsid w:val="421F2EEA"/>
    <w:rsid w:val="422229DB"/>
    <w:rsid w:val="422425C9"/>
    <w:rsid w:val="422468A6"/>
    <w:rsid w:val="42276243"/>
    <w:rsid w:val="422B5D33"/>
    <w:rsid w:val="422E312E"/>
    <w:rsid w:val="422E5CAE"/>
    <w:rsid w:val="42311FDE"/>
    <w:rsid w:val="423170C2"/>
    <w:rsid w:val="42350960"/>
    <w:rsid w:val="42397786"/>
    <w:rsid w:val="42417305"/>
    <w:rsid w:val="42440BA3"/>
    <w:rsid w:val="424B1F31"/>
    <w:rsid w:val="424B3CDF"/>
    <w:rsid w:val="425132C0"/>
    <w:rsid w:val="4251797B"/>
    <w:rsid w:val="42552DB0"/>
    <w:rsid w:val="425A03C6"/>
    <w:rsid w:val="425D7EB7"/>
    <w:rsid w:val="425E2DCE"/>
    <w:rsid w:val="42641245"/>
    <w:rsid w:val="426B0106"/>
    <w:rsid w:val="42723962"/>
    <w:rsid w:val="42725710"/>
    <w:rsid w:val="42731488"/>
    <w:rsid w:val="42734FE4"/>
    <w:rsid w:val="42755200"/>
    <w:rsid w:val="427A45C5"/>
    <w:rsid w:val="427C033D"/>
    <w:rsid w:val="427C658F"/>
    <w:rsid w:val="42905B96"/>
    <w:rsid w:val="42967E23"/>
    <w:rsid w:val="42974BBA"/>
    <w:rsid w:val="42982C9D"/>
    <w:rsid w:val="42995053"/>
    <w:rsid w:val="429A3BAB"/>
    <w:rsid w:val="429A4C67"/>
    <w:rsid w:val="429C09DF"/>
    <w:rsid w:val="42A11B51"/>
    <w:rsid w:val="42A45AE6"/>
    <w:rsid w:val="42AB0C22"/>
    <w:rsid w:val="42AE5DE9"/>
    <w:rsid w:val="42B60ED1"/>
    <w:rsid w:val="42BA70B7"/>
    <w:rsid w:val="42C27D1A"/>
    <w:rsid w:val="42C7049C"/>
    <w:rsid w:val="42C77E4F"/>
    <w:rsid w:val="42C811FF"/>
    <w:rsid w:val="42C82CA2"/>
    <w:rsid w:val="42C910A8"/>
    <w:rsid w:val="42CE66BF"/>
    <w:rsid w:val="42D24401"/>
    <w:rsid w:val="42D261AF"/>
    <w:rsid w:val="42D34FAF"/>
    <w:rsid w:val="42D44F28"/>
    <w:rsid w:val="42D53EF1"/>
    <w:rsid w:val="42D56EED"/>
    <w:rsid w:val="42D64FF5"/>
    <w:rsid w:val="42D77C69"/>
    <w:rsid w:val="42E303BC"/>
    <w:rsid w:val="42E6709F"/>
    <w:rsid w:val="42ED2FE9"/>
    <w:rsid w:val="42F24B05"/>
    <w:rsid w:val="42F26851"/>
    <w:rsid w:val="42F27A5A"/>
    <w:rsid w:val="42F27D13"/>
    <w:rsid w:val="42F42673"/>
    <w:rsid w:val="42F44377"/>
    <w:rsid w:val="42F8192F"/>
    <w:rsid w:val="42F9198D"/>
    <w:rsid w:val="42FD47C4"/>
    <w:rsid w:val="42FE5942"/>
    <w:rsid w:val="42FF4ACA"/>
    <w:rsid w:val="43000F6E"/>
    <w:rsid w:val="43010842"/>
    <w:rsid w:val="43027EFB"/>
    <w:rsid w:val="43081BD1"/>
    <w:rsid w:val="430B346F"/>
    <w:rsid w:val="430E2866"/>
    <w:rsid w:val="430E5D85"/>
    <w:rsid w:val="430F51D8"/>
    <w:rsid w:val="43140575"/>
    <w:rsid w:val="43170066"/>
    <w:rsid w:val="431A7B56"/>
    <w:rsid w:val="431E7646"/>
    <w:rsid w:val="43212404"/>
    <w:rsid w:val="432254AC"/>
    <w:rsid w:val="432664FB"/>
    <w:rsid w:val="43275F61"/>
    <w:rsid w:val="43291B47"/>
    <w:rsid w:val="432A7D99"/>
    <w:rsid w:val="432B1D63"/>
    <w:rsid w:val="432B2EF5"/>
    <w:rsid w:val="432E715D"/>
    <w:rsid w:val="43317379"/>
    <w:rsid w:val="43340C18"/>
    <w:rsid w:val="43351583"/>
    <w:rsid w:val="433724B6"/>
    <w:rsid w:val="4339622E"/>
    <w:rsid w:val="434265FC"/>
    <w:rsid w:val="434314A4"/>
    <w:rsid w:val="434370AD"/>
    <w:rsid w:val="434626F9"/>
    <w:rsid w:val="434846C3"/>
    <w:rsid w:val="434B7D0F"/>
    <w:rsid w:val="434C41B3"/>
    <w:rsid w:val="434D1CD9"/>
    <w:rsid w:val="43506584"/>
    <w:rsid w:val="4352109E"/>
    <w:rsid w:val="43526362"/>
    <w:rsid w:val="435272F0"/>
    <w:rsid w:val="43571A95"/>
    <w:rsid w:val="43591ADF"/>
    <w:rsid w:val="4359242C"/>
    <w:rsid w:val="435A7F52"/>
    <w:rsid w:val="435B2648"/>
    <w:rsid w:val="435B61A4"/>
    <w:rsid w:val="435D635D"/>
    <w:rsid w:val="436314FD"/>
    <w:rsid w:val="436332AB"/>
    <w:rsid w:val="43650DD1"/>
    <w:rsid w:val="43655275"/>
    <w:rsid w:val="43675B98"/>
    <w:rsid w:val="436A04F5"/>
    <w:rsid w:val="436D4129"/>
    <w:rsid w:val="436E31AC"/>
    <w:rsid w:val="43707CB2"/>
    <w:rsid w:val="4374370A"/>
    <w:rsid w:val="43784FA8"/>
    <w:rsid w:val="4379487C"/>
    <w:rsid w:val="437B23A2"/>
    <w:rsid w:val="437B6846"/>
    <w:rsid w:val="437E0267"/>
    <w:rsid w:val="43803E5D"/>
    <w:rsid w:val="43891CF7"/>
    <w:rsid w:val="438D20D6"/>
    <w:rsid w:val="43917E18"/>
    <w:rsid w:val="43923B90"/>
    <w:rsid w:val="43947908"/>
    <w:rsid w:val="43996CCD"/>
    <w:rsid w:val="439C52E2"/>
    <w:rsid w:val="43A06C82"/>
    <w:rsid w:val="43A55671"/>
    <w:rsid w:val="43A63197"/>
    <w:rsid w:val="43AA2C88"/>
    <w:rsid w:val="43B76E5D"/>
    <w:rsid w:val="43C52FFD"/>
    <w:rsid w:val="43C57E2B"/>
    <w:rsid w:val="43C81360"/>
    <w:rsid w:val="43C875B2"/>
    <w:rsid w:val="43C95804"/>
    <w:rsid w:val="43CA50D8"/>
    <w:rsid w:val="43CC0E50"/>
    <w:rsid w:val="43CE2E1A"/>
    <w:rsid w:val="43CF0940"/>
    <w:rsid w:val="43D87DEF"/>
    <w:rsid w:val="43DB5537"/>
    <w:rsid w:val="43DF35A3"/>
    <w:rsid w:val="43DF5027"/>
    <w:rsid w:val="43E06BC0"/>
    <w:rsid w:val="43E22422"/>
    <w:rsid w:val="43E3619A"/>
    <w:rsid w:val="43E50164"/>
    <w:rsid w:val="43E837B0"/>
    <w:rsid w:val="43EA7528"/>
    <w:rsid w:val="43EE0AA5"/>
    <w:rsid w:val="43EF2D90"/>
    <w:rsid w:val="43EF4B3E"/>
    <w:rsid w:val="43F6411F"/>
    <w:rsid w:val="43F65ECD"/>
    <w:rsid w:val="43F72CBA"/>
    <w:rsid w:val="43FA3C0F"/>
    <w:rsid w:val="44004F9E"/>
    <w:rsid w:val="44024872"/>
    <w:rsid w:val="440305EA"/>
    <w:rsid w:val="44054362"/>
    <w:rsid w:val="44093E52"/>
    <w:rsid w:val="440E12B2"/>
    <w:rsid w:val="440E3217"/>
    <w:rsid w:val="44116432"/>
    <w:rsid w:val="44134942"/>
    <w:rsid w:val="4416031D"/>
    <w:rsid w:val="441E71D2"/>
    <w:rsid w:val="441F5424"/>
    <w:rsid w:val="4420119C"/>
    <w:rsid w:val="442567B2"/>
    <w:rsid w:val="442671C8"/>
    <w:rsid w:val="4427252A"/>
    <w:rsid w:val="44276398"/>
    <w:rsid w:val="44281522"/>
    <w:rsid w:val="44281E17"/>
    <w:rsid w:val="44293363"/>
    <w:rsid w:val="442B1BAA"/>
    <w:rsid w:val="44304BA3"/>
    <w:rsid w:val="44307631"/>
    <w:rsid w:val="4436276D"/>
    <w:rsid w:val="443A225E"/>
    <w:rsid w:val="443A35FD"/>
    <w:rsid w:val="443F7874"/>
    <w:rsid w:val="444B446B"/>
    <w:rsid w:val="444F55DD"/>
    <w:rsid w:val="44501A81"/>
    <w:rsid w:val="445157F9"/>
    <w:rsid w:val="445A46AE"/>
    <w:rsid w:val="44615A3C"/>
    <w:rsid w:val="44654E01"/>
    <w:rsid w:val="446E6DAA"/>
    <w:rsid w:val="447357CF"/>
    <w:rsid w:val="4475708D"/>
    <w:rsid w:val="44775260"/>
    <w:rsid w:val="447F2366"/>
    <w:rsid w:val="4484172B"/>
    <w:rsid w:val="448842E0"/>
    <w:rsid w:val="44894335"/>
    <w:rsid w:val="44896D41"/>
    <w:rsid w:val="448A36AA"/>
    <w:rsid w:val="448C4EE6"/>
    <w:rsid w:val="449750E1"/>
    <w:rsid w:val="44987A63"/>
    <w:rsid w:val="44995DA8"/>
    <w:rsid w:val="44A1052F"/>
    <w:rsid w:val="44A2243C"/>
    <w:rsid w:val="44A363BC"/>
    <w:rsid w:val="44AB315B"/>
    <w:rsid w:val="44AF063D"/>
    <w:rsid w:val="44B26298"/>
    <w:rsid w:val="44B32010"/>
    <w:rsid w:val="44B518E4"/>
    <w:rsid w:val="44B55D88"/>
    <w:rsid w:val="44BA339E"/>
    <w:rsid w:val="44BD176A"/>
    <w:rsid w:val="44C47D79"/>
    <w:rsid w:val="44C61D43"/>
    <w:rsid w:val="44C77996"/>
    <w:rsid w:val="44C85ABB"/>
    <w:rsid w:val="44C935E1"/>
    <w:rsid w:val="44CB1108"/>
    <w:rsid w:val="44CD1324"/>
    <w:rsid w:val="44D31E62"/>
    <w:rsid w:val="44D446A1"/>
    <w:rsid w:val="44DA57EF"/>
    <w:rsid w:val="44DB7445"/>
    <w:rsid w:val="44E126D9"/>
    <w:rsid w:val="44E328F5"/>
    <w:rsid w:val="44E421C9"/>
    <w:rsid w:val="44E87F0C"/>
    <w:rsid w:val="44F06DC0"/>
    <w:rsid w:val="44F208A0"/>
    <w:rsid w:val="44F52628"/>
    <w:rsid w:val="44F93EC7"/>
    <w:rsid w:val="44FC7513"/>
    <w:rsid w:val="44FF0DB1"/>
    <w:rsid w:val="450E5498"/>
    <w:rsid w:val="450E6E58"/>
    <w:rsid w:val="45126D36"/>
    <w:rsid w:val="4513485D"/>
    <w:rsid w:val="451B0980"/>
    <w:rsid w:val="451E0AF1"/>
    <w:rsid w:val="45246A6A"/>
    <w:rsid w:val="4528655A"/>
    <w:rsid w:val="452E1696"/>
    <w:rsid w:val="45322F35"/>
    <w:rsid w:val="45352773"/>
    <w:rsid w:val="45372C41"/>
    <w:rsid w:val="45387C9D"/>
    <w:rsid w:val="453A003B"/>
    <w:rsid w:val="453A628D"/>
    <w:rsid w:val="453B44DF"/>
    <w:rsid w:val="453F38A4"/>
    <w:rsid w:val="454021E6"/>
    <w:rsid w:val="45451750"/>
    <w:rsid w:val="454809AA"/>
    <w:rsid w:val="454D5FC1"/>
    <w:rsid w:val="454F7F8B"/>
    <w:rsid w:val="45505AB1"/>
    <w:rsid w:val="455455A1"/>
    <w:rsid w:val="45575091"/>
    <w:rsid w:val="455B5F6E"/>
    <w:rsid w:val="455B6F58"/>
    <w:rsid w:val="455E1F7C"/>
    <w:rsid w:val="45605CF4"/>
    <w:rsid w:val="45636562"/>
    <w:rsid w:val="4566298E"/>
    <w:rsid w:val="45687946"/>
    <w:rsid w:val="456A6B72"/>
    <w:rsid w:val="456C53D4"/>
    <w:rsid w:val="4570109D"/>
    <w:rsid w:val="45761EBB"/>
    <w:rsid w:val="4577303D"/>
    <w:rsid w:val="457C68A6"/>
    <w:rsid w:val="457E36C4"/>
    <w:rsid w:val="45815C6A"/>
    <w:rsid w:val="45833790"/>
    <w:rsid w:val="458539AC"/>
    <w:rsid w:val="458614D2"/>
    <w:rsid w:val="45863281"/>
    <w:rsid w:val="4588524B"/>
    <w:rsid w:val="458F46CB"/>
    <w:rsid w:val="45935D6C"/>
    <w:rsid w:val="45943BEF"/>
    <w:rsid w:val="45964673"/>
    <w:rsid w:val="459736E0"/>
    <w:rsid w:val="459A3C5C"/>
    <w:rsid w:val="459B6D2C"/>
    <w:rsid w:val="459C0CF6"/>
    <w:rsid w:val="459C4852"/>
    <w:rsid w:val="45A33E32"/>
    <w:rsid w:val="45A7579D"/>
    <w:rsid w:val="45AF4585"/>
    <w:rsid w:val="45B147A1"/>
    <w:rsid w:val="45B55914"/>
    <w:rsid w:val="45B639A3"/>
    <w:rsid w:val="45BB117C"/>
    <w:rsid w:val="45BB5620"/>
    <w:rsid w:val="45BC0665"/>
    <w:rsid w:val="45BC630D"/>
    <w:rsid w:val="45BD5347"/>
    <w:rsid w:val="45BD5BC5"/>
    <w:rsid w:val="45C049E4"/>
    <w:rsid w:val="45C5024D"/>
    <w:rsid w:val="45C864B7"/>
    <w:rsid w:val="45CA7611"/>
    <w:rsid w:val="45CF2E79"/>
    <w:rsid w:val="45D221DF"/>
    <w:rsid w:val="45D3296A"/>
    <w:rsid w:val="45D40490"/>
    <w:rsid w:val="45DB5AC7"/>
    <w:rsid w:val="45DE4E6B"/>
    <w:rsid w:val="45E5269D"/>
    <w:rsid w:val="45E87A97"/>
    <w:rsid w:val="45EA380F"/>
    <w:rsid w:val="45EB0E25"/>
    <w:rsid w:val="45EB79E8"/>
    <w:rsid w:val="45EC546D"/>
    <w:rsid w:val="45EE1552"/>
    <w:rsid w:val="45F428E0"/>
    <w:rsid w:val="45F468CD"/>
    <w:rsid w:val="45F66A69"/>
    <w:rsid w:val="45F96148"/>
    <w:rsid w:val="45FB3C6E"/>
    <w:rsid w:val="45FB5A1D"/>
    <w:rsid w:val="45FD3F69"/>
    <w:rsid w:val="45FD79E7"/>
    <w:rsid w:val="45FF375F"/>
    <w:rsid w:val="460076E6"/>
    <w:rsid w:val="46020C7E"/>
    <w:rsid w:val="460348D1"/>
    <w:rsid w:val="46080139"/>
    <w:rsid w:val="460A2104"/>
    <w:rsid w:val="460A3878"/>
    <w:rsid w:val="460A5C60"/>
    <w:rsid w:val="460C5E7C"/>
    <w:rsid w:val="460D5750"/>
    <w:rsid w:val="46101E17"/>
    <w:rsid w:val="46130FB8"/>
    <w:rsid w:val="46195EA3"/>
    <w:rsid w:val="461D73F1"/>
    <w:rsid w:val="461E795D"/>
    <w:rsid w:val="462211FB"/>
    <w:rsid w:val="46244F73"/>
    <w:rsid w:val="46256F3D"/>
    <w:rsid w:val="46263727"/>
    <w:rsid w:val="46274A64"/>
    <w:rsid w:val="4629258A"/>
    <w:rsid w:val="462A00B0"/>
    <w:rsid w:val="462D264E"/>
    <w:rsid w:val="462F1C33"/>
    <w:rsid w:val="462F3918"/>
    <w:rsid w:val="46333408"/>
    <w:rsid w:val="46344E89"/>
    <w:rsid w:val="46366A55"/>
    <w:rsid w:val="46394BB5"/>
    <w:rsid w:val="463D2143"/>
    <w:rsid w:val="463D7C0A"/>
    <w:rsid w:val="463D7DE3"/>
    <w:rsid w:val="464253F9"/>
    <w:rsid w:val="46431460"/>
    <w:rsid w:val="464473C4"/>
    <w:rsid w:val="46470C62"/>
    <w:rsid w:val="4652776C"/>
    <w:rsid w:val="465313B5"/>
    <w:rsid w:val="46584C1D"/>
    <w:rsid w:val="465A6BE7"/>
    <w:rsid w:val="465E4B3A"/>
    <w:rsid w:val="465F5FAB"/>
    <w:rsid w:val="46601D24"/>
    <w:rsid w:val="466510E8"/>
    <w:rsid w:val="4666379B"/>
    <w:rsid w:val="466704B9"/>
    <w:rsid w:val="46671304"/>
    <w:rsid w:val="4669507C"/>
    <w:rsid w:val="466C2476"/>
    <w:rsid w:val="466C70B0"/>
    <w:rsid w:val="4670640B"/>
    <w:rsid w:val="46753A21"/>
    <w:rsid w:val="46794B93"/>
    <w:rsid w:val="467A1037"/>
    <w:rsid w:val="467C5DC4"/>
    <w:rsid w:val="46850939"/>
    <w:rsid w:val="4685178A"/>
    <w:rsid w:val="4689127A"/>
    <w:rsid w:val="468C0D6B"/>
    <w:rsid w:val="46903E9E"/>
    <w:rsid w:val="469043B7"/>
    <w:rsid w:val="469462AC"/>
    <w:rsid w:val="46977B86"/>
    <w:rsid w:val="469B0FAE"/>
    <w:rsid w:val="469B2D5C"/>
    <w:rsid w:val="469D6AD4"/>
    <w:rsid w:val="469E126A"/>
    <w:rsid w:val="469F0A9E"/>
    <w:rsid w:val="469F45FA"/>
    <w:rsid w:val="46A460B4"/>
    <w:rsid w:val="46A55988"/>
    <w:rsid w:val="46A600ED"/>
    <w:rsid w:val="46AE3F60"/>
    <w:rsid w:val="46B02CAB"/>
    <w:rsid w:val="46B34549"/>
    <w:rsid w:val="46B53E1D"/>
    <w:rsid w:val="46B61944"/>
    <w:rsid w:val="46BA58D8"/>
    <w:rsid w:val="46BC1650"/>
    <w:rsid w:val="46C04436"/>
    <w:rsid w:val="46CA3945"/>
    <w:rsid w:val="46CD560B"/>
    <w:rsid w:val="46D21AC8"/>
    <w:rsid w:val="46D324F5"/>
    <w:rsid w:val="46D53DA4"/>
    <w:rsid w:val="46D85D5E"/>
    <w:rsid w:val="46D87B0C"/>
    <w:rsid w:val="46D973C9"/>
    <w:rsid w:val="46DC75FC"/>
    <w:rsid w:val="46DD15C6"/>
    <w:rsid w:val="46DF0E9A"/>
    <w:rsid w:val="46DF533E"/>
    <w:rsid w:val="46E11293"/>
    <w:rsid w:val="46E666CD"/>
    <w:rsid w:val="46F012F9"/>
    <w:rsid w:val="46F06FEE"/>
    <w:rsid w:val="46F32B98"/>
    <w:rsid w:val="46F336A8"/>
    <w:rsid w:val="46FF153C"/>
    <w:rsid w:val="47017063"/>
    <w:rsid w:val="47046B53"/>
    <w:rsid w:val="47090486"/>
    <w:rsid w:val="4709474B"/>
    <w:rsid w:val="470B3A79"/>
    <w:rsid w:val="470D3C59"/>
    <w:rsid w:val="47136D96"/>
    <w:rsid w:val="471A6376"/>
    <w:rsid w:val="471F1BDF"/>
    <w:rsid w:val="4723347D"/>
    <w:rsid w:val="47262F6D"/>
    <w:rsid w:val="472745EF"/>
    <w:rsid w:val="47280D7A"/>
    <w:rsid w:val="472856E5"/>
    <w:rsid w:val="472B2331"/>
    <w:rsid w:val="472F1E22"/>
    <w:rsid w:val="473A07C7"/>
    <w:rsid w:val="47470193"/>
    <w:rsid w:val="47490A0A"/>
    <w:rsid w:val="474A6C5C"/>
    <w:rsid w:val="474B29D4"/>
    <w:rsid w:val="474D04FA"/>
    <w:rsid w:val="47503B46"/>
    <w:rsid w:val="47524A88"/>
    <w:rsid w:val="47525B10"/>
    <w:rsid w:val="47555600"/>
    <w:rsid w:val="475C698F"/>
    <w:rsid w:val="475E2EA5"/>
    <w:rsid w:val="47653A95"/>
    <w:rsid w:val="47655843"/>
    <w:rsid w:val="47694C08"/>
    <w:rsid w:val="476F66C2"/>
    <w:rsid w:val="47705F96"/>
    <w:rsid w:val="47723ABC"/>
    <w:rsid w:val="47737835"/>
    <w:rsid w:val="47741147"/>
    <w:rsid w:val="47767A51"/>
    <w:rsid w:val="477911B5"/>
    <w:rsid w:val="477E06B3"/>
    <w:rsid w:val="4780267D"/>
    <w:rsid w:val="478163F5"/>
    <w:rsid w:val="4783216D"/>
    <w:rsid w:val="47835CCA"/>
    <w:rsid w:val="47855EE6"/>
    <w:rsid w:val="47857C94"/>
    <w:rsid w:val="47877015"/>
    <w:rsid w:val="478832E0"/>
    <w:rsid w:val="478B23DE"/>
    <w:rsid w:val="478C11D2"/>
    <w:rsid w:val="478E2BD5"/>
    <w:rsid w:val="478F0B12"/>
    <w:rsid w:val="47924127"/>
    <w:rsid w:val="479779C7"/>
    <w:rsid w:val="479C563B"/>
    <w:rsid w:val="479E2B03"/>
    <w:rsid w:val="47A07BBB"/>
    <w:rsid w:val="47AA76FA"/>
    <w:rsid w:val="47AB6FCE"/>
    <w:rsid w:val="47AD2D46"/>
    <w:rsid w:val="47AF4D11"/>
    <w:rsid w:val="47B16CDB"/>
    <w:rsid w:val="47B448F0"/>
    <w:rsid w:val="47B6609F"/>
    <w:rsid w:val="47B71E17"/>
    <w:rsid w:val="47B76DB7"/>
    <w:rsid w:val="47B93F31"/>
    <w:rsid w:val="47C702AC"/>
    <w:rsid w:val="47C76C5A"/>
    <w:rsid w:val="47C85DD2"/>
    <w:rsid w:val="47C87B80"/>
    <w:rsid w:val="47CA38F8"/>
    <w:rsid w:val="47CD33E9"/>
    <w:rsid w:val="47DB4285"/>
    <w:rsid w:val="47DB5B06"/>
    <w:rsid w:val="47DD7AD0"/>
    <w:rsid w:val="47E2253F"/>
    <w:rsid w:val="47E50732"/>
    <w:rsid w:val="47E744AA"/>
    <w:rsid w:val="47ED5839"/>
    <w:rsid w:val="47ED75E7"/>
    <w:rsid w:val="47EF335F"/>
    <w:rsid w:val="47F210A1"/>
    <w:rsid w:val="47F40041"/>
    <w:rsid w:val="47F60B91"/>
    <w:rsid w:val="47F92430"/>
    <w:rsid w:val="47F941DE"/>
    <w:rsid w:val="47F95F8C"/>
    <w:rsid w:val="47FC782A"/>
    <w:rsid w:val="48013092"/>
    <w:rsid w:val="48027536"/>
    <w:rsid w:val="48052B82"/>
    <w:rsid w:val="48066CAA"/>
    <w:rsid w:val="48066D69"/>
    <w:rsid w:val="480908C5"/>
    <w:rsid w:val="480C3F11"/>
    <w:rsid w:val="4812704D"/>
    <w:rsid w:val="48153C8D"/>
    <w:rsid w:val="48194880"/>
    <w:rsid w:val="48205C0E"/>
    <w:rsid w:val="48217291"/>
    <w:rsid w:val="48236291"/>
    <w:rsid w:val="48272AF9"/>
    <w:rsid w:val="4828061F"/>
    <w:rsid w:val="482C45B3"/>
    <w:rsid w:val="482E032B"/>
    <w:rsid w:val="483100AC"/>
    <w:rsid w:val="48346666"/>
    <w:rsid w:val="483671E0"/>
    <w:rsid w:val="4838292E"/>
    <w:rsid w:val="483925C3"/>
    <w:rsid w:val="48403BBB"/>
    <w:rsid w:val="48410CB9"/>
    <w:rsid w:val="48435459"/>
    <w:rsid w:val="48443BF6"/>
    <w:rsid w:val="48452B2F"/>
    <w:rsid w:val="484823A3"/>
    <w:rsid w:val="48486557"/>
    <w:rsid w:val="484A6384"/>
    <w:rsid w:val="4851401A"/>
    <w:rsid w:val="48545A7F"/>
    <w:rsid w:val="48547666"/>
    <w:rsid w:val="48550F4C"/>
    <w:rsid w:val="48567212"/>
    <w:rsid w:val="48577D5B"/>
    <w:rsid w:val="48584FE2"/>
    <w:rsid w:val="485E2293"/>
    <w:rsid w:val="485F6737"/>
    <w:rsid w:val="486331F4"/>
    <w:rsid w:val="486420C6"/>
    <w:rsid w:val="48644E50"/>
    <w:rsid w:val="48647785"/>
    <w:rsid w:val="48650DF8"/>
    <w:rsid w:val="48684EBF"/>
    <w:rsid w:val="486C0E54"/>
    <w:rsid w:val="486D1153"/>
    <w:rsid w:val="48735D3E"/>
    <w:rsid w:val="48743864"/>
    <w:rsid w:val="48763A80"/>
    <w:rsid w:val="48764197"/>
    <w:rsid w:val="48773972"/>
    <w:rsid w:val="487970CD"/>
    <w:rsid w:val="487B4BF3"/>
    <w:rsid w:val="487D096B"/>
    <w:rsid w:val="48802C4C"/>
    <w:rsid w:val="488340A3"/>
    <w:rsid w:val="48847F4B"/>
    <w:rsid w:val="48897310"/>
    <w:rsid w:val="488C32A4"/>
    <w:rsid w:val="489167A2"/>
    <w:rsid w:val="48945CB4"/>
    <w:rsid w:val="489E30D7"/>
    <w:rsid w:val="489E7916"/>
    <w:rsid w:val="489F24E0"/>
    <w:rsid w:val="48A04659"/>
    <w:rsid w:val="48A26623"/>
    <w:rsid w:val="48A759E8"/>
    <w:rsid w:val="48AE321A"/>
    <w:rsid w:val="48B3438D"/>
    <w:rsid w:val="48B40105"/>
    <w:rsid w:val="48B545A9"/>
    <w:rsid w:val="48B76708"/>
    <w:rsid w:val="48BB1E89"/>
    <w:rsid w:val="48BF2D31"/>
    <w:rsid w:val="48C20A74"/>
    <w:rsid w:val="48C22822"/>
    <w:rsid w:val="48C42A3E"/>
    <w:rsid w:val="48C52312"/>
    <w:rsid w:val="48D04F3E"/>
    <w:rsid w:val="48D11FCA"/>
    <w:rsid w:val="48D12A65"/>
    <w:rsid w:val="48D32C81"/>
    <w:rsid w:val="48D34A2F"/>
    <w:rsid w:val="48D6451F"/>
    <w:rsid w:val="48D80297"/>
    <w:rsid w:val="48D82045"/>
    <w:rsid w:val="48DA5DBD"/>
    <w:rsid w:val="48DC7D87"/>
    <w:rsid w:val="48E11FE9"/>
    <w:rsid w:val="48E1714C"/>
    <w:rsid w:val="48E409EA"/>
    <w:rsid w:val="48E7672C"/>
    <w:rsid w:val="48E82D4D"/>
    <w:rsid w:val="48E96000"/>
    <w:rsid w:val="48F055E1"/>
    <w:rsid w:val="48F7696F"/>
    <w:rsid w:val="48FC21D7"/>
    <w:rsid w:val="48FF3A76"/>
    <w:rsid w:val="48FF5824"/>
    <w:rsid w:val="4904108C"/>
    <w:rsid w:val="49051D27"/>
    <w:rsid w:val="49054987"/>
    <w:rsid w:val="49064E04"/>
    <w:rsid w:val="4907292A"/>
    <w:rsid w:val="49090450"/>
    <w:rsid w:val="490C7F41"/>
    <w:rsid w:val="490D6193"/>
    <w:rsid w:val="491325C4"/>
    <w:rsid w:val="49180694"/>
    <w:rsid w:val="49184B37"/>
    <w:rsid w:val="492139EC"/>
    <w:rsid w:val="492601CA"/>
    <w:rsid w:val="492852F0"/>
    <w:rsid w:val="49304650"/>
    <w:rsid w:val="49325BF9"/>
    <w:rsid w:val="4933371F"/>
    <w:rsid w:val="493556E9"/>
    <w:rsid w:val="49380D36"/>
    <w:rsid w:val="493A087A"/>
    <w:rsid w:val="493C0826"/>
    <w:rsid w:val="493C6A78"/>
    <w:rsid w:val="493D634C"/>
    <w:rsid w:val="493E4372"/>
    <w:rsid w:val="493F0316"/>
    <w:rsid w:val="49425710"/>
    <w:rsid w:val="49461447"/>
    <w:rsid w:val="49486249"/>
    <w:rsid w:val="4950607F"/>
    <w:rsid w:val="49521DF7"/>
    <w:rsid w:val="49566508"/>
    <w:rsid w:val="495711BC"/>
    <w:rsid w:val="496555C4"/>
    <w:rsid w:val="496702A5"/>
    <w:rsid w:val="49680B13"/>
    <w:rsid w:val="49696171"/>
    <w:rsid w:val="49791E13"/>
    <w:rsid w:val="497E13D0"/>
    <w:rsid w:val="497F6965"/>
    <w:rsid w:val="49804BB7"/>
    <w:rsid w:val="49836455"/>
    <w:rsid w:val="4989182E"/>
    <w:rsid w:val="4989333F"/>
    <w:rsid w:val="498A77E3"/>
    <w:rsid w:val="498D72D3"/>
    <w:rsid w:val="498E6BA8"/>
    <w:rsid w:val="49971F00"/>
    <w:rsid w:val="499917D4"/>
    <w:rsid w:val="499A72FA"/>
    <w:rsid w:val="499C7517"/>
    <w:rsid w:val="49A21DDA"/>
    <w:rsid w:val="49A34401"/>
    <w:rsid w:val="49A62143"/>
    <w:rsid w:val="49A85EBB"/>
    <w:rsid w:val="49A95790"/>
    <w:rsid w:val="49AA1C33"/>
    <w:rsid w:val="49AD702E"/>
    <w:rsid w:val="49BA799D"/>
    <w:rsid w:val="49C73B68"/>
    <w:rsid w:val="49CF169A"/>
    <w:rsid w:val="49CF3448"/>
    <w:rsid w:val="49D2118A"/>
    <w:rsid w:val="49D60C91"/>
    <w:rsid w:val="49D97E23"/>
    <w:rsid w:val="49E05655"/>
    <w:rsid w:val="49E113CD"/>
    <w:rsid w:val="49E36EF3"/>
    <w:rsid w:val="49E84459"/>
    <w:rsid w:val="49F27137"/>
    <w:rsid w:val="49F44C5D"/>
    <w:rsid w:val="49F509D5"/>
    <w:rsid w:val="49FA5FEB"/>
    <w:rsid w:val="49FC1D63"/>
    <w:rsid w:val="49FE1F7F"/>
    <w:rsid w:val="49FF7F76"/>
    <w:rsid w:val="4A001853"/>
    <w:rsid w:val="4A003601"/>
    <w:rsid w:val="4A02485B"/>
    <w:rsid w:val="4A037596"/>
    <w:rsid w:val="4A05330E"/>
    <w:rsid w:val="4A080708"/>
    <w:rsid w:val="4A0F1A96"/>
    <w:rsid w:val="4A113A61"/>
    <w:rsid w:val="4A190B67"/>
    <w:rsid w:val="4A1A5F35"/>
    <w:rsid w:val="4A1B4023"/>
    <w:rsid w:val="4A1D5D99"/>
    <w:rsid w:val="4A1E71A6"/>
    <w:rsid w:val="4A1E75C0"/>
    <w:rsid w:val="4A28673E"/>
    <w:rsid w:val="4A2D63C1"/>
    <w:rsid w:val="4A3239D7"/>
    <w:rsid w:val="4A3414FD"/>
    <w:rsid w:val="4A366656"/>
    <w:rsid w:val="4A3D2AA8"/>
    <w:rsid w:val="4A3E05CE"/>
    <w:rsid w:val="4A407EA2"/>
    <w:rsid w:val="4A442959"/>
    <w:rsid w:val="4A484FA8"/>
    <w:rsid w:val="4A4861AE"/>
    <w:rsid w:val="4A4D0811"/>
    <w:rsid w:val="4A4F6337"/>
    <w:rsid w:val="4A513E5D"/>
    <w:rsid w:val="4A547DF1"/>
    <w:rsid w:val="4A590F64"/>
    <w:rsid w:val="4A5E47CC"/>
    <w:rsid w:val="4A600544"/>
    <w:rsid w:val="4A623EAE"/>
    <w:rsid w:val="4A677B24"/>
    <w:rsid w:val="4A6873F9"/>
    <w:rsid w:val="4A6C0C97"/>
    <w:rsid w:val="4A6E0EB3"/>
    <w:rsid w:val="4A6F0787"/>
    <w:rsid w:val="4A712751"/>
    <w:rsid w:val="4A7162AD"/>
    <w:rsid w:val="4A746B40"/>
    <w:rsid w:val="4A756F9E"/>
    <w:rsid w:val="4A757163"/>
    <w:rsid w:val="4A7638C4"/>
    <w:rsid w:val="4A775DA4"/>
    <w:rsid w:val="4A7E7BF1"/>
    <w:rsid w:val="4A8204BA"/>
    <w:rsid w:val="4A82670C"/>
    <w:rsid w:val="4A83494B"/>
    <w:rsid w:val="4A8A3813"/>
    <w:rsid w:val="4A8C1339"/>
    <w:rsid w:val="4A8C30E7"/>
    <w:rsid w:val="4A9111A3"/>
    <w:rsid w:val="4A9326C8"/>
    <w:rsid w:val="4A9804CE"/>
    <w:rsid w:val="4A9F72BE"/>
    <w:rsid w:val="4AA2290B"/>
    <w:rsid w:val="4AA246B9"/>
    <w:rsid w:val="4AA64DBF"/>
    <w:rsid w:val="4AAB17DF"/>
    <w:rsid w:val="4AB12B4E"/>
    <w:rsid w:val="4AB83EDC"/>
    <w:rsid w:val="4AB915D4"/>
    <w:rsid w:val="4AC00E34"/>
    <w:rsid w:val="4AC26B09"/>
    <w:rsid w:val="4AC62BC0"/>
    <w:rsid w:val="4AC705C3"/>
    <w:rsid w:val="4AC76815"/>
    <w:rsid w:val="4ACA1E61"/>
    <w:rsid w:val="4ACC3B7D"/>
    <w:rsid w:val="4ACD77C9"/>
    <w:rsid w:val="4ACE7349"/>
    <w:rsid w:val="4AD131F0"/>
    <w:rsid w:val="4AD36F68"/>
    <w:rsid w:val="4AD66A58"/>
    <w:rsid w:val="4AD7075F"/>
    <w:rsid w:val="4ADA6548"/>
    <w:rsid w:val="4ADB1B7B"/>
    <w:rsid w:val="4ADB7BCB"/>
    <w:rsid w:val="4ADD1B95"/>
    <w:rsid w:val="4AE029E3"/>
    <w:rsid w:val="4AE20F59"/>
    <w:rsid w:val="4AE41175"/>
    <w:rsid w:val="4AE9678B"/>
    <w:rsid w:val="4AEE55F3"/>
    <w:rsid w:val="4AEE78FE"/>
    <w:rsid w:val="4AF73AD6"/>
    <w:rsid w:val="4AFC3011"/>
    <w:rsid w:val="4AFD2EF8"/>
    <w:rsid w:val="4B045373"/>
    <w:rsid w:val="4B09298A"/>
    <w:rsid w:val="4B0B04B0"/>
    <w:rsid w:val="4B0B4954"/>
    <w:rsid w:val="4B0B5621"/>
    <w:rsid w:val="4B0E1D4E"/>
    <w:rsid w:val="4B1530DD"/>
    <w:rsid w:val="4B1A05AF"/>
    <w:rsid w:val="4B217CD3"/>
    <w:rsid w:val="4B221C9D"/>
    <w:rsid w:val="4B241572"/>
    <w:rsid w:val="4B245A16"/>
    <w:rsid w:val="4B386DCB"/>
    <w:rsid w:val="4B3A55EB"/>
    <w:rsid w:val="4B3A746D"/>
    <w:rsid w:val="4B3C4B0D"/>
    <w:rsid w:val="4B3F45FD"/>
    <w:rsid w:val="4B3F63AB"/>
    <w:rsid w:val="4B427C4A"/>
    <w:rsid w:val="4B4A0B1E"/>
    <w:rsid w:val="4B4B73DD"/>
    <w:rsid w:val="4B4D48CE"/>
    <w:rsid w:val="4B4D6D1A"/>
    <w:rsid w:val="4B4F5ACD"/>
    <w:rsid w:val="4B5005B9"/>
    <w:rsid w:val="4B517E8D"/>
    <w:rsid w:val="4B5300A9"/>
    <w:rsid w:val="4B53748E"/>
    <w:rsid w:val="4B5447A1"/>
    <w:rsid w:val="4B5A4F93"/>
    <w:rsid w:val="4B5D2CD5"/>
    <w:rsid w:val="4B6202EC"/>
    <w:rsid w:val="4B645E12"/>
    <w:rsid w:val="4B675475"/>
    <w:rsid w:val="4B756271"/>
    <w:rsid w:val="4B7778F3"/>
    <w:rsid w:val="4B7854A6"/>
    <w:rsid w:val="4B797B0F"/>
    <w:rsid w:val="4B7A73E4"/>
    <w:rsid w:val="4B7D6C6A"/>
    <w:rsid w:val="4B803312"/>
    <w:rsid w:val="4B814C16"/>
    <w:rsid w:val="4B83098E"/>
    <w:rsid w:val="4B83273C"/>
    <w:rsid w:val="4B846F4F"/>
    <w:rsid w:val="4B851076"/>
    <w:rsid w:val="4B871B00"/>
    <w:rsid w:val="4B8A2BD1"/>
    <w:rsid w:val="4B8B339F"/>
    <w:rsid w:val="4B8B4870"/>
    <w:rsid w:val="4B8E10E1"/>
    <w:rsid w:val="4B9009B5"/>
    <w:rsid w:val="4B907E48"/>
    <w:rsid w:val="4B9366F7"/>
    <w:rsid w:val="4B9868B7"/>
    <w:rsid w:val="4BA91A77"/>
    <w:rsid w:val="4BB36023"/>
    <w:rsid w:val="4BB5041C"/>
    <w:rsid w:val="4BB943B0"/>
    <w:rsid w:val="4BB95A51"/>
    <w:rsid w:val="4BBC369E"/>
    <w:rsid w:val="4BBE3774"/>
    <w:rsid w:val="4BC30D8B"/>
    <w:rsid w:val="4BC36FDC"/>
    <w:rsid w:val="4BC845F3"/>
    <w:rsid w:val="4BCA036B"/>
    <w:rsid w:val="4BCC0FE5"/>
    <w:rsid w:val="4BD439FC"/>
    <w:rsid w:val="4BE233FC"/>
    <w:rsid w:val="4BE34975"/>
    <w:rsid w:val="4BE86A43"/>
    <w:rsid w:val="4BEF7DD1"/>
    <w:rsid w:val="4BF278C2"/>
    <w:rsid w:val="4BF52F0E"/>
    <w:rsid w:val="4BF61160"/>
    <w:rsid w:val="4BF87D30"/>
    <w:rsid w:val="4BFA6AB7"/>
    <w:rsid w:val="4BFE0015"/>
    <w:rsid w:val="4C001FDF"/>
    <w:rsid w:val="4C0118B3"/>
    <w:rsid w:val="4C0513A3"/>
    <w:rsid w:val="4C080E93"/>
    <w:rsid w:val="4C0B2731"/>
    <w:rsid w:val="4C0D64AA"/>
    <w:rsid w:val="4C107D48"/>
    <w:rsid w:val="4C116304"/>
    <w:rsid w:val="4C1524C5"/>
    <w:rsid w:val="4C1710D6"/>
    <w:rsid w:val="4C177328"/>
    <w:rsid w:val="4C1B0BC7"/>
    <w:rsid w:val="4C1B2975"/>
    <w:rsid w:val="4C1E0C2D"/>
    <w:rsid w:val="4C231829"/>
    <w:rsid w:val="4C242852"/>
    <w:rsid w:val="4C261319"/>
    <w:rsid w:val="4C263D9D"/>
    <w:rsid w:val="4C2832E3"/>
    <w:rsid w:val="4C285091"/>
    <w:rsid w:val="4C2A0E0A"/>
    <w:rsid w:val="4C2D26A8"/>
    <w:rsid w:val="4C303F46"/>
    <w:rsid w:val="4C343A36"/>
    <w:rsid w:val="4C3750D5"/>
    <w:rsid w:val="4C3F126C"/>
    <w:rsid w:val="4C40066C"/>
    <w:rsid w:val="4C404189"/>
    <w:rsid w:val="4C454024"/>
    <w:rsid w:val="4C4579F1"/>
    <w:rsid w:val="4C462BF6"/>
    <w:rsid w:val="4C485734"/>
    <w:rsid w:val="4C4874E2"/>
    <w:rsid w:val="4C4B0D80"/>
    <w:rsid w:val="4C4F6AC2"/>
    <w:rsid w:val="4C523EBC"/>
    <w:rsid w:val="4C5440D8"/>
    <w:rsid w:val="4C545E87"/>
    <w:rsid w:val="4C561BFF"/>
    <w:rsid w:val="4C583BC9"/>
    <w:rsid w:val="4C6247DB"/>
    <w:rsid w:val="4C673E0C"/>
    <w:rsid w:val="4C681932"/>
    <w:rsid w:val="4C6A56AA"/>
    <w:rsid w:val="4C6B4F7E"/>
    <w:rsid w:val="4C6C1422"/>
    <w:rsid w:val="4C6D6F48"/>
    <w:rsid w:val="4C6E0E52"/>
    <w:rsid w:val="4C7327B1"/>
    <w:rsid w:val="4C786019"/>
    <w:rsid w:val="4C7C718B"/>
    <w:rsid w:val="4C7E4CB1"/>
    <w:rsid w:val="4C800A2A"/>
    <w:rsid w:val="4C804ECE"/>
    <w:rsid w:val="4C820C46"/>
    <w:rsid w:val="4C83051A"/>
    <w:rsid w:val="4C891FD4"/>
    <w:rsid w:val="4C8C5620"/>
    <w:rsid w:val="4C8C73CE"/>
    <w:rsid w:val="4C9124AD"/>
    <w:rsid w:val="4C9444D5"/>
    <w:rsid w:val="4C975D73"/>
    <w:rsid w:val="4C991AEB"/>
    <w:rsid w:val="4C995102"/>
    <w:rsid w:val="4C995F8F"/>
    <w:rsid w:val="4CA42662"/>
    <w:rsid w:val="4CA46E0E"/>
    <w:rsid w:val="4CA87F80"/>
    <w:rsid w:val="4CB02408"/>
    <w:rsid w:val="4CB41CD6"/>
    <w:rsid w:val="4CB42DC9"/>
    <w:rsid w:val="4CB46925"/>
    <w:rsid w:val="4CB9218D"/>
    <w:rsid w:val="4CBA03DF"/>
    <w:rsid w:val="4CBE3B8B"/>
    <w:rsid w:val="4CBF2812"/>
    <w:rsid w:val="4CBF59F6"/>
    <w:rsid w:val="4CC27294"/>
    <w:rsid w:val="4CC36B68"/>
    <w:rsid w:val="4CC528E0"/>
    <w:rsid w:val="4CC56D84"/>
    <w:rsid w:val="4CC72AFC"/>
    <w:rsid w:val="4CC90623"/>
    <w:rsid w:val="4CCA439B"/>
    <w:rsid w:val="4CCF375F"/>
    <w:rsid w:val="4CCF550D"/>
    <w:rsid w:val="4CD15729"/>
    <w:rsid w:val="4CD4593A"/>
    <w:rsid w:val="4CD55219"/>
    <w:rsid w:val="4CD6689C"/>
    <w:rsid w:val="4CD86AB8"/>
    <w:rsid w:val="4CD97E11"/>
    <w:rsid w:val="4CDD1363"/>
    <w:rsid w:val="4CE1708E"/>
    <w:rsid w:val="4CE90CC5"/>
    <w:rsid w:val="4CE94821"/>
    <w:rsid w:val="4CEC2563"/>
    <w:rsid w:val="4CF03E01"/>
    <w:rsid w:val="4CF124D7"/>
    <w:rsid w:val="4CF136D5"/>
    <w:rsid w:val="4CF431C6"/>
    <w:rsid w:val="4CF84A64"/>
    <w:rsid w:val="4CFA1B21"/>
    <w:rsid w:val="4CFA6A2E"/>
    <w:rsid w:val="4CFE5DF2"/>
    <w:rsid w:val="4D005E2E"/>
    <w:rsid w:val="4D007DBC"/>
    <w:rsid w:val="4D0C050F"/>
    <w:rsid w:val="4D0C138D"/>
    <w:rsid w:val="4D0F1DAD"/>
    <w:rsid w:val="4D0F61C4"/>
    <w:rsid w:val="4D185106"/>
    <w:rsid w:val="4D1A1D0C"/>
    <w:rsid w:val="4D1C074A"/>
    <w:rsid w:val="4D244F88"/>
    <w:rsid w:val="4D267823"/>
    <w:rsid w:val="4D2A6BE7"/>
    <w:rsid w:val="4D3006A2"/>
    <w:rsid w:val="4D322037"/>
    <w:rsid w:val="4D331F40"/>
    <w:rsid w:val="4D386DDA"/>
    <w:rsid w:val="4D387556"/>
    <w:rsid w:val="4D38766A"/>
    <w:rsid w:val="4D3D691B"/>
    <w:rsid w:val="4D405E8D"/>
    <w:rsid w:val="4D44414D"/>
    <w:rsid w:val="4D4E01F5"/>
    <w:rsid w:val="4D5123C6"/>
    <w:rsid w:val="4D534390"/>
    <w:rsid w:val="4D555CC4"/>
    <w:rsid w:val="4D572760"/>
    <w:rsid w:val="4D5D3C89"/>
    <w:rsid w:val="4D6420F9"/>
    <w:rsid w:val="4D671BE9"/>
    <w:rsid w:val="4D695962"/>
    <w:rsid w:val="4D6B4B4B"/>
    <w:rsid w:val="4D6C0FAE"/>
    <w:rsid w:val="4D6E11CA"/>
    <w:rsid w:val="4D6E6C73"/>
    <w:rsid w:val="4D782FD9"/>
    <w:rsid w:val="4D785BA5"/>
    <w:rsid w:val="4D79174D"/>
    <w:rsid w:val="4D7F6F33"/>
    <w:rsid w:val="4D7F7022"/>
    <w:rsid w:val="4D812CAB"/>
    <w:rsid w:val="4D821B8C"/>
    <w:rsid w:val="4D886C44"/>
    <w:rsid w:val="4D8C324F"/>
    <w:rsid w:val="4D8E7176"/>
    <w:rsid w:val="4D911D44"/>
    <w:rsid w:val="4D9643D3"/>
    <w:rsid w:val="4D987FF5"/>
    <w:rsid w:val="4D9B0602"/>
    <w:rsid w:val="4D9C0FDC"/>
    <w:rsid w:val="4D9C7C8B"/>
    <w:rsid w:val="4D9E1AAF"/>
    <w:rsid w:val="4DA370C6"/>
    <w:rsid w:val="4DA60964"/>
    <w:rsid w:val="4DA62CD8"/>
    <w:rsid w:val="4DAB1AD6"/>
    <w:rsid w:val="4DAB41CC"/>
    <w:rsid w:val="4DAB5F7A"/>
    <w:rsid w:val="4DB766CD"/>
    <w:rsid w:val="4DBC5B34"/>
    <w:rsid w:val="4DC06044"/>
    <w:rsid w:val="4DC31516"/>
    <w:rsid w:val="4DC808DA"/>
    <w:rsid w:val="4DC86B2C"/>
    <w:rsid w:val="4DCB03CA"/>
    <w:rsid w:val="4DCB3F26"/>
    <w:rsid w:val="4DCB5631"/>
    <w:rsid w:val="4DCD7C9F"/>
    <w:rsid w:val="4DD27745"/>
    <w:rsid w:val="4DD3102D"/>
    <w:rsid w:val="4DD8512C"/>
    <w:rsid w:val="4DDC4386"/>
    <w:rsid w:val="4DDC6134"/>
    <w:rsid w:val="4DE14C7E"/>
    <w:rsid w:val="4DE374C2"/>
    <w:rsid w:val="4DE4148C"/>
    <w:rsid w:val="4DE6024A"/>
    <w:rsid w:val="4DEE4A39"/>
    <w:rsid w:val="4DF01BDF"/>
    <w:rsid w:val="4DF01E53"/>
    <w:rsid w:val="4DF0398D"/>
    <w:rsid w:val="4DF74D1B"/>
    <w:rsid w:val="4DFC67D6"/>
    <w:rsid w:val="4DFF1E22"/>
    <w:rsid w:val="4E00263F"/>
    <w:rsid w:val="4E035DB6"/>
    <w:rsid w:val="4E045131"/>
    <w:rsid w:val="4E0A0EF3"/>
    <w:rsid w:val="4E0B6496"/>
    <w:rsid w:val="4E0F02B7"/>
    <w:rsid w:val="4E10402F"/>
    <w:rsid w:val="4E141D71"/>
    <w:rsid w:val="4E1545A9"/>
    <w:rsid w:val="4E157897"/>
    <w:rsid w:val="4E184ECF"/>
    <w:rsid w:val="4E18612D"/>
    <w:rsid w:val="4E192EE4"/>
    <w:rsid w:val="4E1A4EAE"/>
    <w:rsid w:val="4E1A6C5C"/>
    <w:rsid w:val="4E1C6E78"/>
    <w:rsid w:val="4E1E499E"/>
    <w:rsid w:val="4E200716"/>
    <w:rsid w:val="4E223A1D"/>
    <w:rsid w:val="4E231FB4"/>
    <w:rsid w:val="4E2822AD"/>
    <w:rsid w:val="4E2D4BE1"/>
    <w:rsid w:val="4E2F0959"/>
    <w:rsid w:val="4E30022D"/>
    <w:rsid w:val="4E30647F"/>
    <w:rsid w:val="4E345F70"/>
    <w:rsid w:val="4E3715BC"/>
    <w:rsid w:val="4E3C4E24"/>
    <w:rsid w:val="4E3C4FB1"/>
    <w:rsid w:val="4E402B66"/>
    <w:rsid w:val="4E41243B"/>
    <w:rsid w:val="4E446BEC"/>
    <w:rsid w:val="4E481A1B"/>
    <w:rsid w:val="4E4837C9"/>
    <w:rsid w:val="4E487C6D"/>
    <w:rsid w:val="4E4A12EF"/>
    <w:rsid w:val="4E4C2032"/>
    <w:rsid w:val="4E4D7031"/>
    <w:rsid w:val="4E5263F6"/>
    <w:rsid w:val="4E5377DA"/>
    <w:rsid w:val="4E5403C0"/>
    <w:rsid w:val="4E556430"/>
    <w:rsid w:val="4E606D65"/>
    <w:rsid w:val="4E654842"/>
    <w:rsid w:val="4E683E6B"/>
    <w:rsid w:val="4E6920B3"/>
    <w:rsid w:val="4E6D1482"/>
    <w:rsid w:val="4E6F4101"/>
    <w:rsid w:val="4E6F6FA8"/>
    <w:rsid w:val="4E7C09F9"/>
    <w:rsid w:val="4E8567CB"/>
    <w:rsid w:val="4E8B0A28"/>
    <w:rsid w:val="4E8C1327"/>
    <w:rsid w:val="4E8C7B5A"/>
    <w:rsid w:val="4E8F31A6"/>
    <w:rsid w:val="4E944C60"/>
    <w:rsid w:val="4E975330"/>
    <w:rsid w:val="4E984750"/>
    <w:rsid w:val="4EA00746"/>
    <w:rsid w:val="4EA1206A"/>
    <w:rsid w:val="4EA2112B"/>
    <w:rsid w:val="4EA3285D"/>
    <w:rsid w:val="4EA34EA3"/>
    <w:rsid w:val="4EB26E94"/>
    <w:rsid w:val="4EB51578"/>
    <w:rsid w:val="4EB64BD7"/>
    <w:rsid w:val="4EB70E3E"/>
    <w:rsid w:val="4EBD5F65"/>
    <w:rsid w:val="4EBF33BF"/>
    <w:rsid w:val="4EC01F05"/>
    <w:rsid w:val="4EC05A55"/>
    <w:rsid w:val="4EC12B91"/>
    <w:rsid w:val="4EC2357B"/>
    <w:rsid w:val="4EC45545"/>
    <w:rsid w:val="4EC54E1A"/>
    <w:rsid w:val="4EC76DE4"/>
    <w:rsid w:val="4EC92B5C"/>
    <w:rsid w:val="4ECC61A8"/>
    <w:rsid w:val="4ED03843"/>
    <w:rsid w:val="4ED079B5"/>
    <w:rsid w:val="4ED24BC6"/>
    <w:rsid w:val="4ED27537"/>
    <w:rsid w:val="4ED4505D"/>
    <w:rsid w:val="4EE02FF7"/>
    <w:rsid w:val="4EE47996"/>
    <w:rsid w:val="4EE50468"/>
    <w:rsid w:val="4EE74081"/>
    <w:rsid w:val="4EF07467"/>
    <w:rsid w:val="4EF13E61"/>
    <w:rsid w:val="4EF179BD"/>
    <w:rsid w:val="4EF456FF"/>
    <w:rsid w:val="4EF65EE6"/>
    <w:rsid w:val="4EF86F9D"/>
    <w:rsid w:val="4EF94AC3"/>
    <w:rsid w:val="4EFB6A8D"/>
    <w:rsid w:val="4F02606E"/>
    <w:rsid w:val="4F027E1C"/>
    <w:rsid w:val="4F032DA5"/>
    <w:rsid w:val="4F037C1C"/>
    <w:rsid w:val="4F073684"/>
    <w:rsid w:val="4F0911AA"/>
    <w:rsid w:val="4F0A10D5"/>
    <w:rsid w:val="4F11005F"/>
    <w:rsid w:val="4F111E0D"/>
    <w:rsid w:val="4F132029"/>
    <w:rsid w:val="4F194B69"/>
    <w:rsid w:val="4F1A0BCA"/>
    <w:rsid w:val="4F1B712F"/>
    <w:rsid w:val="4F2608AE"/>
    <w:rsid w:val="4F271D3E"/>
    <w:rsid w:val="4F31425D"/>
    <w:rsid w:val="4F3A75B6"/>
    <w:rsid w:val="4F3B50DC"/>
    <w:rsid w:val="4F3D2C02"/>
    <w:rsid w:val="4F3F1455"/>
    <w:rsid w:val="4F4026F2"/>
    <w:rsid w:val="4F42290E"/>
    <w:rsid w:val="4F45117A"/>
    <w:rsid w:val="4F457D08"/>
    <w:rsid w:val="4F4977F9"/>
    <w:rsid w:val="4F4C72E9"/>
    <w:rsid w:val="4F4F0B87"/>
    <w:rsid w:val="4F505507"/>
    <w:rsid w:val="4F506DD9"/>
    <w:rsid w:val="4F52414B"/>
    <w:rsid w:val="4F55619D"/>
    <w:rsid w:val="4F5B577E"/>
    <w:rsid w:val="4F5F526E"/>
    <w:rsid w:val="4F602D94"/>
    <w:rsid w:val="4F6603AB"/>
    <w:rsid w:val="4F672375"/>
    <w:rsid w:val="4F674123"/>
    <w:rsid w:val="4F6F15E1"/>
    <w:rsid w:val="4F756840"/>
    <w:rsid w:val="4F764366"/>
    <w:rsid w:val="4F77327D"/>
    <w:rsid w:val="4F7800DE"/>
    <w:rsid w:val="4F7A3E56"/>
    <w:rsid w:val="4F7B372A"/>
    <w:rsid w:val="4F7D74A2"/>
    <w:rsid w:val="4F801F1C"/>
    <w:rsid w:val="4F806F93"/>
    <w:rsid w:val="4F807D78"/>
    <w:rsid w:val="4F813436"/>
    <w:rsid w:val="4F8E16AF"/>
    <w:rsid w:val="4F90367A"/>
    <w:rsid w:val="4F960564"/>
    <w:rsid w:val="4F9922E8"/>
    <w:rsid w:val="4F9B5B7A"/>
    <w:rsid w:val="4FA42C81"/>
    <w:rsid w:val="4FA61921"/>
    <w:rsid w:val="4FAD422B"/>
    <w:rsid w:val="4FAF16B5"/>
    <w:rsid w:val="4FB1539E"/>
    <w:rsid w:val="4FB31116"/>
    <w:rsid w:val="4FB37368"/>
    <w:rsid w:val="4FB8497E"/>
    <w:rsid w:val="4FBC446F"/>
    <w:rsid w:val="4FC357FD"/>
    <w:rsid w:val="4FC8279A"/>
    <w:rsid w:val="4FCA3333"/>
    <w:rsid w:val="4FD01CC8"/>
    <w:rsid w:val="4FD2395D"/>
    <w:rsid w:val="4FD25A40"/>
    <w:rsid w:val="4FD535CD"/>
    <w:rsid w:val="4FD94922"/>
    <w:rsid w:val="4FD95020"/>
    <w:rsid w:val="4FE25169"/>
    <w:rsid w:val="4FE63299"/>
    <w:rsid w:val="4FEA6D37"/>
    <w:rsid w:val="4FFA4F97"/>
    <w:rsid w:val="50010F5D"/>
    <w:rsid w:val="50016554"/>
    <w:rsid w:val="50041972"/>
    <w:rsid w:val="50091D29"/>
    <w:rsid w:val="501047BA"/>
    <w:rsid w:val="501301BD"/>
    <w:rsid w:val="50141FA4"/>
    <w:rsid w:val="5015592D"/>
    <w:rsid w:val="501778F7"/>
    <w:rsid w:val="5019366F"/>
    <w:rsid w:val="501E0EA8"/>
    <w:rsid w:val="501F6277"/>
    <w:rsid w:val="502352E1"/>
    <w:rsid w:val="50243DC2"/>
    <w:rsid w:val="50265D8C"/>
    <w:rsid w:val="502838B2"/>
    <w:rsid w:val="502D757B"/>
    <w:rsid w:val="502D7C51"/>
    <w:rsid w:val="502E4997"/>
    <w:rsid w:val="502F4C40"/>
    <w:rsid w:val="503009B9"/>
    <w:rsid w:val="50306C0B"/>
    <w:rsid w:val="5031142E"/>
    <w:rsid w:val="5032028D"/>
    <w:rsid w:val="50324731"/>
    <w:rsid w:val="503404A9"/>
    <w:rsid w:val="503A35E5"/>
    <w:rsid w:val="503C7AAB"/>
    <w:rsid w:val="503E4E84"/>
    <w:rsid w:val="503F3AD0"/>
    <w:rsid w:val="50406E4E"/>
    <w:rsid w:val="50433E79"/>
    <w:rsid w:val="50447FC0"/>
    <w:rsid w:val="50463D38"/>
    <w:rsid w:val="50483F54"/>
    <w:rsid w:val="50487AB0"/>
    <w:rsid w:val="504F52E3"/>
    <w:rsid w:val="504F7091"/>
    <w:rsid w:val="5052092F"/>
    <w:rsid w:val="505226DD"/>
    <w:rsid w:val="505446A7"/>
    <w:rsid w:val="5055041F"/>
    <w:rsid w:val="50574197"/>
    <w:rsid w:val="50575F45"/>
    <w:rsid w:val="50597F0F"/>
    <w:rsid w:val="505F4DFA"/>
    <w:rsid w:val="50691B4D"/>
    <w:rsid w:val="506F7733"/>
    <w:rsid w:val="50724B2D"/>
    <w:rsid w:val="507A1C34"/>
    <w:rsid w:val="507C1E50"/>
    <w:rsid w:val="507E1724"/>
    <w:rsid w:val="5080549C"/>
    <w:rsid w:val="50810B36"/>
    <w:rsid w:val="50812FC2"/>
    <w:rsid w:val="50893447"/>
    <w:rsid w:val="508A631B"/>
    <w:rsid w:val="508D49F6"/>
    <w:rsid w:val="508D7BB9"/>
    <w:rsid w:val="50923421"/>
    <w:rsid w:val="50940F47"/>
    <w:rsid w:val="5095081C"/>
    <w:rsid w:val="509B0528"/>
    <w:rsid w:val="509E3B74"/>
    <w:rsid w:val="50A00F4B"/>
    <w:rsid w:val="50A05B3E"/>
    <w:rsid w:val="50A218B6"/>
    <w:rsid w:val="50A373DC"/>
    <w:rsid w:val="50A54F03"/>
    <w:rsid w:val="50AA42C7"/>
    <w:rsid w:val="50AC6291"/>
    <w:rsid w:val="50B415EA"/>
    <w:rsid w:val="50BD049E"/>
    <w:rsid w:val="50C23D07"/>
    <w:rsid w:val="50C335DB"/>
    <w:rsid w:val="50C86E43"/>
    <w:rsid w:val="50CA30CD"/>
    <w:rsid w:val="50CA3508"/>
    <w:rsid w:val="50CB7569"/>
    <w:rsid w:val="50CC09F9"/>
    <w:rsid w:val="50CC6933"/>
    <w:rsid w:val="50CD6207"/>
    <w:rsid w:val="50CE26AB"/>
    <w:rsid w:val="50CE6F9F"/>
    <w:rsid w:val="50D91050"/>
    <w:rsid w:val="50D94BAC"/>
    <w:rsid w:val="50DA0833"/>
    <w:rsid w:val="50DB6B76"/>
    <w:rsid w:val="50DB7A39"/>
    <w:rsid w:val="50E0418D"/>
    <w:rsid w:val="50E05F3B"/>
    <w:rsid w:val="50E7254E"/>
    <w:rsid w:val="50EA0B67"/>
    <w:rsid w:val="50EA6DB9"/>
    <w:rsid w:val="50ED7D32"/>
    <w:rsid w:val="50EE4AFC"/>
    <w:rsid w:val="50F25C6E"/>
    <w:rsid w:val="50F43794"/>
    <w:rsid w:val="50F639B0"/>
    <w:rsid w:val="50FD6AED"/>
    <w:rsid w:val="5100482F"/>
    <w:rsid w:val="51023F76"/>
    <w:rsid w:val="51044B29"/>
    <w:rsid w:val="510507A1"/>
    <w:rsid w:val="510559A1"/>
    <w:rsid w:val="510A1DF1"/>
    <w:rsid w:val="510D2AA8"/>
    <w:rsid w:val="510F1C3C"/>
    <w:rsid w:val="511030CC"/>
    <w:rsid w:val="51111E2A"/>
    <w:rsid w:val="51136310"/>
    <w:rsid w:val="51143E36"/>
    <w:rsid w:val="51156A77"/>
    <w:rsid w:val="5116195C"/>
    <w:rsid w:val="51165E00"/>
    <w:rsid w:val="511B3417"/>
    <w:rsid w:val="511C421F"/>
    <w:rsid w:val="511D718F"/>
    <w:rsid w:val="511F2F07"/>
    <w:rsid w:val="51220301"/>
    <w:rsid w:val="51234079"/>
    <w:rsid w:val="512651A9"/>
    <w:rsid w:val="51275918"/>
    <w:rsid w:val="51281690"/>
    <w:rsid w:val="512D6CA6"/>
    <w:rsid w:val="512F6EC2"/>
    <w:rsid w:val="513149E8"/>
    <w:rsid w:val="5133250E"/>
    <w:rsid w:val="513A1AEF"/>
    <w:rsid w:val="513C0BD2"/>
    <w:rsid w:val="513F5357"/>
    <w:rsid w:val="51422751"/>
    <w:rsid w:val="51426BF5"/>
    <w:rsid w:val="514351EF"/>
    <w:rsid w:val="51453FF0"/>
    <w:rsid w:val="514A5AAA"/>
    <w:rsid w:val="514F30C0"/>
    <w:rsid w:val="515406D7"/>
    <w:rsid w:val="515801C7"/>
    <w:rsid w:val="51597A9B"/>
    <w:rsid w:val="515D3A2F"/>
    <w:rsid w:val="515D57DD"/>
    <w:rsid w:val="515E0E17"/>
    <w:rsid w:val="516052CE"/>
    <w:rsid w:val="51625545"/>
    <w:rsid w:val="5164091A"/>
    <w:rsid w:val="51654692"/>
    <w:rsid w:val="51656440"/>
    <w:rsid w:val="516A1CA8"/>
    <w:rsid w:val="516A3A56"/>
    <w:rsid w:val="516C5A20"/>
    <w:rsid w:val="516C77CE"/>
    <w:rsid w:val="516E3547"/>
    <w:rsid w:val="516F72BF"/>
    <w:rsid w:val="51701F58"/>
    <w:rsid w:val="51706C86"/>
    <w:rsid w:val="51711289"/>
    <w:rsid w:val="517148AA"/>
    <w:rsid w:val="517320C3"/>
    <w:rsid w:val="517A638F"/>
    <w:rsid w:val="517D5E7F"/>
    <w:rsid w:val="517F5754"/>
    <w:rsid w:val="51850890"/>
    <w:rsid w:val="518906F0"/>
    <w:rsid w:val="518C60C3"/>
    <w:rsid w:val="51915487"/>
    <w:rsid w:val="51945C61"/>
    <w:rsid w:val="5199716D"/>
    <w:rsid w:val="519B6306"/>
    <w:rsid w:val="519C5ECC"/>
    <w:rsid w:val="51A67184"/>
    <w:rsid w:val="51AC5E5D"/>
    <w:rsid w:val="51AE6039"/>
    <w:rsid w:val="51AE7211"/>
    <w:rsid w:val="51AF4F86"/>
    <w:rsid w:val="51B178D7"/>
    <w:rsid w:val="51B86EB8"/>
    <w:rsid w:val="51C13FBE"/>
    <w:rsid w:val="51C159B6"/>
    <w:rsid w:val="51C2088C"/>
    <w:rsid w:val="51C27D36"/>
    <w:rsid w:val="51C4585C"/>
    <w:rsid w:val="51C70EA9"/>
    <w:rsid w:val="51C8234F"/>
    <w:rsid w:val="51C904BB"/>
    <w:rsid w:val="51CF19F5"/>
    <w:rsid w:val="51CF6F3E"/>
    <w:rsid w:val="51D07D5D"/>
    <w:rsid w:val="51D57A6A"/>
    <w:rsid w:val="51DA5080"/>
    <w:rsid w:val="51DB6702"/>
    <w:rsid w:val="51DD247A"/>
    <w:rsid w:val="51DF61F2"/>
    <w:rsid w:val="51E25CE3"/>
    <w:rsid w:val="51E4360B"/>
    <w:rsid w:val="51E67581"/>
    <w:rsid w:val="51EE28D9"/>
    <w:rsid w:val="51F55A16"/>
    <w:rsid w:val="51F83758"/>
    <w:rsid w:val="51FF4AE6"/>
    <w:rsid w:val="5201085F"/>
    <w:rsid w:val="5201260D"/>
    <w:rsid w:val="52036385"/>
    <w:rsid w:val="52075749"/>
    <w:rsid w:val="5208399B"/>
    <w:rsid w:val="5209326F"/>
    <w:rsid w:val="5214298C"/>
    <w:rsid w:val="52171E30"/>
    <w:rsid w:val="521B6C41"/>
    <w:rsid w:val="521C11F4"/>
    <w:rsid w:val="521C7446"/>
    <w:rsid w:val="521F2A93"/>
    <w:rsid w:val="522105B9"/>
    <w:rsid w:val="52285DEB"/>
    <w:rsid w:val="52293911"/>
    <w:rsid w:val="52326C6A"/>
    <w:rsid w:val="523924E1"/>
    <w:rsid w:val="523B7711"/>
    <w:rsid w:val="523F3135"/>
    <w:rsid w:val="5242431B"/>
    <w:rsid w:val="524349D3"/>
    <w:rsid w:val="5248023B"/>
    <w:rsid w:val="52541382"/>
    <w:rsid w:val="5256161C"/>
    <w:rsid w:val="5257047F"/>
    <w:rsid w:val="52592449"/>
    <w:rsid w:val="525B3FFE"/>
    <w:rsid w:val="525C7843"/>
    <w:rsid w:val="525E35BB"/>
    <w:rsid w:val="525F10E1"/>
    <w:rsid w:val="525F5585"/>
    <w:rsid w:val="52650DED"/>
    <w:rsid w:val="52716224"/>
    <w:rsid w:val="527171A4"/>
    <w:rsid w:val="52725202"/>
    <w:rsid w:val="527458E8"/>
    <w:rsid w:val="527728CF"/>
    <w:rsid w:val="527A416D"/>
    <w:rsid w:val="528154FB"/>
    <w:rsid w:val="52825B1B"/>
    <w:rsid w:val="52862B12"/>
    <w:rsid w:val="528F19C6"/>
    <w:rsid w:val="528F408F"/>
    <w:rsid w:val="528F5E6A"/>
    <w:rsid w:val="528F7C18"/>
    <w:rsid w:val="52946FDD"/>
    <w:rsid w:val="529D3DB1"/>
    <w:rsid w:val="529E7E5B"/>
    <w:rsid w:val="529F5982"/>
    <w:rsid w:val="52A00349"/>
    <w:rsid w:val="52A26B1F"/>
    <w:rsid w:val="52A336C4"/>
    <w:rsid w:val="52B0193D"/>
    <w:rsid w:val="52B256B5"/>
    <w:rsid w:val="52B2639C"/>
    <w:rsid w:val="52B437F7"/>
    <w:rsid w:val="52BA27BB"/>
    <w:rsid w:val="52BB1129"/>
    <w:rsid w:val="52BC29D7"/>
    <w:rsid w:val="52C33D66"/>
    <w:rsid w:val="52C6187C"/>
    <w:rsid w:val="52CB6777"/>
    <w:rsid w:val="52CB6E2F"/>
    <w:rsid w:val="52D40E84"/>
    <w:rsid w:val="52D90E94"/>
    <w:rsid w:val="52DB2E5E"/>
    <w:rsid w:val="52E02222"/>
    <w:rsid w:val="52E73786"/>
    <w:rsid w:val="52E8648C"/>
    <w:rsid w:val="52E87329"/>
    <w:rsid w:val="52EB49DD"/>
    <w:rsid w:val="52EF487C"/>
    <w:rsid w:val="52F42171"/>
    <w:rsid w:val="52F60E0C"/>
    <w:rsid w:val="52F97788"/>
    <w:rsid w:val="52FB3500"/>
    <w:rsid w:val="52FC4B82"/>
    <w:rsid w:val="52FC57CF"/>
    <w:rsid w:val="53000B16"/>
    <w:rsid w:val="5302663C"/>
    <w:rsid w:val="530323D9"/>
    <w:rsid w:val="53035F10"/>
    <w:rsid w:val="53073C53"/>
    <w:rsid w:val="530879CB"/>
    <w:rsid w:val="530C74BB"/>
    <w:rsid w:val="5311092D"/>
    <w:rsid w:val="53117559"/>
    <w:rsid w:val="531E0F9C"/>
    <w:rsid w:val="5322283B"/>
    <w:rsid w:val="532F4F57"/>
    <w:rsid w:val="53315D89"/>
    <w:rsid w:val="533662E6"/>
    <w:rsid w:val="5338205E"/>
    <w:rsid w:val="53394028"/>
    <w:rsid w:val="533B7DA0"/>
    <w:rsid w:val="53430A03"/>
    <w:rsid w:val="53452EE6"/>
    <w:rsid w:val="53456529"/>
    <w:rsid w:val="5349426B"/>
    <w:rsid w:val="534B0014"/>
    <w:rsid w:val="53507E24"/>
    <w:rsid w:val="53542C10"/>
    <w:rsid w:val="535449BE"/>
    <w:rsid w:val="5356205A"/>
    <w:rsid w:val="53565F15"/>
    <w:rsid w:val="53566988"/>
    <w:rsid w:val="53591FD4"/>
    <w:rsid w:val="535E045A"/>
    <w:rsid w:val="535F3A8F"/>
    <w:rsid w:val="535F717D"/>
    <w:rsid w:val="536270DB"/>
    <w:rsid w:val="5363629A"/>
    <w:rsid w:val="53650979"/>
    <w:rsid w:val="53654B22"/>
    <w:rsid w:val="53662E9D"/>
    <w:rsid w:val="536E5A80"/>
    <w:rsid w:val="53721D2E"/>
    <w:rsid w:val="5373753A"/>
    <w:rsid w:val="53740BBC"/>
    <w:rsid w:val="53764934"/>
    <w:rsid w:val="537806AC"/>
    <w:rsid w:val="537868FE"/>
    <w:rsid w:val="537B63EF"/>
    <w:rsid w:val="538232D9"/>
    <w:rsid w:val="53837051"/>
    <w:rsid w:val="5385101B"/>
    <w:rsid w:val="538A26DB"/>
    <w:rsid w:val="538A6632"/>
    <w:rsid w:val="538D4809"/>
    <w:rsid w:val="538F6092"/>
    <w:rsid w:val="53986FA1"/>
    <w:rsid w:val="53990A5B"/>
    <w:rsid w:val="539B25ED"/>
    <w:rsid w:val="539D601D"/>
    <w:rsid w:val="53A04DAC"/>
    <w:rsid w:val="53A05E55"/>
    <w:rsid w:val="53A07C03"/>
    <w:rsid w:val="53A45945"/>
    <w:rsid w:val="53A771E4"/>
    <w:rsid w:val="53A96AB8"/>
    <w:rsid w:val="53AC0356"/>
    <w:rsid w:val="53B079A2"/>
    <w:rsid w:val="53B12890"/>
    <w:rsid w:val="53B13BBE"/>
    <w:rsid w:val="53BF0089"/>
    <w:rsid w:val="53BF452D"/>
    <w:rsid w:val="53C41B44"/>
    <w:rsid w:val="53C47D96"/>
    <w:rsid w:val="53C51418"/>
    <w:rsid w:val="53C5246A"/>
    <w:rsid w:val="53C71634"/>
    <w:rsid w:val="53C77F81"/>
    <w:rsid w:val="53CC09F8"/>
    <w:rsid w:val="53CE651E"/>
    <w:rsid w:val="53CF54F2"/>
    <w:rsid w:val="53D22156"/>
    <w:rsid w:val="53DA3115"/>
    <w:rsid w:val="53DC242E"/>
    <w:rsid w:val="53DD2C05"/>
    <w:rsid w:val="53E144A4"/>
    <w:rsid w:val="53E45D42"/>
    <w:rsid w:val="53E45EA3"/>
    <w:rsid w:val="53EB36A7"/>
    <w:rsid w:val="53EE4E13"/>
    <w:rsid w:val="53F1045F"/>
    <w:rsid w:val="53F64465"/>
    <w:rsid w:val="53F817ED"/>
    <w:rsid w:val="53FD5056"/>
    <w:rsid w:val="53FF0DCE"/>
    <w:rsid w:val="54014B46"/>
    <w:rsid w:val="540168F4"/>
    <w:rsid w:val="54040192"/>
    <w:rsid w:val="54061D8D"/>
    <w:rsid w:val="54063F0A"/>
    <w:rsid w:val="54093709"/>
    <w:rsid w:val="540939FA"/>
    <w:rsid w:val="540C7047"/>
    <w:rsid w:val="540D20E2"/>
    <w:rsid w:val="54102FDB"/>
    <w:rsid w:val="54166797"/>
    <w:rsid w:val="541D3002"/>
    <w:rsid w:val="542425E2"/>
    <w:rsid w:val="54266BF4"/>
    <w:rsid w:val="54271E31"/>
    <w:rsid w:val="542919A7"/>
    <w:rsid w:val="542B3971"/>
    <w:rsid w:val="542B571F"/>
    <w:rsid w:val="542E4991"/>
    <w:rsid w:val="54302D35"/>
    <w:rsid w:val="54305A86"/>
    <w:rsid w:val="543071D9"/>
    <w:rsid w:val="54316AAD"/>
    <w:rsid w:val="5435127D"/>
    <w:rsid w:val="543C3DD0"/>
    <w:rsid w:val="543C5B7E"/>
    <w:rsid w:val="544113E6"/>
    <w:rsid w:val="54444A33"/>
    <w:rsid w:val="54482775"/>
    <w:rsid w:val="54484523"/>
    <w:rsid w:val="544E58B1"/>
    <w:rsid w:val="54516500"/>
    <w:rsid w:val="54517DF8"/>
    <w:rsid w:val="545473CA"/>
    <w:rsid w:val="54556C40"/>
    <w:rsid w:val="545A24A8"/>
    <w:rsid w:val="54624EB9"/>
    <w:rsid w:val="5463135D"/>
    <w:rsid w:val="54640C31"/>
    <w:rsid w:val="546724CF"/>
    <w:rsid w:val="54703A7A"/>
    <w:rsid w:val="54741EC7"/>
    <w:rsid w:val="54754BEC"/>
    <w:rsid w:val="5477021B"/>
    <w:rsid w:val="547C67AB"/>
    <w:rsid w:val="547E09F5"/>
    <w:rsid w:val="547F7730"/>
    <w:rsid w:val="548E5CAE"/>
    <w:rsid w:val="54917C49"/>
    <w:rsid w:val="54920562"/>
    <w:rsid w:val="54921C42"/>
    <w:rsid w:val="54931516"/>
    <w:rsid w:val="549332C4"/>
    <w:rsid w:val="54947768"/>
    <w:rsid w:val="549A036C"/>
    <w:rsid w:val="549F1A7B"/>
    <w:rsid w:val="54A454D1"/>
    <w:rsid w:val="54A6749B"/>
    <w:rsid w:val="54AA6EBE"/>
    <w:rsid w:val="54AC2F51"/>
    <w:rsid w:val="54AE00FE"/>
    <w:rsid w:val="54B13782"/>
    <w:rsid w:val="54B25E40"/>
    <w:rsid w:val="54B35714"/>
    <w:rsid w:val="54B61E08"/>
    <w:rsid w:val="54B716A8"/>
    <w:rsid w:val="54B73456"/>
    <w:rsid w:val="54BB183C"/>
    <w:rsid w:val="54C70CF8"/>
    <w:rsid w:val="54C81203"/>
    <w:rsid w:val="54C87412"/>
    <w:rsid w:val="54CB6F02"/>
    <w:rsid w:val="54CC5154"/>
    <w:rsid w:val="54CD2C7A"/>
    <w:rsid w:val="54CD4A28"/>
    <w:rsid w:val="54CE266B"/>
    <w:rsid w:val="54CF3934"/>
    <w:rsid w:val="54D2203E"/>
    <w:rsid w:val="54D23DEC"/>
    <w:rsid w:val="54D50C36"/>
    <w:rsid w:val="54D77655"/>
    <w:rsid w:val="54D93EFE"/>
    <w:rsid w:val="54D9507B"/>
    <w:rsid w:val="54DC4C6B"/>
    <w:rsid w:val="54DE4E87"/>
    <w:rsid w:val="54E22DEA"/>
    <w:rsid w:val="54EF45FD"/>
    <w:rsid w:val="54F062A2"/>
    <w:rsid w:val="55020B76"/>
    <w:rsid w:val="55023F28"/>
    <w:rsid w:val="55052414"/>
    <w:rsid w:val="55067F3A"/>
    <w:rsid w:val="55083CB2"/>
    <w:rsid w:val="550A17D8"/>
    <w:rsid w:val="5511706B"/>
    <w:rsid w:val="551268DF"/>
    <w:rsid w:val="55175CA3"/>
    <w:rsid w:val="551E34D6"/>
    <w:rsid w:val="551E7032"/>
    <w:rsid w:val="55256612"/>
    <w:rsid w:val="5527238A"/>
    <w:rsid w:val="55275A0F"/>
    <w:rsid w:val="55295C69"/>
    <w:rsid w:val="55304C19"/>
    <w:rsid w:val="553255F1"/>
    <w:rsid w:val="553B5E36"/>
    <w:rsid w:val="553E22FA"/>
    <w:rsid w:val="553E5926"/>
    <w:rsid w:val="5542457E"/>
    <w:rsid w:val="55434CEA"/>
    <w:rsid w:val="55452810"/>
    <w:rsid w:val="55456CB4"/>
    <w:rsid w:val="554967A4"/>
    <w:rsid w:val="554A030E"/>
    <w:rsid w:val="554A7E27"/>
    <w:rsid w:val="554C3B9F"/>
    <w:rsid w:val="554C7D7D"/>
    <w:rsid w:val="554E24EC"/>
    <w:rsid w:val="555111B5"/>
    <w:rsid w:val="55560EC1"/>
    <w:rsid w:val="55572544"/>
    <w:rsid w:val="555869E7"/>
    <w:rsid w:val="555C7B5A"/>
    <w:rsid w:val="556422EE"/>
    <w:rsid w:val="55652EB2"/>
    <w:rsid w:val="556741A0"/>
    <w:rsid w:val="55684751"/>
    <w:rsid w:val="55693404"/>
    <w:rsid w:val="556C09CA"/>
    <w:rsid w:val="556C2493"/>
    <w:rsid w:val="557032EB"/>
    <w:rsid w:val="557355CF"/>
    <w:rsid w:val="55760C1C"/>
    <w:rsid w:val="55767585"/>
    <w:rsid w:val="5577646D"/>
    <w:rsid w:val="557931CB"/>
    <w:rsid w:val="55794BB0"/>
    <w:rsid w:val="5579695E"/>
    <w:rsid w:val="557B0928"/>
    <w:rsid w:val="557B33C0"/>
    <w:rsid w:val="557D644E"/>
    <w:rsid w:val="557E5D22"/>
    <w:rsid w:val="557F47C0"/>
    <w:rsid w:val="5587107B"/>
    <w:rsid w:val="558863EB"/>
    <w:rsid w:val="55911EF9"/>
    <w:rsid w:val="55915A56"/>
    <w:rsid w:val="55935C72"/>
    <w:rsid w:val="559519EA"/>
    <w:rsid w:val="559B4B26"/>
    <w:rsid w:val="559D43FA"/>
    <w:rsid w:val="559F4616"/>
    <w:rsid w:val="55A57753"/>
    <w:rsid w:val="55A90FF1"/>
    <w:rsid w:val="55AC6E9D"/>
    <w:rsid w:val="55AD05A3"/>
    <w:rsid w:val="55AF05D2"/>
    <w:rsid w:val="55B313A7"/>
    <w:rsid w:val="55B42837"/>
    <w:rsid w:val="55B47996"/>
    <w:rsid w:val="55B55F10"/>
    <w:rsid w:val="55BD1053"/>
    <w:rsid w:val="55C0458D"/>
    <w:rsid w:val="55C71477"/>
    <w:rsid w:val="55C73B6D"/>
    <w:rsid w:val="55C844F0"/>
    <w:rsid w:val="55C951EF"/>
    <w:rsid w:val="55CA0F67"/>
    <w:rsid w:val="55CC08C4"/>
    <w:rsid w:val="55CC1183"/>
    <w:rsid w:val="55CE5FAF"/>
    <w:rsid w:val="55CF47D0"/>
    <w:rsid w:val="55D05E26"/>
    <w:rsid w:val="55D1679A"/>
    <w:rsid w:val="55D63DB0"/>
    <w:rsid w:val="55D65B5E"/>
    <w:rsid w:val="55D7191A"/>
    <w:rsid w:val="55D87B28"/>
    <w:rsid w:val="55D909B9"/>
    <w:rsid w:val="55DA564E"/>
    <w:rsid w:val="55DB3175"/>
    <w:rsid w:val="55E11FCA"/>
    <w:rsid w:val="55E31575"/>
    <w:rsid w:val="55E42029"/>
    <w:rsid w:val="55E464CD"/>
    <w:rsid w:val="55E97640"/>
    <w:rsid w:val="55F04E72"/>
    <w:rsid w:val="55F06C20"/>
    <w:rsid w:val="55F10BEA"/>
    <w:rsid w:val="55F54D3B"/>
    <w:rsid w:val="55F61D5C"/>
    <w:rsid w:val="55FA184D"/>
    <w:rsid w:val="560162DD"/>
    <w:rsid w:val="56051FA0"/>
    <w:rsid w:val="560E3442"/>
    <w:rsid w:val="561072C2"/>
    <w:rsid w:val="561346BC"/>
    <w:rsid w:val="561C5C67"/>
    <w:rsid w:val="561D1AA7"/>
    <w:rsid w:val="56204D1B"/>
    <w:rsid w:val="56226FF5"/>
    <w:rsid w:val="56232843"/>
    <w:rsid w:val="562763BA"/>
    <w:rsid w:val="56292132"/>
    <w:rsid w:val="562A237D"/>
    <w:rsid w:val="562C598F"/>
    <w:rsid w:val="562C5B54"/>
    <w:rsid w:val="562D159C"/>
    <w:rsid w:val="562E70CC"/>
    <w:rsid w:val="563A60ED"/>
    <w:rsid w:val="563D3E2F"/>
    <w:rsid w:val="563F226F"/>
    <w:rsid w:val="5640122A"/>
    <w:rsid w:val="56407A11"/>
    <w:rsid w:val="56410EA1"/>
    <w:rsid w:val="56461469"/>
    <w:rsid w:val="56464A92"/>
    <w:rsid w:val="564B20A8"/>
    <w:rsid w:val="565166AD"/>
    <w:rsid w:val="565306E5"/>
    <w:rsid w:val="565432B3"/>
    <w:rsid w:val="565847C5"/>
    <w:rsid w:val="565A05B8"/>
    <w:rsid w:val="565F437A"/>
    <w:rsid w:val="56665134"/>
    <w:rsid w:val="56680EAC"/>
    <w:rsid w:val="566E5D97"/>
    <w:rsid w:val="56725887"/>
    <w:rsid w:val="56761C39"/>
    <w:rsid w:val="56777341"/>
    <w:rsid w:val="56796828"/>
    <w:rsid w:val="567B233F"/>
    <w:rsid w:val="567F7FA4"/>
    <w:rsid w:val="56814E3E"/>
    <w:rsid w:val="5681771D"/>
    <w:rsid w:val="56876E58"/>
    <w:rsid w:val="568F468B"/>
    <w:rsid w:val="5697353F"/>
    <w:rsid w:val="569752EE"/>
    <w:rsid w:val="56982E14"/>
    <w:rsid w:val="56993F21"/>
    <w:rsid w:val="569E667C"/>
    <w:rsid w:val="56A27718"/>
    <w:rsid w:val="56A54D17"/>
    <w:rsid w:val="56AC7030"/>
    <w:rsid w:val="56B20379"/>
    <w:rsid w:val="56B23ED5"/>
    <w:rsid w:val="56B37C4E"/>
    <w:rsid w:val="56B51C18"/>
    <w:rsid w:val="56B714EC"/>
    <w:rsid w:val="56B80FD4"/>
    <w:rsid w:val="56BC2FA6"/>
    <w:rsid w:val="56BC6214"/>
    <w:rsid w:val="56BD287A"/>
    <w:rsid w:val="56C836F9"/>
    <w:rsid w:val="56C854A7"/>
    <w:rsid w:val="56CA56C3"/>
    <w:rsid w:val="56CD0D0F"/>
    <w:rsid w:val="56CD6F61"/>
    <w:rsid w:val="56CF1FD9"/>
    <w:rsid w:val="56CF2CD9"/>
    <w:rsid w:val="56D20B13"/>
    <w:rsid w:val="56D54068"/>
    <w:rsid w:val="56D57BC4"/>
    <w:rsid w:val="56D95906"/>
    <w:rsid w:val="56DA342C"/>
    <w:rsid w:val="56DC53F6"/>
    <w:rsid w:val="56DE2F1C"/>
    <w:rsid w:val="56E04EE6"/>
    <w:rsid w:val="56E216D1"/>
    <w:rsid w:val="56E85B49"/>
    <w:rsid w:val="56ED13B1"/>
    <w:rsid w:val="56F16594"/>
    <w:rsid w:val="56F269C8"/>
    <w:rsid w:val="56F42740"/>
    <w:rsid w:val="56F91B04"/>
    <w:rsid w:val="56FB3ACE"/>
    <w:rsid w:val="57016C0B"/>
    <w:rsid w:val="57034731"/>
    <w:rsid w:val="570566FB"/>
    <w:rsid w:val="57087F99"/>
    <w:rsid w:val="570A5ABF"/>
    <w:rsid w:val="570B1838"/>
    <w:rsid w:val="570F757A"/>
    <w:rsid w:val="57106E4E"/>
    <w:rsid w:val="5712700E"/>
    <w:rsid w:val="57184072"/>
    <w:rsid w:val="57253D43"/>
    <w:rsid w:val="572A6725"/>
    <w:rsid w:val="572B451F"/>
    <w:rsid w:val="572F19CA"/>
    <w:rsid w:val="572F3778"/>
    <w:rsid w:val="57315742"/>
    <w:rsid w:val="573174F0"/>
    <w:rsid w:val="57364B06"/>
    <w:rsid w:val="57390153"/>
    <w:rsid w:val="57396991"/>
    <w:rsid w:val="573B036F"/>
    <w:rsid w:val="573D370B"/>
    <w:rsid w:val="57405985"/>
    <w:rsid w:val="57407733"/>
    <w:rsid w:val="574134AB"/>
    <w:rsid w:val="574216FD"/>
    <w:rsid w:val="57437223"/>
    <w:rsid w:val="574A05B2"/>
    <w:rsid w:val="574B60D8"/>
    <w:rsid w:val="57534858"/>
    <w:rsid w:val="575371C8"/>
    <w:rsid w:val="57566F57"/>
    <w:rsid w:val="57574A7D"/>
    <w:rsid w:val="575C534A"/>
    <w:rsid w:val="57600001"/>
    <w:rsid w:val="57603931"/>
    <w:rsid w:val="57623B4D"/>
    <w:rsid w:val="57652917"/>
    <w:rsid w:val="57686C8A"/>
    <w:rsid w:val="576E2576"/>
    <w:rsid w:val="576E3115"/>
    <w:rsid w:val="576E6AFE"/>
    <w:rsid w:val="5770468E"/>
    <w:rsid w:val="57723665"/>
    <w:rsid w:val="57770C7B"/>
    <w:rsid w:val="57782CA7"/>
    <w:rsid w:val="57790E97"/>
    <w:rsid w:val="577C44E3"/>
    <w:rsid w:val="577D0987"/>
    <w:rsid w:val="577D3248"/>
    <w:rsid w:val="577D4062"/>
    <w:rsid w:val="577E64AD"/>
    <w:rsid w:val="57802226"/>
    <w:rsid w:val="5780751F"/>
    <w:rsid w:val="57835EA0"/>
    <w:rsid w:val="578515EA"/>
    <w:rsid w:val="57862E29"/>
    <w:rsid w:val="57875362"/>
    <w:rsid w:val="578A6E9D"/>
    <w:rsid w:val="578C0BCA"/>
    <w:rsid w:val="579655A5"/>
    <w:rsid w:val="579D4B86"/>
    <w:rsid w:val="579F66F9"/>
    <w:rsid w:val="57A35F14"/>
    <w:rsid w:val="57B0377C"/>
    <w:rsid w:val="57B179A7"/>
    <w:rsid w:val="57B40121"/>
    <w:rsid w:val="57B43C7D"/>
    <w:rsid w:val="57CB2D12"/>
    <w:rsid w:val="57D63BF4"/>
    <w:rsid w:val="57D8796C"/>
    <w:rsid w:val="57DD1426"/>
    <w:rsid w:val="57DE10B6"/>
    <w:rsid w:val="57E04A72"/>
    <w:rsid w:val="57E207EA"/>
    <w:rsid w:val="57E26A3C"/>
    <w:rsid w:val="57E72C95"/>
    <w:rsid w:val="57E83927"/>
    <w:rsid w:val="57E9601D"/>
    <w:rsid w:val="57FA1966"/>
    <w:rsid w:val="57FB7AFE"/>
    <w:rsid w:val="58003366"/>
    <w:rsid w:val="58006EC2"/>
    <w:rsid w:val="5804270C"/>
    <w:rsid w:val="58056B37"/>
    <w:rsid w:val="58070251"/>
    <w:rsid w:val="580B5F93"/>
    <w:rsid w:val="580F7106"/>
    <w:rsid w:val="58112E7E"/>
    <w:rsid w:val="58133665"/>
    <w:rsid w:val="58163104"/>
    <w:rsid w:val="581B1F4E"/>
    <w:rsid w:val="58226E39"/>
    <w:rsid w:val="58240E03"/>
    <w:rsid w:val="58254B7B"/>
    <w:rsid w:val="58256929"/>
    <w:rsid w:val="5829466B"/>
    <w:rsid w:val="583067EF"/>
    <w:rsid w:val="58351494"/>
    <w:rsid w:val="58366D88"/>
    <w:rsid w:val="583D1EC5"/>
    <w:rsid w:val="58443253"/>
    <w:rsid w:val="58450D79"/>
    <w:rsid w:val="58474AF1"/>
    <w:rsid w:val="5847689F"/>
    <w:rsid w:val="58482C7F"/>
    <w:rsid w:val="584C5771"/>
    <w:rsid w:val="584C64D4"/>
    <w:rsid w:val="584D3288"/>
    <w:rsid w:val="584D4CEE"/>
    <w:rsid w:val="584E40D2"/>
    <w:rsid w:val="58535244"/>
    <w:rsid w:val="5855720E"/>
    <w:rsid w:val="58565659"/>
    <w:rsid w:val="58573625"/>
    <w:rsid w:val="58586CFE"/>
    <w:rsid w:val="585B5A65"/>
    <w:rsid w:val="585D2567"/>
    <w:rsid w:val="585F3F16"/>
    <w:rsid w:val="58670CF0"/>
    <w:rsid w:val="586A6A88"/>
    <w:rsid w:val="586C27AA"/>
    <w:rsid w:val="586C6306"/>
    <w:rsid w:val="58704048"/>
    <w:rsid w:val="58710E2D"/>
    <w:rsid w:val="58782EFD"/>
    <w:rsid w:val="587A0A23"/>
    <w:rsid w:val="58842427"/>
    <w:rsid w:val="588440C7"/>
    <w:rsid w:val="588850A8"/>
    <w:rsid w:val="588C69A8"/>
    <w:rsid w:val="58920462"/>
    <w:rsid w:val="5895585D"/>
    <w:rsid w:val="589715D5"/>
    <w:rsid w:val="589A2E73"/>
    <w:rsid w:val="589C308F"/>
    <w:rsid w:val="58A77AFF"/>
    <w:rsid w:val="58A837E2"/>
    <w:rsid w:val="58A957AC"/>
    <w:rsid w:val="58AB5080"/>
    <w:rsid w:val="58AB6E2E"/>
    <w:rsid w:val="58AC2BA6"/>
    <w:rsid w:val="58AD0DF8"/>
    <w:rsid w:val="58B02697"/>
    <w:rsid w:val="58B32187"/>
    <w:rsid w:val="58B702DB"/>
    <w:rsid w:val="58BA31BA"/>
    <w:rsid w:val="58BC07AC"/>
    <w:rsid w:val="58BC728D"/>
    <w:rsid w:val="58BE6386"/>
    <w:rsid w:val="58C104BC"/>
    <w:rsid w:val="58C425E6"/>
    <w:rsid w:val="58C61EBA"/>
    <w:rsid w:val="58C77D96"/>
    <w:rsid w:val="58C919AA"/>
    <w:rsid w:val="58C93758"/>
    <w:rsid w:val="58C93772"/>
    <w:rsid w:val="58CA7BFC"/>
    <w:rsid w:val="58CE6FC1"/>
    <w:rsid w:val="58D07DF4"/>
    <w:rsid w:val="58D2260D"/>
    <w:rsid w:val="58D267BC"/>
    <w:rsid w:val="58D26AB1"/>
    <w:rsid w:val="58D97E3F"/>
    <w:rsid w:val="58DE7204"/>
    <w:rsid w:val="58E10AA2"/>
    <w:rsid w:val="58E32A6C"/>
    <w:rsid w:val="58E40592"/>
    <w:rsid w:val="58EA204C"/>
    <w:rsid w:val="58ED38EB"/>
    <w:rsid w:val="58F447DB"/>
    <w:rsid w:val="58FB7741"/>
    <w:rsid w:val="58FD5D9D"/>
    <w:rsid w:val="59034B0E"/>
    <w:rsid w:val="59060509"/>
    <w:rsid w:val="590617C1"/>
    <w:rsid w:val="590649AC"/>
    <w:rsid w:val="59066C26"/>
    <w:rsid w:val="590824D3"/>
    <w:rsid w:val="590B1FC3"/>
    <w:rsid w:val="590B22B6"/>
    <w:rsid w:val="590B3D71"/>
    <w:rsid w:val="590D7AE9"/>
    <w:rsid w:val="59103135"/>
    <w:rsid w:val="591075D9"/>
    <w:rsid w:val="59123351"/>
    <w:rsid w:val="59140E77"/>
    <w:rsid w:val="59162E41"/>
    <w:rsid w:val="591A7294"/>
    <w:rsid w:val="591B63F2"/>
    <w:rsid w:val="591F781C"/>
    <w:rsid w:val="59213594"/>
    <w:rsid w:val="59221701"/>
    <w:rsid w:val="592D1D9B"/>
    <w:rsid w:val="592D1F39"/>
    <w:rsid w:val="593C217C"/>
    <w:rsid w:val="593E58F0"/>
    <w:rsid w:val="593F3A1A"/>
    <w:rsid w:val="594159E5"/>
    <w:rsid w:val="59464DA9"/>
    <w:rsid w:val="5947124D"/>
    <w:rsid w:val="59484FC5"/>
    <w:rsid w:val="594D4389"/>
    <w:rsid w:val="594E3CA4"/>
    <w:rsid w:val="5955323E"/>
    <w:rsid w:val="595C45CC"/>
    <w:rsid w:val="596733BB"/>
    <w:rsid w:val="59680B5D"/>
    <w:rsid w:val="596A4F3B"/>
    <w:rsid w:val="596D67DA"/>
    <w:rsid w:val="596F26C8"/>
    <w:rsid w:val="596F4300"/>
    <w:rsid w:val="596F510D"/>
    <w:rsid w:val="5971703E"/>
    <w:rsid w:val="59723DF0"/>
    <w:rsid w:val="597436C4"/>
    <w:rsid w:val="597631FE"/>
    <w:rsid w:val="5976568E"/>
    <w:rsid w:val="59766ED3"/>
    <w:rsid w:val="59777658"/>
    <w:rsid w:val="597D18F3"/>
    <w:rsid w:val="597D4C6F"/>
    <w:rsid w:val="597E4543"/>
    <w:rsid w:val="5980475F"/>
    <w:rsid w:val="59822285"/>
    <w:rsid w:val="59843637"/>
    <w:rsid w:val="59851D75"/>
    <w:rsid w:val="59861649"/>
    <w:rsid w:val="59883613"/>
    <w:rsid w:val="598B6C60"/>
    <w:rsid w:val="5991500E"/>
    <w:rsid w:val="599B50F5"/>
    <w:rsid w:val="599C2C1B"/>
    <w:rsid w:val="599F37FD"/>
    <w:rsid w:val="59A321FB"/>
    <w:rsid w:val="59A55F73"/>
    <w:rsid w:val="59A65848"/>
    <w:rsid w:val="59A73A9A"/>
    <w:rsid w:val="59AA17DC"/>
    <w:rsid w:val="59AD307A"/>
    <w:rsid w:val="59B47F65"/>
    <w:rsid w:val="59B57CBC"/>
    <w:rsid w:val="59B9557B"/>
    <w:rsid w:val="59BC4885"/>
    <w:rsid w:val="59BD660D"/>
    <w:rsid w:val="59BF753B"/>
    <w:rsid w:val="59C14B78"/>
    <w:rsid w:val="59C21551"/>
    <w:rsid w:val="59C77C52"/>
    <w:rsid w:val="59CF2FF0"/>
    <w:rsid w:val="59CF4D9E"/>
    <w:rsid w:val="59D2663D"/>
    <w:rsid w:val="59D93E6F"/>
    <w:rsid w:val="59DB1995"/>
    <w:rsid w:val="59DB7BE7"/>
    <w:rsid w:val="59DE1886"/>
    <w:rsid w:val="59E00D5A"/>
    <w:rsid w:val="59E06FAB"/>
    <w:rsid w:val="59E208A7"/>
    <w:rsid w:val="59E35ED0"/>
    <w:rsid w:val="59E940B2"/>
    <w:rsid w:val="59EF5395"/>
    <w:rsid w:val="59EF5441"/>
    <w:rsid w:val="59EF71EF"/>
    <w:rsid w:val="59F1740B"/>
    <w:rsid w:val="59F20A8D"/>
    <w:rsid w:val="59F36CDF"/>
    <w:rsid w:val="59F44805"/>
    <w:rsid w:val="59F51775"/>
    <w:rsid w:val="59F519C7"/>
    <w:rsid w:val="59F91E1B"/>
    <w:rsid w:val="59FA28A1"/>
    <w:rsid w:val="59FC3C55"/>
    <w:rsid w:val="5A0013FC"/>
    <w:rsid w:val="5A0031AA"/>
    <w:rsid w:val="5A04713E"/>
    <w:rsid w:val="5A0A4028"/>
    <w:rsid w:val="5A0E1D6B"/>
    <w:rsid w:val="5A0F163F"/>
    <w:rsid w:val="5A1350B0"/>
    <w:rsid w:val="5A1530F9"/>
    <w:rsid w:val="5A1D0200"/>
    <w:rsid w:val="5A1D1FAE"/>
    <w:rsid w:val="5A250854"/>
    <w:rsid w:val="5A2570B4"/>
    <w:rsid w:val="5A2A46CB"/>
    <w:rsid w:val="5A344EA3"/>
    <w:rsid w:val="5A3572F7"/>
    <w:rsid w:val="5A3617D9"/>
    <w:rsid w:val="5A3665E1"/>
    <w:rsid w:val="5A366BCB"/>
    <w:rsid w:val="5A380B96"/>
    <w:rsid w:val="5A382944"/>
    <w:rsid w:val="5A4532B2"/>
    <w:rsid w:val="5A461504"/>
    <w:rsid w:val="5A47527D"/>
    <w:rsid w:val="5A47702B"/>
    <w:rsid w:val="5A4B6B1B"/>
    <w:rsid w:val="5A4D76B3"/>
    <w:rsid w:val="5A4F7C8D"/>
    <w:rsid w:val="5A513A05"/>
    <w:rsid w:val="5A5359CF"/>
    <w:rsid w:val="5A5654C0"/>
    <w:rsid w:val="5A601E9A"/>
    <w:rsid w:val="5A643739"/>
    <w:rsid w:val="5A647BDD"/>
    <w:rsid w:val="5A6776CD"/>
    <w:rsid w:val="5A6B1B59"/>
    <w:rsid w:val="5A6B2D19"/>
    <w:rsid w:val="5A701946"/>
    <w:rsid w:val="5A7046F8"/>
    <w:rsid w:val="5A715E71"/>
    <w:rsid w:val="5A7B0A82"/>
    <w:rsid w:val="5A7C4F26"/>
    <w:rsid w:val="5A845CF1"/>
    <w:rsid w:val="5A8913F1"/>
    <w:rsid w:val="5A89319F"/>
    <w:rsid w:val="5A8935B7"/>
    <w:rsid w:val="5A8A2017"/>
    <w:rsid w:val="5A8D7133"/>
    <w:rsid w:val="5A902780"/>
    <w:rsid w:val="5A913507"/>
    <w:rsid w:val="5A99726A"/>
    <w:rsid w:val="5A9A53AC"/>
    <w:rsid w:val="5A9D2A59"/>
    <w:rsid w:val="5A9F6E67"/>
    <w:rsid w:val="5AA1498D"/>
    <w:rsid w:val="5AA24261"/>
    <w:rsid w:val="5AAB1367"/>
    <w:rsid w:val="5AAC584A"/>
    <w:rsid w:val="5AAD1584"/>
    <w:rsid w:val="5AAF5D14"/>
    <w:rsid w:val="5ABA5A4E"/>
    <w:rsid w:val="5AC10B8B"/>
    <w:rsid w:val="5AC60A34"/>
    <w:rsid w:val="5AC62645"/>
    <w:rsid w:val="5ACB37B8"/>
    <w:rsid w:val="5ACE14FA"/>
    <w:rsid w:val="5ACF1675"/>
    <w:rsid w:val="5AD1390C"/>
    <w:rsid w:val="5AD240D0"/>
    <w:rsid w:val="5AD3266C"/>
    <w:rsid w:val="5AD54636"/>
    <w:rsid w:val="5AD73617"/>
    <w:rsid w:val="5AD92379"/>
    <w:rsid w:val="5ADB4394"/>
    <w:rsid w:val="5ADF54B5"/>
    <w:rsid w:val="5AE14981"/>
    <w:rsid w:val="5AE34FA5"/>
    <w:rsid w:val="5AE445AB"/>
    <w:rsid w:val="5AE57473"/>
    <w:rsid w:val="5AE825BC"/>
    <w:rsid w:val="5AED1980"/>
    <w:rsid w:val="5AEF41DC"/>
    <w:rsid w:val="5AF008CF"/>
    <w:rsid w:val="5AF078D1"/>
    <w:rsid w:val="5AF251E8"/>
    <w:rsid w:val="5AF365A6"/>
    <w:rsid w:val="5AF56A87"/>
    <w:rsid w:val="5AF7469F"/>
    <w:rsid w:val="5AFB7C61"/>
    <w:rsid w:val="5AFD15E4"/>
    <w:rsid w:val="5AFF16B3"/>
    <w:rsid w:val="5AFF7905"/>
    <w:rsid w:val="5B04316E"/>
    <w:rsid w:val="5B060C94"/>
    <w:rsid w:val="5B0867BA"/>
    <w:rsid w:val="5B0D3DD0"/>
    <w:rsid w:val="5B0E4CE8"/>
    <w:rsid w:val="5B150ED7"/>
    <w:rsid w:val="5B15555B"/>
    <w:rsid w:val="5B16743A"/>
    <w:rsid w:val="5B174656"/>
    <w:rsid w:val="5B18349B"/>
    <w:rsid w:val="5B1E5FDD"/>
    <w:rsid w:val="5B1F1D55"/>
    <w:rsid w:val="5B2058CD"/>
    <w:rsid w:val="5B21215C"/>
    <w:rsid w:val="5B231356"/>
    <w:rsid w:val="5B231846"/>
    <w:rsid w:val="5B2348F0"/>
    <w:rsid w:val="5B2863F4"/>
    <w:rsid w:val="5B295620"/>
    <w:rsid w:val="5B2A3D99"/>
    <w:rsid w:val="5B2A416F"/>
    <w:rsid w:val="5B2D6220"/>
    <w:rsid w:val="5B303F63"/>
    <w:rsid w:val="5B305D11"/>
    <w:rsid w:val="5B33135D"/>
    <w:rsid w:val="5B340130"/>
    <w:rsid w:val="5B340651"/>
    <w:rsid w:val="5B3475AF"/>
    <w:rsid w:val="5B37709F"/>
    <w:rsid w:val="5B394BC5"/>
    <w:rsid w:val="5B3D3F8A"/>
    <w:rsid w:val="5B413A7A"/>
    <w:rsid w:val="5B427303"/>
    <w:rsid w:val="5B5C08B4"/>
    <w:rsid w:val="5B5C6B06"/>
    <w:rsid w:val="5B5F2152"/>
    <w:rsid w:val="5B613BBD"/>
    <w:rsid w:val="5B61411C"/>
    <w:rsid w:val="5B637E94"/>
    <w:rsid w:val="5B687259"/>
    <w:rsid w:val="5B6D0D13"/>
    <w:rsid w:val="5B6D2AC1"/>
    <w:rsid w:val="5B745BFD"/>
    <w:rsid w:val="5B761E9C"/>
    <w:rsid w:val="5B7756EE"/>
    <w:rsid w:val="5B7857A8"/>
    <w:rsid w:val="5B7B3430"/>
    <w:rsid w:val="5B7C2D04"/>
    <w:rsid w:val="5B7C71A8"/>
    <w:rsid w:val="5B8322E4"/>
    <w:rsid w:val="5B8A5421"/>
    <w:rsid w:val="5B8A78EA"/>
    <w:rsid w:val="5B8C2D50"/>
    <w:rsid w:val="5B8D4F11"/>
    <w:rsid w:val="5B8D6CBF"/>
    <w:rsid w:val="5B8E56FB"/>
    <w:rsid w:val="5B915EEE"/>
    <w:rsid w:val="5B9242D5"/>
    <w:rsid w:val="5B9444F1"/>
    <w:rsid w:val="5B962018"/>
    <w:rsid w:val="5B981FE8"/>
    <w:rsid w:val="5B9B13DC"/>
    <w:rsid w:val="5BA04C44"/>
    <w:rsid w:val="5BA364E3"/>
    <w:rsid w:val="5BAC2376"/>
    <w:rsid w:val="5BAD7361"/>
    <w:rsid w:val="5BB436C1"/>
    <w:rsid w:val="5BBD4F0B"/>
    <w:rsid w:val="5BBE331C"/>
    <w:rsid w:val="5BBF7D40"/>
    <w:rsid w:val="5BC07095"/>
    <w:rsid w:val="5BC70423"/>
    <w:rsid w:val="5BC92803"/>
    <w:rsid w:val="5BD33445"/>
    <w:rsid w:val="5BDD5DA4"/>
    <w:rsid w:val="5BDE39BF"/>
    <w:rsid w:val="5BE2525D"/>
    <w:rsid w:val="5BEA7272"/>
    <w:rsid w:val="5BEB0156"/>
    <w:rsid w:val="5BFA246A"/>
    <w:rsid w:val="5BFB1E7B"/>
    <w:rsid w:val="5C0056E3"/>
    <w:rsid w:val="5C073450"/>
    <w:rsid w:val="5C084598"/>
    <w:rsid w:val="5C0A0310"/>
    <w:rsid w:val="5C0E0CC2"/>
    <w:rsid w:val="5C0F3B78"/>
    <w:rsid w:val="5C1A24BE"/>
    <w:rsid w:val="5C1D6295"/>
    <w:rsid w:val="5C1E200D"/>
    <w:rsid w:val="5C217E2B"/>
    <w:rsid w:val="5C2238AB"/>
    <w:rsid w:val="5C292E8C"/>
    <w:rsid w:val="5C381321"/>
    <w:rsid w:val="5C384E7D"/>
    <w:rsid w:val="5C392AD6"/>
    <w:rsid w:val="5C3D6937"/>
    <w:rsid w:val="5C430981"/>
    <w:rsid w:val="5C473312"/>
    <w:rsid w:val="5C4750C0"/>
    <w:rsid w:val="5C4837B2"/>
    <w:rsid w:val="5C4A4BB0"/>
    <w:rsid w:val="5C4B6CC8"/>
    <w:rsid w:val="5C4C26D6"/>
    <w:rsid w:val="5C4E0C1B"/>
    <w:rsid w:val="5C4E28F2"/>
    <w:rsid w:val="5C58551F"/>
    <w:rsid w:val="5C5B500F"/>
    <w:rsid w:val="5C5B6DBD"/>
    <w:rsid w:val="5C5D2B35"/>
    <w:rsid w:val="5C643EC4"/>
    <w:rsid w:val="5C673B45"/>
    <w:rsid w:val="5C693288"/>
    <w:rsid w:val="5C69772C"/>
    <w:rsid w:val="5C6A5252"/>
    <w:rsid w:val="5C6B60E0"/>
    <w:rsid w:val="5C6E089F"/>
    <w:rsid w:val="5C706FAD"/>
    <w:rsid w:val="5C725121"/>
    <w:rsid w:val="5C735EB5"/>
    <w:rsid w:val="5C761E49"/>
    <w:rsid w:val="5C7A36E7"/>
    <w:rsid w:val="5C7B276E"/>
    <w:rsid w:val="5C8207EE"/>
    <w:rsid w:val="5C8C51C9"/>
    <w:rsid w:val="5C8C6F77"/>
    <w:rsid w:val="5C930305"/>
    <w:rsid w:val="5C9347A9"/>
    <w:rsid w:val="5C966047"/>
    <w:rsid w:val="5C9A1694"/>
    <w:rsid w:val="5CA02A22"/>
    <w:rsid w:val="5CA4759E"/>
    <w:rsid w:val="5CAA3CE0"/>
    <w:rsid w:val="5CAC13C7"/>
    <w:rsid w:val="5CB00D05"/>
    <w:rsid w:val="5CB00EB7"/>
    <w:rsid w:val="5CB5471F"/>
    <w:rsid w:val="5CB87D6C"/>
    <w:rsid w:val="5CBC5AAE"/>
    <w:rsid w:val="5CBD1826"/>
    <w:rsid w:val="5CC10AD7"/>
    <w:rsid w:val="5CC83DC7"/>
    <w:rsid w:val="5CC9164A"/>
    <w:rsid w:val="5CCE758F"/>
    <w:rsid w:val="5CD01559"/>
    <w:rsid w:val="5CD665A4"/>
    <w:rsid w:val="5CDC4CC6"/>
    <w:rsid w:val="5CDC6150"/>
    <w:rsid w:val="5CE04865"/>
    <w:rsid w:val="5CE605C8"/>
    <w:rsid w:val="5CE648D9"/>
    <w:rsid w:val="5CE70651"/>
    <w:rsid w:val="5CEC55E4"/>
    <w:rsid w:val="5CEE19DF"/>
    <w:rsid w:val="5CF35248"/>
    <w:rsid w:val="5CF52D6E"/>
    <w:rsid w:val="5CF86C73"/>
    <w:rsid w:val="5CFA65D6"/>
    <w:rsid w:val="5D017965"/>
    <w:rsid w:val="5D064F7B"/>
    <w:rsid w:val="5D07484F"/>
    <w:rsid w:val="5D0D455B"/>
    <w:rsid w:val="5D0E3E30"/>
    <w:rsid w:val="5D150CA6"/>
    <w:rsid w:val="5D1C3105"/>
    <w:rsid w:val="5D276544"/>
    <w:rsid w:val="5D2D2508"/>
    <w:rsid w:val="5D310D37"/>
    <w:rsid w:val="5D323FC2"/>
    <w:rsid w:val="5D385794"/>
    <w:rsid w:val="5D3B7AC8"/>
    <w:rsid w:val="5D3C4DB4"/>
    <w:rsid w:val="5D3F66DF"/>
    <w:rsid w:val="5D4930BA"/>
    <w:rsid w:val="5D4B0BE0"/>
    <w:rsid w:val="5D4D2BAA"/>
    <w:rsid w:val="5D5850AB"/>
    <w:rsid w:val="5D5E4DB7"/>
    <w:rsid w:val="5D656145"/>
    <w:rsid w:val="5D6B74D4"/>
    <w:rsid w:val="5D6F0D72"/>
    <w:rsid w:val="5D74605B"/>
    <w:rsid w:val="5D74628C"/>
    <w:rsid w:val="5D746389"/>
    <w:rsid w:val="5D7739CD"/>
    <w:rsid w:val="5D7874FB"/>
    <w:rsid w:val="5D79399F"/>
    <w:rsid w:val="5D7E2D63"/>
    <w:rsid w:val="5D810FF7"/>
    <w:rsid w:val="5D8205DF"/>
    <w:rsid w:val="5D850596"/>
    <w:rsid w:val="5D8660BC"/>
    <w:rsid w:val="5D891708"/>
    <w:rsid w:val="5D8B31E3"/>
    <w:rsid w:val="5D8F5802"/>
    <w:rsid w:val="5D8F6D1E"/>
    <w:rsid w:val="5D900CE9"/>
    <w:rsid w:val="5D915A0E"/>
    <w:rsid w:val="5D92680F"/>
    <w:rsid w:val="5D972077"/>
    <w:rsid w:val="5D9B663A"/>
    <w:rsid w:val="5DA56542"/>
    <w:rsid w:val="5DA64068"/>
    <w:rsid w:val="5DA778E4"/>
    <w:rsid w:val="5DAB78D0"/>
    <w:rsid w:val="5DAC0C7A"/>
    <w:rsid w:val="5DAF116F"/>
    <w:rsid w:val="5DB03139"/>
    <w:rsid w:val="5DB449D7"/>
    <w:rsid w:val="5DB53927"/>
    <w:rsid w:val="5DB9327E"/>
    <w:rsid w:val="5DBC388C"/>
    <w:rsid w:val="5DC310BE"/>
    <w:rsid w:val="5DC42740"/>
    <w:rsid w:val="5DC472D4"/>
    <w:rsid w:val="5DCA7D57"/>
    <w:rsid w:val="5DCB3ACF"/>
    <w:rsid w:val="5DD047C5"/>
    <w:rsid w:val="5DD04BD2"/>
    <w:rsid w:val="5DD230AF"/>
    <w:rsid w:val="5DD24E5D"/>
    <w:rsid w:val="5DD40BD5"/>
    <w:rsid w:val="5DDA5439"/>
    <w:rsid w:val="5DDE1552"/>
    <w:rsid w:val="5DE030A9"/>
    <w:rsid w:val="5DE132F2"/>
    <w:rsid w:val="5DE30E18"/>
    <w:rsid w:val="5DE43D51"/>
    <w:rsid w:val="5DED7EE9"/>
    <w:rsid w:val="5DFB2606"/>
    <w:rsid w:val="5DFD6560"/>
    <w:rsid w:val="5E007C1C"/>
    <w:rsid w:val="5E0303E5"/>
    <w:rsid w:val="5E03770C"/>
    <w:rsid w:val="5E04332E"/>
    <w:rsid w:val="5E064172"/>
    <w:rsid w:val="5E091947"/>
    <w:rsid w:val="5E127950"/>
    <w:rsid w:val="5E1611EE"/>
    <w:rsid w:val="5E176D14"/>
    <w:rsid w:val="5E192A8C"/>
    <w:rsid w:val="5E1B2CA8"/>
    <w:rsid w:val="5E1B6804"/>
    <w:rsid w:val="5E1D124D"/>
    <w:rsid w:val="5E20206C"/>
    <w:rsid w:val="5E2077EC"/>
    <w:rsid w:val="5E211941"/>
    <w:rsid w:val="5E225DE5"/>
    <w:rsid w:val="5E27164D"/>
    <w:rsid w:val="5E2A4C99"/>
    <w:rsid w:val="5E2C0A11"/>
    <w:rsid w:val="5E2E3482"/>
    <w:rsid w:val="5E2E58FB"/>
    <w:rsid w:val="5E2F3662"/>
    <w:rsid w:val="5E3133D3"/>
    <w:rsid w:val="5E315F82"/>
    <w:rsid w:val="5E316028"/>
    <w:rsid w:val="5E345B18"/>
    <w:rsid w:val="5E355D93"/>
    <w:rsid w:val="5E39312E"/>
    <w:rsid w:val="5E3C677A"/>
    <w:rsid w:val="5E413D91"/>
    <w:rsid w:val="5E4A70E9"/>
    <w:rsid w:val="5E4B23E2"/>
    <w:rsid w:val="5E4D0988"/>
    <w:rsid w:val="5E4F4700"/>
    <w:rsid w:val="5E51429A"/>
    <w:rsid w:val="5E5B4E53"/>
    <w:rsid w:val="5E5D50D2"/>
    <w:rsid w:val="5E604B5F"/>
    <w:rsid w:val="5E6463FD"/>
    <w:rsid w:val="5E692E96"/>
    <w:rsid w:val="5E6A153A"/>
    <w:rsid w:val="5E6C3504"/>
    <w:rsid w:val="5E6E2DD8"/>
    <w:rsid w:val="5E736640"/>
    <w:rsid w:val="5E744166"/>
    <w:rsid w:val="5E766130"/>
    <w:rsid w:val="5E783C56"/>
    <w:rsid w:val="5E785D0C"/>
    <w:rsid w:val="5E7B7098"/>
    <w:rsid w:val="5E7E0E34"/>
    <w:rsid w:val="5E7F3237"/>
    <w:rsid w:val="5E802B0B"/>
    <w:rsid w:val="5E836CBA"/>
    <w:rsid w:val="5E856373"/>
    <w:rsid w:val="5E873E9A"/>
    <w:rsid w:val="5E895E64"/>
    <w:rsid w:val="5E8C7702"/>
    <w:rsid w:val="5E8E5228"/>
    <w:rsid w:val="5E8E6FD6"/>
    <w:rsid w:val="5E934044"/>
    <w:rsid w:val="5E937ADD"/>
    <w:rsid w:val="5E9D3AC8"/>
    <w:rsid w:val="5E9F11E3"/>
    <w:rsid w:val="5EA0677E"/>
    <w:rsid w:val="5EA762EA"/>
    <w:rsid w:val="5EA902B4"/>
    <w:rsid w:val="5EAB6C27"/>
    <w:rsid w:val="5EAE1426"/>
    <w:rsid w:val="5EAE58CA"/>
    <w:rsid w:val="5EAE6EA2"/>
    <w:rsid w:val="5EB047E0"/>
    <w:rsid w:val="5EB6652D"/>
    <w:rsid w:val="5EBA601D"/>
    <w:rsid w:val="5EBB1D95"/>
    <w:rsid w:val="5EBB2DEA"/>
    <w:rsid w:val="5EBB3B43"/>
    <w:rsid w:val="5EC37085"/>
    <w:rsid w:val="5EC549C2"/>
    <w:rsid w:val="5EC56770"/>
    <w:rsid w:val="5EC93EDE"/>
    <w:rsid w:val="5ECF75EF"/>
    <w:rsid w:val="5ED03A93"/>
    <w:rsid w:val="5ED05841"/>
    <w:rsid w:val="5ED13367"/>
    <w:rsid w:val="5ED15115"/>
    <w:rsid w:val="5ED510A9"/>
    <w:rsid w:val="5ED66BCF"/>
    <w:rsid w:val="5EE148FA"/>
    <w:rsid w:val="5EE17A4E"/>
    <w:rsid w:val="5EE25574"/>
    <w:rsid w:val="5EE368DD"/>
    <w:rsid w:val="5EE370C8"/>
    <w:rsid w:val="5EE44E48"/>
    <w:rsid w:val="5EE72758"/>
    <w:rsid w:val="5EEB267A"/>
    <w:rsid w:val="5EEC63F2"/>
    <w:rsid w:val="5EEE5CC7"/>
    <w:rsid w:val="5EF86B45"/>
    <w:rsid w:val="5EFA0523"/>
    <w:rsid w:val="5EFD0600"/>
    <w:rsid w:val="5F011E9E"/>
    <w:rsid w:val="5F0454EA"/>
    <w:rsid w:val="5F08322C"/>
    <w:rsid w:val="5F096FA4"/>
    <w:rsid w:val="5F100333"/>
    <w:rsid w:val="5F105C3D"/>
    <w:rsid w:val="5F196760"/>
    <w:rsid w:val="5F1C0A86"/>
    <w:rsid w:val="5F1C6CD8"/>
    <w:rsid w:val="5F1D47FE"/>
    <w:rsid w:val="5F1F2324"/>
    <w:rsid w:val="5F2008E0"/>
    <w:rsid w:val="5F230066"/>
    <w:rsid w:val="5F295B30"/>
    <w:rsid w:val="5F296CFF"/>
    <w:rsid w:val="5F2D3AFE"/>
    <w:rsid w:val="5F2E484C"/>
    <w:rsid w:val="5F304531"/>
    <w:rsid w:val="5F3131CD"/>
    <w:rsid w:val="5F3202A9"/>
    <w:rsid w:val="5F322812"/>
    <w:rsid w:val="5F335DCF"/>
    <w:rsid w:val="5F3758C0"/>
    <w:rsid w:val="5F3A53B0"/>
    <w:rsid w:val="5F3F29C6"/>
    <w:rsid w:val="5F42509B"/>
    <w:rsid w:val="5F427DC1"/>
    <w:rsid w:val="5F443B39"/>
    <w:rsid w:val="5F4F0E5B"/>
    <w:rsid w:val="5F507610"/>
    <w:rsid w:val="5F5521EA"/>
    <w:rsid w:val="5F553F98"/>
    <w:rsid w:val="5F585836"/>
    <w:rsid w:val="5F5A15AE"/>
    <w:rsid w:val="5F5A6691"/>
    <w:rsid w:val="5F630463"/>
    <w:rsid w:val="5F6661A5"/>
    <w:rsid w:val="5F6830DC"/>
    <w:rsid w:val="5F6B7317"/>
    <w:rsid w:val="5F700DD2"/>
    <w:rsid w:val="5F720D05"/>
    <w:rsid w:val="5F724B4A"/>
    <w:rsid w:val="5F7E34EF"/>
    <w:rsid w:val="5F813C55"/>
    <w:rsid w:val="5F8623A3"/>
    <w:rsid w:val="5F880A83"/>
    <w:rsid w:val="5F881C77"/>
    <w:rsid w:val="5F8B6CA4"/>
    <w:rsid w:val="5F8E3006"/>
    <w:rsid w:val="5F8F52CB"/>
    <w:rsid w:val="5F944E8A"/>
    <w:rsid w:val="5F953183"/>
    <w:rsid w:val="5F9E5AEE"/>
    <w:rsid w:val="5F9E76ED"/>
    <w:rsid w:val="5FA016B7"/>
    <w:rsid w:val="5FA41DAE"/>
    <w:rsid w:val="5FA42829"/>
    <w:rsid w:val="5FA840C8"/>
    <w:rsid w:val="5FA97E40"/>
    <w:rsid w:val="5FAA1A62"/>
    <w:rsid w:val="5FAD3EA6"/>
    <w:rsid w:val="5FAE4872"/>
    <w:rsid w:val="5FAF541F"/>
    <w:rsid w:val="5FBA3DFB"/>
    <w:rsid w:val="5FBB4DA3"/>
    <w:rsid w:val="5FC1162D"/>
    <w:rsid w:val="5FC5111D"/>
    <w:rsid w:val="5FC71BCD"/>
    <w:rsid w:val="5FC8476A"/>
    <w:rsid w:val="5FCB6008"/>
    <w:rsid w:val="5FCF5AF8"/>
    <w:rsid w:val="5FD27396"/>
    <w:rsid w:val="5FD41360"/>
    <w:rsid w:val="5FD819E0"/>
    <w:rsid w:val="5FDE21DF"/>
    <w:rsid w:val="5FDE3F8D"/>
    <w:rsid w:val="5FE231E0"/>
    <w:rsid w:val="5FE33B7B"/>
    <w:rsid w:val="5FEA46E0"/>
    <w:rsid w:val="5FEB2206"/>
    <w:rsid w:val="5FEC289C"/>
    <w:rsid w:val="5FED5F7E"/>
    <w:rsid w:val="5FF437B1"/>
    <w:rsid w:val="5FF4730D"/>
    <w:rsid w:val="5FF53085"/>
    <w:rsid w:val="5FF5332F"/>
    <w:rsid w:val="5FF94438"/>
    <w:rsid w:val="5FFC2665"/>
    <w:rsid w:val="60011A2A"/>
    <w:rsid w:val="6008663C"/>
    <w:rsid w:val="600B0A7A"/>
    <w:rsid w:val="600F05EB"/>
    <w:rsid w:val="60171F35"/>
    <w:rsid w:val="60182CB2"/>
    <w:rsid w:val="60194FC5"/>
    <w:rsid w:val="60196D73"/>
    <w:rsid w:val="601B0D3D"/>
    <w:rsid w:val="601B1B71"/>
    <w:rsid w:val="601C6864"/>
    <w:rsid w:val="60310561"/>
    <w:rsid w:val="603242D9"/>
    <w:rsid w:val="60343BAD"/>
    <w:rsid w:val="60396BAB"/>
    <w:rsid w:val="60397415"/>
    <w:rsid w:val="603E4A2C"/>
    <w:rsid w:val="603F2C27"/>
    <w:rsid w:val="604069F6"/>
    <w:rsid w:val="60427C5D"/>
    <w:rsid w:val="60430294"/>
    <w:rsid w:val="604527A6"/>
    <w:rsid w:val="604751DF"/>
    <w:rsid w:val="604C0EF7"/>
    <w:rsid w:val="6051475F"/>
    <w:rsid w:val="60534318"/>
    <w:rsid w:val="60542072"/>
    <w:rsid w:val="605424A1"/>
    <w:rsid w:val="60567FC7"/>
    <w:rsid w:val="605E5565"/>
    <w:rsid w:val="606049A2"/>
    <w:rsid w:val="60636240"/>
    <w:rsid w:val="6066482C"/>
    <w:rsid w:val="60712CDB"/>
    <w:rsid w:val="60771CEC"/>
    <w:rsid w:val="607829F8"/>
    <w:rsid w:val="607A0954"/>
    <w:rsid w:val="607B17DC"/>
    <w:rsid w:val="607E321C"/>
    <w:rsid w:val="60805044"/>
    <w:rsid w:val="60822B6A"/>
    <w:rsid w:val="6082700E"/>
    <w:rsid w:val="608B2917"/>
    <w:rsid w:val="608E3692"/>
    <w:rsid w:val="608E7761"/>
    <w:rsid w:val="608F34D9"/>
    <w:rsid w:val="60912DAE"/>
    <w:rsid w:val="609603C4"/>
    <w:rsid w:val="609F196E"/>
    <w:rsid w:val="60A056E7"/>
    <w:rsid w:val="60A2320D"/>
    <w:rsid w:val="60AA20C1"/>
    <w:rsid w:val="60AF592A"/>
    <w:rsid w:val="60B116A2"/>
    <w:rsid w:val="60B151FE"/>
    <w:rsid w:val="60B44CEE"/>
    <w:rsid w:val="60BD3BA3"/>
    <w:rsid w:val="60C413D5"/>
    <w:rsid w:val="60C427F5"/>
    <w:rsid w:val="60C546D6"/>
    <w:rsid w:val="60C56EFB"/>
    <w:rsid w:val="60C63929"/>
    <w:rsid w:val="60D64C64"/>
    <w:rsid w:val="60DB04CD"/>
    <w:rsid w:val="60DD4245"/>
    <w:rsid w:val="60DD5FF3"/>
    <w:rsid w:val="60E0197E"/>
    <w:rsid w:val="60E16353"/>
    <w:rsid w:val="60E43825"/>
    <w:rsid w:val="60EA6962"/>
    <w:rsid w:val="60EE0200"/>
    <w:rsid w:val="60EE6214"/>
    <w:rsid w:val="60EF6A3B"/>
    <w:rsid w:val="60F021CA"/>
    <w:rsid w:val="60F668A1"/>
    <w:rsid w:val="60FF240D"/>
    <w:rsid w:val="61001CE1"/>
    <w:rsid w:val="610213CF"/>
    <w:rsid w:val="61021EFD"/>
    <w:rsid w:val="6105554A"/>
    <w:rsid w:val="61112C38"/>
    <w:rsid w:val="611539DF"/>
    <w:rsid w:val="61167757"/>
    <w:rsid w:val="611759A9"/>
    <w:rsid w:val="611834CF"/>
    <w:rsid w:val="611A0EA3"/>
    <w:rsid w:val="611A0FF5"/>
    <w:rsid w:val="61241E74"/>
    <w:rsid w:val="61271964"/>
    <w:rsid w:val="612754C0"/>
    <w:rsid w:val="61281730"/>
    <w:rsid w:val="61300818"/>
    <w:rsid w:val="61330309"/>
    <w:rsid w:val="61355E2F"/>
    <w:rsid w:val="613D1187"/>
    <w:rsid w:val="61493688"/>
    <w:rsid w:val="614B11AE"/>
    <w:rsid w:val="614D0B2B"/>
    <w:rsid w:val="614E0C9F"/>
    <w:rsid w:val="614E6EF1"/>
    <w:rsid w:val="614F39EC"/>
    <w:rsid w:val="61536800"/>
    <w:rsid w:val="6155202D"/>
    <w:rsid w:val="61565DA5"/>
    <w:rsid w:val="615D5386"/>
    <w:rsid w:val="615E6BC8"/>
    <w:rsid w:val="616044A2"/>
    <w:rsid w:val="61671D60"/>
    <w:rsid w:val="61686BC3"/>
    <w:rsid w:val="616B7AA3"/>
    <w:rsid w:val="616C3E03"/>
    <w:rsid w:val="616D55C9"/>
    <w:rsid w:val="616E30EF"/>
    <w:rsid w:val="616F44C9"/>
    <w:rsid w:val="617050B9"/>
    <w:rsid w:val="617478C1"/>
    <w:rsid w:val="6175447D"/>
    <w:rsid w:val="617701F5"/>
    <w:rsid w:val="617866B8"/>
    <w:rsid w:val="617A1A94"/>
    <w:rsid w:val="617A7CE6"/>
    <w:rsid w:val="617E77D6"/>
    <w:rsid w:val="617F354E"/>
    <w:rsid w:val="61824E34"/>
    <w:rsid w:val="61826B9A"/>
    <w:rsid w:val="61860438"/>
    <w:rsid w:val="61882403"/>
    <w:rsid w:val="61891CD7"/>
    <w:rsid w:val="61897F29"/>
    <w:rsid w:val="6192502F"/>
    <w:rsid w:val="61932B55"/>
    <w:rsid w:val="61942BFF"/>
    <w:rsid w:val="619459BA"/>
    <w:rsid w:val="619743F4"/>
    <w:rsid w:val="619B7808"/>
    <w:rsid w:val="619C7C5C"/>
    <w:rsid w:val="619F599E"/>
    <w:rsid w:val="61A22D98"/>
    <w:rsid w:val="61A27381"/>
    <w:rsid w:val="61A30FEA"/>
    <w:rsid w:val="61A52B04"/>
    <w:rsid w:val="61A66D2D"/>
    <w:rsid w:val="61A67AA2"/>
    <w:rsid w:val="61A94127"/>
    <w:rsid w:val="61B431F8"/>
    <w:rsid w:val="61B50D1E"/>
    <w:rsid w:val="61BE5E24"/>
    <w:rsid w:val="61C022D5"/>
    <w:rsid w:val="61C24DE8"/>
    <w:rsid w:val="61C359D6"/>
    <w:rsid w:val="61C471B3"/>
    <w:rsid w:val="61C62F2B"/>
    <w:rsid w:val="61C80A51"/>
    <w:rsid w:val="61CA6B5B"/>
    <w:rsid w:val="61D373F6"/>
    <w:rsid w:val="61D54F1C"/>
    <w:rsid w:val="61D75138"/>
    <w:rsid w:val="61DC44FC"/>
    <w:rsid w:val="61DF5D9B"/>
    <w:rsid w:val="61E055B5"/>
    <w:rsid w:val="61E31E84"/>
    <w:rsid w:val="61E45946"/>
    <w:rsid w:val="61E643A1"/>
    <w:rsid w:val="61E7706B"/>
    <w:rsid w:val="61EB26C7"/>
    <w:rsid w:val="61ED6709"/>
    <w:rsid w:val="61F01D56"/>
    <w:rsid w:val="61F45CEA"/>
    <w:rsid w:val="61F555BE"/>
    <w:rsid w:val="61FC06FB"/>
    <w:rsid w:val="6200468F"/>
    <w:rsid w:val="6202723B"/>
    <w:rsid w:val="62065F65"/>
    <w:rsid w:val="6208709F"/>
    <w:rsid w:val="620B4DE2"/>
    <w:rsid w:val="620F48D2"/>
    <w:rsid w:val="62106C7C"/>
    <w:rsid w:val="62143C96"/>
    <w:rsid w:val="62175534"/>
    <w:rsid w:val="621912AD"/>
    <w:rsid w:val="62195750"/>
    <w:rsid w:val="621F43E9"/>
    <w:rsid w:val="6220088D"/>
    <w:rsid w:val="62285198"/>
    <w:rsid w:val="622A6484"/>
    <w:rsid w:val="622B0FE0"/>
    <w:rsid w:val="622B10BD"/>
    <w:rsid w:val="622E2F59"/>
    <w:rsid w:val="622F3C7D"/>
    <w:rsid w:val="62312A9A"/>
    <w:rsid w:val="62353C0D"/>
    <w:rsid w:val="62377985"/>
    <w:rsid w:val="623B56C7"/>
    <w:rsid w:val="623D4B40"/>
    <w:rsid w:val="623F0640"/>
    <w:rsid w:val="623F0BA1"/>
    <w:rsid w:val="62417EFE"/>
    <w:rsid w:val="62467BC8"/>
    <w:rsid w:val="624A069A"/>
    <w:rsid w:val="624E2FF1"/>
    <w:rsid w:val="624F1172"/>
    <w:rsid w:val="625642AF"/>
    <w:rsid w:val="62590CC8"/>
    <w:rsid w:val="625B18C5"/>
    <w:rsid w:val="625C73EB"/>
    <w:rsid w:val="625E13B5"/>
    <w:rsid w:val="626003B8"/>
    <w:rsid w:val="62600C89"/>
    <w:rsid w:val="626369CC"/>
    <w:rsid w:val="626A7D5A"/>
    <w:rsid w:val="626B762E"/>
    <w:rsid w:val="626D15F8"/>
    <w:rsid w:val="626E3B17"/>
    <w:rsid w:val="626F35C2"/>
    <w:rsid w:val="626F5370"/>
    <w:rsid w:val="62791D4B"/>
    <w:rsid w:val="628030DA"/>
    <w:rsid w:val="62843025"/>
    <w:rsid w:val="62853336"/>
    <w:rsid w:val="62867EBF"/>
    <w:rsid w:val="628726BA"/>
    <w:rsid w:val="628870E6"/>
    <w:rsid w:val="628A5D32"/>
    <w:rsid w:val="628C1A7E"/>
    <w:rsid w:val="628D57F7"/>
    <w:rsid w:val="629341F9"/>
    <w:rsid w:val="62966DA1"/>
    <w:rsid w:val="629B43B7"/>
    <w:rsid w:val="62A3326C"/>
    <w:rsid w:val="62A55DE6"/>
    <w:rsid w:val="62A72D5C"/>
    <w:rsid w:val="62AC3ECF"/>
    <w:rsid w:val="62AF1C11"/>
    <w:rsid w:val="62AF39BF"/>
    <w:rsid w:val="62B31701"/>
    <w:rsid w:val="62B463B4"/>
    <w:rsid w:val="62B62F9F"/>
    <w:rsid w:val="62BB2364"/>
    <w:rsid w:val="62BB6808"/>
    <w:rsid w:val="62C423F5"/>
    <w:rsid w:val="62C51434"/>
    <w:rsid w:val="62CA25A7"/>
    <w:rsid w:val="62D81168"/>
    <w:rsid w:val="62D82F16"/>
    <w:rsid w:val="62DF24F6"/>
    <w:rsid w:val="62E278F0"/>
    <w:rsid w:val="62E80C7F"/>
    <w:rsid w:val="62EA49F7"/>
    <w:rsid w:val="62ED7408"/>
    <w:rsid w:val="62EF200D"/>
    <w:rsid w:val="62EF64B1"/>
    <w:rsid w:val="62F15D85"/>
    <w:rsid w:val="62F37D50"/>
    <w:rsid w:val="62FA10DE"/>
    <w:rsid w:val="62FC3808"/>
    <w:rsid w:val="63015C1A"/>
    <w:rsid w:val="63021D41"/>
    <w:rsid w:val="63036478"/>
    <w:rsid w:val="63043F0F"/>
    <w:rsid w:val="630C0E11"/>
    <w:rsid w:val="631101D6"/>
    <w:rsid w:val="63123525"/>
    <w:rsid w:val="631877B6"/>
    <w:rsid w:val="631A52DC"/>
    <w:rsid w:val="631B72A6"/>
    <w:rsid w:val="631F6D97"/>
    <w:rsid w:val="63224191"/>
    <w:rsid w:val="632443AD"/>
    <w:rsid w:val="63253C81"/>
    <w:rsid w:val="632717A7"/>
    <w:rsid w:val="632B0CD5"/>
    <w:rsid w:val="632E6FDA"/>
    <w:rsid w:val="63304B00"/>
    <w:rsid w:val="63316ACA"/>
    <w:rsid w:val="63352116"/>
    <w:rsid w:val="633635FA"/>
    <w:rsid w:val="633B5253"/>
    <w:rsid w:val="633D721D"/>
    <w:rsid w:val="633E4CE0"/>
    <w:rsid w:val="633F11E7"/>
    <w:rsid w:val="63402869"/>
    <w:rsid w:val="63424833"/>
    <w:rsid w:val="6349032F"/>
    <w:rsid w:val="634C7460"/>
    <w:rsid w:val="63500C1D"/>
    <w:rsid w:val="635527B8"/>
    <w:rsid w:val="635C4675"/>
    <w:rsid w:val="63626C83"/>
    <w:rsid w:val="63660521"/>
    <w:rsid w:val="63696264"/>
    <w:rsid w:val="636B5B38"/>
    <w:rsid w:val="636E387A"/>
    <w:rsid w:val="637013A0"/>
    <w:rsid w:val="637075F2"/>
    <w:rsid w:val="63736E25"/>
    <w:rsid w:val="637473B8"/>
    <w:rsid w:val="63750765"/>
    <w:rsid w:val="637B1AF3"/>
    <w:rsid w:val="637B3E8F"/>
    <w:rsid w:val="637F3391"/>
    <w:rsid w:val="638B442C"/>
    <w:rsid w:val="638C3D00"/>
    <w:rsid w:val="638D1F52"/>
    <w:rsid w:val="63901A42"/>
    <w:rsid w:val="639037F0"/>
    <w:rsid w:val="6390559E"/>
    <w:rsid w:val="6392476A"/>
    <w:rsid w:val="63927568"/>
    <w:rsid w:val="63936E3D"/>
    <w:rsid w:val="639826A5"/>
    <w:rsid w:val="639C2195"/>
    <w:rsid w:val="639F3A33"/>
    <w:rsid w:val="63A1155A"/>
    <w:rsid w:val="63A454EE"/>
    <w:rsid w:val="63A57A90"/>
    <w:rsid w:val="63A948B2"/>
    <w:rsid w:val="63AA3442"/>
    <w:rsid w:val="63B32720"/>
    <w:rsid w:val="63B43683"/>
    <w:rsid w:val="63BE65AF"/>
    <w:rsid w:val="63C17E4E"/>
    <w:rsid w:val="63C80FC1"/>
    <w:rsid w:val="63C90AB0"/>
    <w:rsid w:val="63C96D02"/>
    <w:rsid w:val="63CB65D6"/>
    <w:rsid w:val="63CC234F"/>
    <w:rsid w:val="63CE4319"/>
    <w:rsid w:val="63D23E09"/>
    <w:rsid w:val="63D7141F"/>
    <w:rsid w:val="63D731CD"/>
    <w:rsid w:val="63DA2CBD"/>
    <w:rsid w:val="63DD455C"/>
    <w:rsid w:val="63E1229E"/>
    <w:rsid w:val="63E37DC4"/>
    <w:rsid w:val="63E43B3C"/>
    <w:rsid w:val="63E56E61"/>
    <w:rsid w:val="63E63410"/>
    <w:rsid w:val="63E678B4"/>
    <w:rsid w:val="63E91153"/>
    <w:rsid w:val="63EB0A27"/>
    <w:rsid w:val="63ED07DB"/>
    <w:rsid w:val="63ED479F"/>
    <w:rsid w:val="63F10007"/>
    <w:rsid w:val="63F26395"/>
    <w:rsid w:val="63F27C99"/>
    <w:rsid w:val="63FC0E86"/>
    <w:rsid w:val="63FF0976"/>
    <w:rsid w:val="6408782B"/>
    <w:rsid w:val="64122457"/>
    <w:rsid w:val="64137F7D"/>
    <w:rsid w:val="6415549C"/>
    <w:rsid w:val="64191A38"/>
    <w:rsid w:val="641A755E"/>
    <w:rsid w:val="641C32D6"/>
    <w:rsid w:val="641E0DFC"/>
    <w:rsid w:val="64243F39"/>
    <w:rsid w:val="642503DD"/>
    <w:rsid w:val="642A1C4A"/>
    <w:rsid w:val="642D7291"/>
    <w:rsid w:val="642F3009"/>
    <w:rsid w:val="642F4DB7"/>
    <w:rsid w:val="643E4FFA"/>
    <w:rsid w:val="64414AEB"/>
    <w:rsid w:val="64422EE1"/>
    <w:rsid w:val="64440394"/>
    <w:rsid w:val="64446389"/>
    <w:rsid w:val="644665A5"/>
    <w:rsid w:val="64470E7C"/>
    <w:rsid w:val="6448464F"/>
    <w:rsid w:val="64487C27"/>
    <w:rsid w:val="644A1BF1"/>
    <w:rsid w:val="644B15DB"/>
    <w:rsid w:val="644C3BBB"/>
    <w:rsid w:val="644D5289"/>
    <w:rsid w:val="6454481E"/>
    <w:rsid w:val="64552344"/>
    <w:rsid w:val="64590086"/>
    <w:rsid w:val="64591E34"/>
    <w:rsid w:val="645A5BAC"/>
    <w:rsid w:val="645B0956"/>
    <w:rsid w:val="64602371"/>
    <w:rsid w:val="646031C3"/>
    <w:rsid w:val="64622E98"/>
    <w:rsid w:val="64664551"/>
    <w:rsid w:val="646709F5"/>
    <w:rsid w:val="646C4FF0"/>
    <w:rsid w:val="646D34E5"/>
    <w:rsid w:val="646F5DDE"/>
    <w:rsid w:val="64721148"/>
    <w:rsid w:val="64722EF6"/>
    <w:rsid w:val="64754794"/>
    <w:rsid w:val="6476379D"/>
    <w:rsid w:val="647C3D75"/>
    <w:rsid w:val="64813139"/>
    <w:rsid w:val="648D5F82"/>
    <w:rsid w:val="64970BAF"/>
    <w:rsid w:val="649A32C7"/>
    <w:rsid w:val="649C5F21"/>
    <w:rsid w:val="649D4417"/>
    <w:rsid w:val="64A31301"/>
    <w:rsid w:val="64AA6B34"/>
    <w:rsid w:val="64AC465A"/>
    <w:rsid w:val="64AC6408"/>
    <w:rsid w:val="64AE0E8C"/>
    <w:rsid w:val="64AF414A"/>
    <w:rsid w:val="64B4350F"/>
    <w:rsid w:val="64B74DAD"/>
    <w:rsid w:val="64C00108"/>
    <w:rsid w:val="64C42DBE"/>
    <w:rsid w:val="64C5571C"/>
    <w:rsid w:val="64C86FBA"/>
    <w:rsid w:val="64D12312"/>
    <w:rsid w:val="64D265D3"/>
    <w:rsid w:val="64D70FAB"/>
    <w:rsid w:val="64D75934"/>
    <w:rsid w:val="64D911C7"/>
    <w:rsid w:val="64DB4F3F"/>
    <w:rsid w:val="64DE616D"/>
    <w:rsid w:val="64E02555"/>
    <w:rsid w:val="64E10284"/>
    <w:rsid w:val="64E21E2A"/>
    <w:rsid w:val="64E53367"/>
    <w:rsid w:val="64E536C8"/>
    <w:rsid w:val="64E97686"/>
    <w:rsid w:val="64EC0EFA"/>
    <w:rsid w:val="64EE4C72"/>
    <w:rsid w:val="64EF2799"/>
    <w:rsid w:val="64F031D4"/>
    <w:rsid w:val="64F25DE5"/>
    <w:rsid w:val="64F32289"/>
    <w:rsid w:val="64F47DAF"/>
    <w:rsid w:val="64F56864"/>
    <w:rsid w:val="64F56A29"/>
    <w:rsid w:val="64F8164D"/>
    <w:rsid w:val="64FB113D"/>
    <w:rsid w:val="6501769D"/>
    <w:rsid w:val="6502427A"/>
    <w:rsid w:val="65046244"/>
    <w:rsid w:val="65053D6A"/>
    <w:rsid w:val="650A312E"/>
    <w:rsid w:val="650D2C1F"/>
    <w:rsid w:val="650E0E71"/>
    <w:rsid w:val="650E70C3"/>
    <w:rsid w:val="651D5558"/>
    <w:rsid w:val="651E4C38"/>
    <w:rsid w:val="6522491C"/>
    <w:rsid w:val="652266CA"/>
    <w:rsid w:val="652341F0"/>
    <w:rsid w:val="65285B05"/>
    <w:rsid w:val="652C5AFB"/>
    <w:rsid w:val="652C7549"/>
    <w:rsid w:val="652D1B5C"/>
    <w:rsid w:val="652E506F"/>
    <w:rsid w:val="653308D7"/>
    <w:rsid w:val="65363F24"/>
    <w:rsid w:val="65377536"/>
    <w:rsid w:val="653A1C66"/>
    <w:rsid w:val="65406257"/>
    <w:rsid w:val="65426D6C"/>
    <w:rsid w:val="65450A41"/>
    <w:rsid w:val="6546685C"/>
    <w:rsid w:val="65472B37"/>
    <w:rsid w:val="65493C57"/>
    <w:rsid w:val="6549634D"/>
    <w:rsid w:val="654C1999"/>
    <w:rsid w:val="65515201"/>
    <w:rsid w:val="65534AD5"/>
    <w:rsid w:val="65566374"/>
    <w:rsid w:val="6558033E"/>
    <w:rsid w:val="655D5954"/>
    <w:rsid w:val="655F16CC"/>
    <w:rsid w:val="65622F6B"/>
    <w:rsid w:val="65626E56"/>
    <w:rsid w:val="65646CE3"/>
    <w:rsid w:val="656661C8"/>
    <w:rsid w:val="656960A7"/>
    <w:rsid w:val="65736F26"/>
    <w:rsid w:val="657C227E"/>
    <w:rsid w:val="657D6AE4"/>
    <w:rsid w:val="6582360D"/>
    <w:rsid w:val="658630FD"/>
    <w:rsid w:val="658D65D9"/>
    <w:rsid w:val="658F0577"/>
    <w:rsid w:val="658F5EAE"/>
    <w:rsid w:val="65907AD8"/>
    <w:rsid w:val="65931376"/>
    <w:rsid w:val="659A0956"/>
    <w:rsid w:val="659B0B9A"/>
    <w:rsid w:val="659B647C"/>
    <w:rsid w:val="659F09EE"/>
    <w:rsid w:val="65A2780B"/>
    <w:rsid w:val="65AD2209"/>
    <w:rsid w:val="65AE7F5E"/>
    <w:rsid w:val="65B15345"/>
    <w:rsid w:val="65B433A9"/>
    <w:rsid w:val="65B6730B"/>
    <w:rsid w:val="65BB267B"/>
    <w:rsid w:val="65BC0577"/>
    <w:rsid w:val="65BD4645"/>
    <w:rsid w:val="65BE41D5"/>
    <w:rsid w:val="65BF03BD"/>
    <w:rsid w:val="65BF660F"/>
    <w:rsid w:val="65C07D27"/>
    <w:rsid w:val="65C14135"/>
    <w:rsid w:val="65C459D3"/>
    <w:rsid w:val="65CB0B10"/>
    <w:rsid w:val="65D35C16"/>
    <w:rsid w:val="65D3619D"/>
    <w:rsid w:val="65D80B7F"/>
    <w:rsid w:val="65D86017"/>
    <w:rsid w:val="65E11CB1"/>
    <w:rsid w:val="65E16585"/>
    <w:rsid w:val="65E362B1"/>
    <w:rsid w:val="65E9368C"/>
    <w:rsid w:val="65EC4433"/>
    <w:rsid w:val="65EF46DD"/>
    <w:rsid w:val="65F90E7C"/>
    <w:rsid w:val="65FC6F1B"/>
    <w:rsid w:val="65FD355F"/>
    <w:rsid w:val="66062D44"/>
    <w:rsid w:val="66065FEC"/>
    <w:rsid w:val="66081D64"/>
    <w:rsid w:val="66091638"/>
    <w:rsid w:val="660979AD"/>
    <w:rsid w:val="660C1A49"/>
    <w:rsid w:val="661108C1"/>
    <w:rsid w:val="661632D0"/>
    <w:rsid w:val="661A0911"/>
    <w:rsid w:val="66236B9E"/>
    <w:rsid w:val="6626043C"/>
    <w:rsid w:val="662D3578"/>
    <w:rsid w:val="662E109F"/>
    <w:rsid w:val="662F5543"/>
    <w:rsid w:val="66303069"/>
    <w:rsid w:val="66326DE1"/>
    <w:rsid w:val="66377785"/>
    <w:rsid w:val="66395563"/>
    <w:rsid w:val="663A30CA"/>
    <w:rsid w:val="663A5C95"/>
    <w:rsid w:val="663C1A0D"/>
    <w:rsid w:val="663F32AC"/>
    <w:rsid w:val="663F505A"/>
    <w:rsid w:val="66432D9C"/>
    <w:rsid w:val="664408C2"/>
    <w:rsid w:val="6646463A"/>
    <w:rsid w:val="664856F2"/>
    <w:rsid w:val="664B39FF"/>
    <w:rsid w:val="664B7EA3"/>
    <w:rsid w:val="664C2FA5"/>
    <w:rsid w:val="664D3C1B"/>
    <w:rsid w:val="664D7777"/>
    <w:rsid w:val="6650370B"/>
    <w:rsid w:val="66551CC6"/>
    <w:rsid w:val="665925BF"/>
    <w:rsid w:val="665C20B0"/>
    <w:rsid w:val="665C5C0C"/>
    <w:rsid w:val="665D44C4"/>
    <w:rsid w:val="66615387"/>
    <w:rsid w:val="66664368"/>
    <w:rsid w:val="66680A54"/>
    <w:rsid w:val="666B22F3"/>
    <w:rsid w:val="66707FEA"/>
    <w:rsid w:val="667271DD"/>
    <w:rsid w:val="6679056C"/>
    <w:rsid w:val="667967BE"/>
    <w:rsid w:val="667A42E4"/>
    <w:rsid w:val="667C1E0A"/>
    <w:rsid w:val="667C4500"/>
    <w:rsid w:val="667F5A9A"/>
    <w:rsid w:val="6683763C"/>
    <w:rsid w:val="668533B4"/>
    <w:rsid w:val="6685680F"/>
    <w:rsid w:val="66884C53"/>
    <w:rsid w:val="66886A01"/>
    <w:rsid w:val="66897775"/>
    <w:rsid w:val="66901E43"/>
    <w:rsid w:val="66903B07"/>
    <w:rsid w:val="6692787F"/>
    <w:rsid w:val="669435F8"/>
    <w:rsid w:val="6694497A"/>
    <w:rsid w:val="669811DF"/>
    <w:rsid w:val="669E0B12"/>
    <w:rsid w:val="669F2EC7"/>
    <w:rsid w:val="66A00B1A"/>
    <w:rsid w:val="66A82BFF"/>
    <w:rsid w:val="66A84C39"/>
    <w:rsid w:val="66AB0941"/>
    <w:rsid w:val="66AB26EF"/>
    <w:rsid w:val="66AC6B93"/>
    <w:rsid w:val="66B141AA"/>
    <w:rsid w:val="66B47C99"/>
    <w:rsid w:val="66B90C2B"/>
    <w:rsid w:val="66BA2932"/>
    <w:rsid w:val="66C37A39"/>
    <w:rsid w:val="66C537B1"/>
    <w:rsid w:val="66C814F3"/>
    <w:rsid w:val="66C8643E"/>
    <w:rsid w:val="66CC6405"/>
    <w:rsid w:val="66CE1496"/>
    <w:rsid w:val="66D24120"/>
    <w:rsid w:val="66D32372"/>
    <w:rsid w:val="66D439F4"/>
    <w:rsid w:val="66DE0D17"/>
    <w:rsid w:val="66E005EB"/>
    <w:rsid w:val="66E107AF"/>
    <w:rsid w:val="66E57795"/>
    <w:rsid w:val="66EA76BB"/>
    <w:rsid w:val="66EC2DE8"/>
    <w:rsid w:val="66EC2F44"/>
    <w:rsid w:val="66ED0F5A"/>
    <w:rsid w:val="66EF6A80"/>
    <w:rsid w:val="66F2031E"/>
    <w:rsid w:val="66F45E44"/>
    <w:rsid w:val="66FB71D3"/>
    <w:rsid w:val="66FE4F15"/>
    <w:rsid w:val="67000C8D"/>
    <w:rsid w:val="67006EDF"/>
    <w:rsid w:val="6700790A"/>
    <w:rsid w:val="670215DF"/>
    <w:rsid w:val="670A5668"/>
    <w:rsid w:val="670B6618"/>
    <w:rsid w:val="670D6F06"/>
    <w:rsid w:val="670F2C7E"/>
    <w:rsid w:val="67114C48"/>
    <w:rsid w:val="6712451C"/>
    <w:rsid w:val="671309C0"/>
    <w:rsid w:val="671367B5"/>
    <w:rsid w:val="67140294"/>
    <w:rsid w:val="671D35ED"/>
    <w:rsid w:val="671E1113"/>
    <w:rsid w:val="671E7365"/>
    <w:rsid w:val="67222094"/>
    <w:rsid w:val="6723175B"/>
    <w:rsid w:val="6723497B"/>
    <w:rsid w:val="67237D4A"/>
    <w:rsid w:val="67242BCD"/>
    <w:rsid w:val="6727621A"/>
    <w:rsid w:val="67283D40"/>
    <w:rsid w:val="672A7AB8"/>
    <w:rsid w:val="67310E46"/>
    <w:rsid w:val="673426E5"/>
    <w:rsid w:val="673821D5"/>
    <w:rsid w:val="67395F4D"/>
    <w:rsid w:val="673B3A73"/>
    <w:rsid w:val="673F4CC4"/>
    <w:rsid w:val="6740552D"/>
    <w:rsid w:val="674072DB"/>
    <w:rsid w:val="67430B7A"/>
    <w:rsid w:val="67446DCC"/>
    <w:rsid w:val="67542D87"/>
    <w:rsid w:val="67550FD9"/>
    <w:rsid w:val="67564D51"/>
    <w:rsid w:val="675B2367"/>
    <w:rsid w:val="676A6106"/>
    <w:rsid w:val="676B07FC"/>
    <w:rsid w:val="676D025A"/>
    <w:rsid w:val="676E209B"/>
    <w:rsid w:val="676E5BF7"/>
    <w:rsid w:val="67762CFD"/>
    <w:rsid w:val="6777664F"/>
    <w:rsid w:val="67825B46"/>
    <w:rsid w:val="6782764B"/>
    <w:rsid w:val="678418BE"/>
    <w:rsid w:val="67852F40"/>
    <w:rsid w:val="67874F0A"/>
    <w:rsid w:val="67890C82"/>
    <w:rsid w:val="678B616D"/>
    <w:rsid w:val="678C2521"/>
    <w:rsid w:val="678E0047"/>
    <w:rsid w:val="678E0566"/>
    <w:rsid w:val="6790177A"/>
    <w:rsid w:val="67937902"/>
    <w:rsid w:val="679413D5"/>
    <w:rsid w:val="67966EFB"/>
    <w:rsid w:val="67980EC5"/>
    <w:rsid w:val="679F6EB4"/>
    <w:rsid w:val="67A1421E"/>
    <w:rsid w:val="67A63A9A"/>
    <w:rsid w:val="67AE06E9"/>
    <w:rsid w:val="67B0620F"/>
    <w:rsid w:val="67B83316"/>
    <w:rsid w:val="67BA0E3C"/>
    <w:rsid w:val="67BC1058"/>
    <w:rsid w:val="67C036F4"/>
    <w:rsid w:val="67CC6DC1"/>
    <w:rsid w:val="67CE0D8B"/>
    <w:rsid w:val="67D068B1"/>
    <w:rsid w:val="67D16185"/>
    <w:rsid w:val="67D31EFE"/>
    <w:rsid w:val="67D53EC8"/>
    <w:rsid w:val="67D75E41"/>
    <w:rsid w:val="67DA7730"/>
    <w:rsid w:val="67DD4B2A"/>
    <w:rsid w:val="67DF4D46"/>
    <w:rsid w:val="67E97973"/>
    <w:rsid w:val="67EC1211"/>
    <w:rsid w:val="67ED1A09"/>
    <w:rsid w:val="67F027BB"/>
    <w:rsid w:val="67F307F2"/>
    <w:rsid w:val="67F500C6"/>
    <w:rsid w:val="67FA7D4C"/>
    <w:rsid w:val="67FC1454"/>
    <w:rsid w:val="67FC6A66"/>
    <w:rsid w:val="67FD51CC"/>
    <w:rsid w:val="67FD6528"/>
    <w:rsid w:val="67FE01D8"/>
    <w:rsid w:val="680622D3"/>
    <w:rsid w:val="68077DF9"/>
    <w:rsid w:val="680848B9"/>
    <w:rsid w:val="680C5BF3"/>
    <w:rsid w:val="680E73DA"/>
    <w:rsid w:val="68104F00"/>
    <w:rsid w:val="681432BF"/>
    <w:rsid w:val="68180E35"/>
    <w:rsid w:val="681E586F"/>
    <w:rsid w:val="681F15E7"/>
    <w:rsid w:val="681F5BC7"/>
    <w:rsid w:val="68260162"/>
    <w:rsid w:val="68264723"/>
    <w:rsid w:val="68277C2A"/>
    <w:rsid w:val="6828049B"/>
    <w:rsid w:val="682D3D04"/>
    <w:rsid w:val="6832131A"/>
    <w:rsid w:val="68336E40"/>
    <w:rsid w:val="68376930"/>
    <w:rsid w:val="684626D0"/>
    <w:rsid w:val="684D3A5E"/>
    <w:rsid w:val="685017A0"/>
    <w:rsid w:val="68511B1C"/>
    <w:rsid w:val="68520577"/>
    <w:rsid w:val="68523A33"/>
    <w:rsid w:val="68553916"/>
    <w:rsid w:val="68572B2F"/>
    <w:rsid w:val="68585D79"/>
    <w:rsid w:val="685C1EF3"/>
    <w:rsid w:val="685E5C6B"/>
    <w:rsid w:val="686007CB"/>
    <w:rsid w:val="68625CD8"/>
    <w:rsid w:val="68692862"/>
    <w:rsid w:val="686A0AB4"/>
    <w:rsid w:val="686B0388"/>
    <w:rsid w:val="68725BBA"/>
    <w:rsid w:val="68785E71"/>
    <w:rsid w:val="687C07E7"/>
    <w:rsid w:val="687F0310"/>
    <w:rsid w:val="687F107F"/>
    <w:rsid w:val="68863414"/>
    <w:rsid w:val="688A4CB2"/>
    <w:rsid w:val="68923B67"/>
    <w:rsid w:val="68975621"/>
    <w:rsid w:val="689E706D"/>
    <w:rsid w:val="68AD09A1"/>
    <w:rsid w:val="68AD1056"/>
    <w:rsid w:val="68AD6BF3"/>
    <w:rsid w:val="68AF16DD"/>
    <w:rsid w:val="68AF4719"/>
    <w:rsid w:val="68B202C6"/>
    <w:rsid w:val="68B57855"/>
    <w:rsid w:val="68B910F3"/>
    <w:rsid w:val="68B9168D"/>
    <w:rsid w:val="68BC6E36"/>
    <w:rsid w:val="68C06926"/>
    <w:rsid w:val="68C21D29"/>
    <w:rsid w:val="68C33D20"/>
    <w:rsid w:val="68D26659"/>
    <w:rsid w:val="68D423D1"/>
    <w:rsid w:val="68D51CA5"/>
    <w:rsid w:val="68DB550E"/>
    <w:rsid w:val="68DD74D8"/>
    <w:rsid w:val="68DE6DAC"/>
    <w:rsid w:val="68E36170"/>
    <w:rsid w:val="68E36491"/>
    <w:rsid w:val="68E550C3"/>
    <w:rsid w:val="68E5638C"/>
    <w:rsid w:val="68E72104"/>
    <w:rsid w:val="68EA5751"/>
    <w:rsid w:val="68ED6FEF"/>
    <w:rsid w:val="68EF720B"/>
    <w:rsid w:val="68F00A95"/>
    <w:rsid w:val="69020CEC"/>
    <w:rsid w:val="69021082"/>
    <w:rsid w:val="69036813"/>
    <w:rsid w:val="69076303"/>
    <w:rsid w:val="690F0C92"/>
    <w:rsid w:val="69132EFA"/>
    <w:rsid w:val="69146C72"/>
    <w:rsid w:val="691722BE"/>
    <w:rsid w:val="69196EEA"/>
    <w:rsid w:val="691C6F33"/>
    <w:rsid w:val="6920000C"/>
    <w:rsid w:val="69201173"/>
    <w:rsid w:val="69232A11"/>
    <w:rsid w:val="69236EB5"/>
    <w:rsid w:val="69274C15"/>
    <w:rsid w:val="69280027"/>
    <w:rsid w:val="692844CB"/>
    <w:rsid w:val="692C5D69"/>
    <w:rsid w:val="692C7B17"/>
    <w:rsid w:val="692D0C83"/>
    <w:rsid w:val="692F13B6"/>
    <w:rsid w:val="692F61D9"/>
    <w:rsid w:val="693764BC"/>
    <w:rsid w:val="69380883"/>
    <w:rsid w:val="69390486"/>
    <w:rsid w:val="693B3BE9"/>
    <w:rsid w:val="693B7D5A"/>
    <w:rsid w:val="693C3AD3"/>
    <w:rsid w:val="693D709C"/>
    <w:rsid w:val="693E5A9D"/>
    <w:rsid w:val="69401815"/>
    <w:rsid w:val="69470DF5"/>
    <w:rsid w:val="69490DE0"/>
    <w:rsid w:val="694C640B"/>
    <w:rsid w:val="69513A22"/>
    <w:rsid w:val="6953779A"/>
    <w:rsid w:val="695452C0"/>
    <w:rsid w:val="69603C65"/>
    <w:rsid w:val="69633987"/>
    <w:rsid w:val="6965127B"/>
    <w:rsid w:val="69692B1A"/>
    <w:rsid w:val="696C43B8"/>
    <w:rsid w:val="696E6382"/>
    <w:rsid w:val="69733998"/>
    <w:rsid w:val="697C309E"/>
    <w:rsid w:val="698060B5"/>
    <w:rsid w:val="69823BDB"/>
    <w:rsid w:val="69882D82"/>
    <w:rsid w:val="69886D18"/>
    <w:rsid w:val="698B7FC2"/>
    <w:rsid w:val="698F62F8"/>
    <w:rsid w:val="6993437B"/>
    <w:rsid w:val="699833FF"/>
    <w:rsid w:val="699B0FC8"/>
    <w:rsid w:val="699B2EEF"/>
    <w:rsid w:val="699B4C9D"/>
    <w:rsid w:val="699D6C67"/>
    <w:rsid w:val="69A2602B"/>
    <w:rsid w:val="69A41DA4"/>
    <w:rsid w:val="69A91168"/>
    <w:rsid w:val="69AB1384"/>
    <w:rsid w:val="69AC2A06"/>
    <w:rsid w:val="69B0699A"/>
    <w:rsid w:val="69B144C0"/>
    <w:rsid w:val="69B31FE7"/>
    <w:rsid w:val="69B33D95"/>
    <w:rsid w:val="69B55D5F"/>
    <w:rsid w:val="69B8584F"/>
    <w:rsid w:val="69BA15C7"/>
    <w:rsid w:val="69BF098B"/>
    <w:rsid w:val="69C2222A"/>
    <w:rsid w:val="69C35833"/>
    <w:rsid w:val="69C441F4"/>
    <w:rsid w:val="69C53AC8"/>
    <w:rsid w:val="69C935B8"/>
    <w:rsid w:val="69D02B99"/>
    <w:rsid w:val="69D1246D"/>
    <w:rsid w:val="69D25B4D"/>
    <w:rsid w:val="69D72179"/>
    <w:rsid w:val="69DD3414"/>
    <w:rsid w:val="69E421A0"/>
    <w:rsid w:val="69EA09DE"/>
    <w:rsid w:val="69EA352F"/>
    <w:rsid w:val="69EE4313"/>
    <w:rsid w:val="69F4587B"/>
    <w:rsid w:val="69F53287"/>
    <w:rsid w:val="69F54D2E"/>
    <w:rsid w:val="69F66377"/>
    <w:rsid w:val="69FA0715"/>
    <w:rsid w:val="69FA7C16"/>
    <w:rsid w:val="69FB017C"/>
    <w:rsid w:val="69FB573C"/>
    <w:rsid w:val="69FF18D3"/>
    <w:rsid w:val="69FF347E"/>
    <w:rsid w:val="6A0171F6"/>
    <w:rsid w:val="6A070584"/>
    <w:rsid w:val="6A0A597F"/>
    <w:rsid w:val="6A0D4150"/>
    <w:rsid w:val="6A10568B"/>
    <w:rsid w:val="6A124842"/>
    <w:rsid w:val="6A1A02B8"/>
    <w:rsid w:val="6A1B047E"/>
    <w:rsid w:val="6A1D1C45"/>
    <w:rsid w:val="6A1D56B2"/>
    <w:rsid w:val="6A222CC8"/>
    <w:rsid w:val="6A22716C"/>
    <w:rsid w:val="6A227D0E"/>
    <w:rsid w:val="6A2D7FEB"/>
    <w:rsid w:val="6A303637"/>
    <w:rsid w:val="6A350C4E"/>
    <w:rsid w:val="6A3B3D8A"/>
    <w:rsid w:val="6A3C022E"/>
    <w:rsid w:val="6A3C1FDC"/>
    <w:rsid w:val="6A3F1ACC"/>
    <w:rsid w:val="6A426CC9"/>
    <w:rsid w:val="6A460CA7"/>
    <w:rsid w:val="6A4610AD"/>
    <w:rsid w:val="6A484E25"/>
    <w:rsid w:val="6A486BD3"/>
    <w:rsid w:val="6A4D41E9"/>
    <w:rsid w:val="6A4E61B3"/>
    <w:rsid w:val="6A4E7F61"/>
    <w:rsid w:val="6A5135AE"/>
    <w:rsid w:val="6A54261C"/>
    <w:rsid w:val="6A585D0E"/>
    <w:rsid w:val="6A5A06B4"/>
    <w:rsid w:val="6A5D1B9C"/>
    <w:rsid w:val="6A5F5CCB"/>
    <w:rsid w:val="6A635FA8"/>
    <w:rsid w:val="6A6E23B2"/>
    <w:rsid w:val="6A707ED8"/>
    <w:rsid w:val="6A7115D6"/>
    <w:rsid w:val="6A745C1A"/>
    <w:rsid w:val="6A767F57"/>
    <w:rsid w:val="6A793230"/>
    <w:rsid w:val="6A7B27A9"/>
    <w:rsid w:val="6A7D43A3"/>
    <w:rsid w:val="6A8120E5"/>
    <w:rsid w:val="6A845731"/>
    <w:rsid w:val="6A876FCF"/>
    <w:rsid w:val="6A894958"/>
    <w:rsid w:val="6A8B4D12"/>
    <w:rsid w:val="6A902328"/>
    <w:rsid w:val="6A9040D6"/>
    <w:rsid w:val="6A941E18"/>
    <w:rsid w:val="6A9811DC"/>
    <w:rsid w:val="6A99742E"/>
    <w:rsid w:val="6A9A4F55"/>
    <w:rsid w:val="6A9A6D03"/>
    <w:rsid w:val="6A9C0CCD"/>
    <w:rsid w:val="6A9E3B91"/>
    <w:rsid w:val="6AA45DD3"/>
    <w:rsid w:val="6AA638F9"/>
    <w:rsid w:val="6AA87672"/>
    <w:rsid w:val="6AA95BC6"/>
    <w:rsid w:val="6AAA163C"/>
    <w:rsid w:val="6AAB1A19"/>
    <w:rsid w:val="6AAF0A00"/>
    <w:rsid w:val="6AB204F0"/>
    <w:rsid w:val="6AB26742"/>
    <w:rsid w:val="6AB35899"/>
    <w:rsid w:val="6AB778B5"/>
    <w:rsid w:val="6AB9187F"/>
    <w:rsid w:val="6AB9362D"/>
    <w:rsid w:val="6ABA55F7"/>
    <w:rsid w:val="6AC26F41"/>
    <w:rsid w:val="6AC33DB7"/>
    <w:rsid w:val="6AC56475"/>
    <w:rsid w:val="6AC63F9C"/>
    <w:rsid w:val="6ACA583A"/>
    <w:rsid w:val="6ACC2C9C"/>
    <w:rsid w:val="6AD05313"/>
    <w:rsid w:val="6AD466B8"/>
    <w:rsid w:val="6AD77F57"/>
    <w:rsid w:val="6AD8071A"/>
    <w:rsid w:val="6AE023C2"/>
    <w:rsid w:val="6AE306AA"/>
    <w:rsid w:val="6AE52674"/>
    <w:rsid w:val="6AE61F48"/>
    <w:rsid w:val="6AEA5EDC"/>
    <w:rsid w:val="6AEB57B0"/>
    <w:rsid w:val="6AED1528"/>
    <w:rsid w:val="6AED777A"/>
    <w:rsid w:val="6AEF52A0"/>
    <w:rsid w:val="6AEF704E"/>
    <w:rsid w:val="6AF136B5"/>
    <w:rsid w:val="6AF9611F"/>
    <w:rsid w:val="6AFB1E97"/>
    <w:rsid w:val="6AFF300A"/>
    <w:rsid w:val="6B014FD4"/>
    <w:rsid w:val="6B016D82"/>
    <w:rsid w:val="6B030D4C"/>
    <w:rsid w:val="6B040620"/>
    <w:rsid w:val="6B080110"/>
    <w:rsid w:val="6B0C26B5"/>
    <w:rsid w:val="6B1116BB"/>
    <w:rsid w:val="6B1271E1"/>
    <w:rsid w:val="6B1765A5"/>
    <w:rsid w:val="6B1860D6"/>
    <w:rsid w:val="6B19056F"/>
    <w:rsid w:val="6B19231D"/>
    <w:rsid w:val="6B1B42E7"/>
    <w:rsid w:val="6B1C1E0E"/>
    <w:rsid w:val="6B1E157D"/>
    <w:rsid w:val="6B1E2C4D"/>
    <w:rsid w:val="6B2034A7"/>
    <w:rsid w:val="6B2313EE"/>
    <w:rsid w:val="6B264A3A"/>
    <w:rsid w:val="6B272FFA"/>
    <w:rsid w:val="6B2A0087"/>
    <w:rsid w:val="6B301415"/>
    <w:rsid w:val="6B340F05"/>
    <w:rsid w:val="6B39200D"/>
    <w:rsid w:val="6B39476E"/>
    <w:rsid w:val="6B3C600C"/>
    <w:rsid w:val="6B3D24B0"/>
    <w:rsid w:val="6B3E3B32"/>
    <w:rsid w:val="6B457CC4"/>
    <w:rsid w:val="6B476E8A"/>
    <w:rsid w:val="6B4A0729"/>
    <w:rsid w:val="6B4A697B"/>
    <w:rsid w:val="6B511AB7"/>
    <w:rsid w:val="6B563571"/>
    <w:rsid w:val="6B592977"/>
    <w:rsid w:val="6B5947EC"/>
    <w:rsid w:val="6B594E10"/>
    <w:rsid w:val="6B5A2FD8"/>
    <w:rsid w:val="6B5E2426"/>
    <w:rsid w:val="6B623CC4"/>
    <w:rsid w:val="6B630500"/>
    <w:rsid w:val="6B685053"/>
    <w:rsid w:val="6B686E01"/>
    <w:rsid w:val="6B6C4B43"/>
    <w:rsid w:val="6B712159"/>
    <w:rsid w:val="6B761553"/>
    <w:rsid w:val="6B7632CC"/>
    <w:rsid w:val="6B7C2964"/>
    <w:rsid w:val="6B7C51E5"/>
    <w:rsid w:val="6B7D28AC"/>
    <w:rsid w:val="6B8005EE"/>
    <w:rsid w:val="6B836E07"/>
    <w:rsid w:val="6B841E74"/>
    <w:rsid w:val="6B842A13"/>
    <w:rsid w:val="6B854729"/>
    <w:rsid w:val="6B863F8C"/>
    <w:rsid w:val="6B8C2426"/>
    <w:rsid w:val="6B8E7776"/>
    <w:rsid w:val="6B8F25DF"/>
    <w:rsid w:val="6B947BF6"/>
    <w:rsid w:val="6B99520C"/>
    <w:rsid w:val="6B9B0F84"/>
    <w:rsid w:val="6B9F6960"/>
    <w:rsid w:val="6BA234A1"/>
    <w:rsid w:val="6BA350A4"/>
    <w:rsid w:val="6BA46CEF"/>
    <w:rsid w:val="6BA53BB1"/>
    <w:rsid w:val="6BA8544F"/>
    <w:rsid w:val="6BAA7419"/>
    <w:rsid w:val="6BAC4F3F"/>
    <w:rsid w:val="6BAE0CB8"/>
    <w:rsid w:val="6BAF2C82"/>
    <w:rsid w:val="6BB107A8"/>
    <w:rsid w:val="6BB35604"/>
    <w:rsid w:val="6BB661EC"/>
    <w:rsid w:val="6BB70F10"/>
    <w:rsid w:val="6BBB1626"/>
    <w:rsid w:val="6BBB33D4"/>
    <w:rsid w:val="6BBD539F"/>
    <w:rsid w:val="6BBE4C73"/>
    <w:rsid w:val="6BC06C3D"/>
    <w:rsid w:val="6BC57F00"/>
    <w:rsid w:val="6BC73B27"/>
    <w:rsid w:val="6BCF6E80"/>
    <w:rsid w:val="6BD050D2"/>
    <w:rsid w:val="6BD3071E"/>
    <w:rsid w:val="6BD821D8"/>
    <w:rsid w:val="6BDB5825"/>
    <w:rsid w:val="6BDF5315"/>
    <w:rsid w:val="6BE467D1"/>
    <w:rsid w:val="6BE65489"/>
    <w:rsid w:val="6BE73BFE"/>
    <w:rsid w:val="6BE741CA"/>
    <w:rsid w:val="6BE96194"/>
    <w:rsid w:val="6BEC17E0"/>
    <w:rsid w:val="6BEC7A32"/>
    <w:rsid w:val="6BF07522"/>
    <w:rsid w:val="6BF25356"/>
    <w:rsid w:val="6BF44EAF"/>
    <w:rsid w:val="6BF6265F"/>
    <w:rsid w:val="6BF66731"/>
    <w:rsid w:val="6BFF3C0B"/>
    <w:rsid w:val="6C083EDD"/>
    <w:rsid w:val="6C0B610A"/>
    <w:rsid w:val="6C0C1250"/>
    <w:rsid w:val="6C0E5BFA"/>
    <w:rsid w:val="6C0F0DFC"/>
    <w:rsid w:val="6C136D6D"/>
    <w:rsid w:val="6C141D47"/>
    <w:rsid w:val="6C150D37"/>
    <w:rsid w:val="6C164AAF"/>
    <w:rsid w:val="6C1672C1"/>
    <w:rsid w:val="6C17459F"/>
    <w:rsid w:val="6C180827"/>
    <w:rsid w:val="6C1F3963"/>
    <w:rsid w:val="6C2076DB"/>
    <w:rsid w:val="6C264CF2"/>
    <w:rsid w:val="6C270246"/>
    <w:rsid w:val="6C2B1DC9"/>
    <w:rsid w:val="6C2C7E2E"/>
    <w:rsid w:val="6C2E004A"/>
    <w:rsid w:val="6C327B3B"/>
    <w:rsid w:val="6C3513D9"/>
    <w:rsid w:val="6C375151"/>
    <w:rsid w:val="6C3C4515"/>
    <w:rsid w:val="6C3D64DF"/>
    <w:rsid w:val="6C417D7E"/>
    <w:rsid w:val="6C423CA9"/>
    <w:rsid w:val="6C4537CF"/>
    <w:rsid w:val="6C457946"/>
    <w:rsid w:val="6C4B4A70"/>
    <w:rsid w:val="6C4C04D0"/>
    <w:rsid w:val="6C4D3E71"/>
    <w:rsid w:val="6C515AE7"/>
    <w:rsid w:val="6C5706BC"/>
    <w:rsid w:val="6C5775A1"/>
    <w:rsid w:val="6C580C23"/>
    <w:rsid w:val="6C586E75"/>
    <w:rsid w:val="6C5B4ADD"/>
    <w:rsid w:val="6C5B7766"/>
    <w:rsid w:val="6C5C11C9"/>
    <w:rsid w:val="6C5D26DE"/>
    <w:rsid w:val="6C5D448C"/>
    <w:rsid w:val="6C6972D4"/>
    <w:rsid w:val="6C6A16B7"/>
    <w:rsid w:val="6C6B6BA9"/>
    <w:rsid w:val="6C6B6C2A"/>
    <w:rsid w:val="6C6E6699"/>
    <w:rsid w:val="6C702411"/>
    <w:rsid w:val="6C72227A"/>
    <w:rsid w:val="6C757A27"/>
    <w:rsid w:val="6C7672FB"/>
    <w:rsid w:val="6C7A3290"/>
    <w:rsid w:val="6C81017A"/>
    <w:rsid w:val="6C815AC2"/>
    <w:rsid w:val="6C823EF2"/>
    <w:rsid w:val="6C845EBC"/>
    <w:rsid w:val="6C885039"/>
    <w:rsid w:val="6C8859AD"/>
    <w:rsid w:val="6C8A6B02"/>
    <w:rsid w:val="6C8C6B1F"/>
    <w:rsid w:val="6C90660F"/>
    <w:rsid w:val="6C9205D9"/>
    <w:rsid w:val="6C97174C"/>
    <w:rsid w:val="6C9A123C"/>
    <w:rsid w:val="6C9A56E0"/>
    <w:rsid w:val="6C9F4AA4"/>
    <w:rsid w:val="6CA4030D"/>
    <w:rsid w:val="6CAB7E55"/>
    <w:rsid w:val="6CB5251A"/>
    <w:rsid w:val="6CB56076"/>
    <w:rsid w:val="6CB87914"/>
    <w:rsid w:val="6CBA0FE1"/>
    <w:rsid w:val="6CBE317C"/>
    <w:rsid w:val="6CC14A1B"/>
    <w:rsid w:val="6CC22541"/>
    <w:rsid w:val="6CC27C76"/>
    <w:rsid w:val="6CC30793"/>
    <w:rsid w:val="6CC354FC"/>
    <w:rsid w:val="6CC462B9"/>
    <w:rsid w:val="6CC938CF"/>
    <w:rsid w:val="6CD209D6"/>
    <w:rsid w:val="6CD306F8"/>
    <w:rsid w:val="6CD81D64"/>
    <w:rsid w:val="6CD97FB6"/>
    <w:rsid w:val="6CDC3602"/>
    <w:rsid w:val="6CDD60A6"/>
    <w:rsid w:val="6CDE737B"/>
    <w:rsid w:val="6CE30E35"/>
    <w:rsid w:val="6CE4695B"/>
    <w:rsid w:val="6CE81FA7"/>
    <w:rsid w:val="6CE8644B"/>
    <w:rsid w:val="6CE93F71"/>
    <w:rsid w:val="6CEB1A97"/>
    <w:rsid w:val="6CED3A62"/>
    <w:rsid w:val="6CF04751"/>
    <w:rsid w:val="6CF22E26"/>
    <w:rsid w:val="6CF52916"/>
    <w:rsid w:val="6CFA617E"/>
    <w:rsid w:val="6CFC5A53"/>
    <w:rsid w:val="6CFE7A1D"/>
    <w:rsid w:val="6D0019E7"/>
    <w:rsid w:val="6D035033"/>
    <w:rsid w:val="6D0509B6"/>
    <w:rsid w:val="6D090170"/>
    <w:rsid w:val="6D0A4613"/>
    <w:rsid w:val="6D0B3EE8"/>
    <w:rsid w:val="6D107750"/>
    <w:rsid w:val="6D1234C8"/>
    <w:rsid w:val="6D1E3C1B"/>
    <w:rsid w:val="6D1F412E"/>
    <w:rsid w:val="6D266F73"/>
    <w:rsid w:val="6D2B458A"/>
    <w:rsid w:val="6D2B6338"/>
    <w:rsid w:val="6D34343E"/>
    <w:rsid w:val="6D3451EC"/>
    <w:rsid w:val="6D350F65"/>
    <w:rsid w:val="6D3978A6"/>
    <w:rsid w:val="6D3A5127"/>
    <w:rsid w:val="6D3E02D9"/>
    <w:rsid w:val="6D3E06C9"/>
    <w:rsid w:val="6D3E250F"/>
    <w:rsid w:val="6D3F7117"/>
    <w:rsid w:val="6D4213AC"/>
    <w:rsid w:val="6D467052"/>
    <w:rsid w:val="6D4E3543"/>
    <w:rsid w:val="6D4F0278"/>
    <w:rsid w:val="6D4F2026"/>
    <w:rsid w:val="6D505D9E"/>
    <w:rsid w:val="6D512242"/>
    <w:rsid w:val="6D513FF0"/>
    <w:rsid w:val="6D521B17"/>
    <w:rsid w:val="6D5238C5"/>
    <w:rsid w:val="6D561607"/>
    <w:rsid w:val="6D570025"/>
    <w:rsid w:val="6D5B4E6F"/>
    <w:rsid w:val="6D5B6C1D"/>
    <w:rsid w:val="6D611D5A"/>
    <w:rsid w:val="6D616AB2"/>
    <w:rsid w:val="6D617FAC"/>
    <w:rsid w:val="6D642862"/>
    <w:rsid w:val="6D657A9C"/>
    <w:rsid w:val="6D667370"/>
    <w:rsid w:val="6D6B5FE5"/>
    <w:rsid w:val="6D6D6950"/>
    <w:rsid w:val="6D745F31"/>
    <w:rsid w:val="6D747729"/>
    <w:rsid w:val="6D747CDF"/>
    <w:rsid w:val="6D7952F5"/>
    <w:rsid w:val="6D7A61C9"/>
    <w:rsid w:val="6D832679"/>
    <w:rsid w:val="6D8617C0"/>
    <w:rsid w:val="6D8F4B19"/>
    <w:rsid w:val="6D91263F"/>
    <w:rsid w:val="6D942381"/>
    <w:rsid w:val="6D9D7236"/>
    <w:rsid w:val="6D9E4D5C"/>
    <w:rsid w:val="6DA51372"/>
    <w:rsid w:val="6DA700B4"/>
    <w:rsid w:val="6DAC1227"/>
    <w:rsid w:val="6DAC2834"/>
    <w:rsid w:val="6DAD4F9F"/>
    <w:rsid w:val="6DB1683D"/>
    <w:rsid w:val="6DB225B5"/>
    <w:rsid w:val="6DB35745"/>
    <w:rsid w:val="6DBA39B1"/>
    <w:rsid w:val="6DBC2D09"/>
    <w:rsid w:val="6DBC51E2"/>
    <w:rsid w:val="6DBE53FE"/>
    <w:rsid w:val="6DC21DEE"/>
    <w:rsid w:val="6DC81DD9"/>
    <w:rsid w:val="6DC9002B"/>
    <w:rsid w:val="6DC9627D"/>
    <w:rsid w:val="6DD135E5"/>
    <w:rsid w:val="6DD32C57"/>
    <w:rsid w:val="6DD442E6"/>
    <w:rsid w:val="6DD864C0"/>
    <w:rsid w:val="6DD93FE6"/>
    <w:rsid w:val="6DD95C8D"/>
    <w:rsid w:val="6DDD3AD6"/>
    <w:rsid w:val="6DE05CD4"/>
    <w:rsid w:val="6DE24C48"/>
    <w:rsid w:val="6DE309C1"/>
    <w:rsid w:val="6DE5298B"/>
    <w:rsid w:val="6DE85FD7"/>
    <w:rsid w:val="6DE9247B"/>
    <w:rsid w:val="6DEC3D19"/>
    <w:rsid w:val="6DED3309"/>
    <w:rsid w:val="6DEE7A91"/>
    <w:rsid w:val="6DEF3809"/>
    <w:rsid w:val="6DF36E56"/>
    <w:rsid w:val="6DF42BCE"/>
    <w:rsid w:val="6DF606F4"/>
    <w:rsid w:val="6DF64282"/>
    <w:rsid w:val="6DF80910"/>
    <w:rsid w:val="6DF901E4"/>
    <w:rsid w:val="6DFA4688"/>
    <w:rsid w:val="6DFB3F5C"/>
    <w:rsid w:val="6DFF4B3E"/>
    <w:rsid w:val="6DFF5B12"/>
    <w:rsid w:val="6E02353D"/>
    <w:rsid w:val="6E0659AC"/>
    <w:rsid w:val="6E096679"/>
    <w:rsid w:val="6E0C6169"/>
    <w:rsid w:val="6E105EB1"/>
    <w:rsid w:val="6E1312A6"/>
    <w:rsid w:val="6E176DA8"/>
    <w:rsid w:val="6E184B0E"/>
    <w:rsid w:val="6E1D0376"/>
    <w:rsid w:val="6E1F7C4B"/>
    <w:rsid w:val="6E201C15"/>
    <w:rsid w:val="6E223498"/>
    <w:rsid w:val="6E22773B"/>
    <w:rsid w:val="6E263B15"/>
    <w:rsid w:val="6E2A4841"/>
    <w:rsid w:val="6E2E4332"/>
    <w:rsid w:val="6E3000AA"/>
    <w:rsid w:val="6E3D4575"/>
    <w:rsid w:val="6E4B6C92"/>
    <w:rsid w:val="6E4C0396"/>
    <w:rsid w:val="6E522CAD"/>
    <w:rsid w:val="6E5377EC"/>
    <w:rsid w:val="6E565636"/>
    <w:rsid w:val="6E5A5127"/>
    <w:rsid w:val="6E5C19CE"/>
    <w:rsid w:val="6E5F273D"/>
    <w:rsid w:val="6E62342C"/>
    <w:rsid w:val="6E6733A0"/>
    <w:rsid w:val="6E6B10E2"/>
    <w:rsid w:val="6E6D676C"/>
    <w:rsid w:val="6E6E472E"/>
    <w:rsid w:val="6E7A0843"/>
    <w:rsid w:val="6E7B6E4B"/>
    <w:rsid w:val="6E7D0E15"/>
    <w:rsid w:val="6E804461"/>
    <w:rsid w:val="6E810905"/>
    <w:rsid w:val="6E8126B3"/>
    <w:rsid w:val="6E82642B"/>
    <w:rsid w:val="6E89335C"/>
    <w:rsid w:val="6E895A0C"/>
    <w:rsid w:val="6E8A03A5"/>
    <w:rsid w:val="6E8C40E8"/>
    <w:rsid w:val="6E91041D"/>
    <w:rsid w:val="6E91558C"/>
    <w:rsid w:val="6E922B12"/>
    <w:rsid w:val="6E941653"/>
    <w:rsid w:val="6E9879FD"/>
    <w:rsid w:val="6E9E14B7"/>
    <w:rsid w:val="6EA25D30"/>
    <w:rsid w:val="6EAD16FA"/>
    <w:rsid w:val="6EB10C80"/>
    <w:rsid w:val="6EB365E5"/>
    <w:rsid w:val="6EB60DF0"/>
    <w:rsid w:val="6EB8009F"/>
    <w:rsid w:val="6EB84305"/>
    <w:rsid w:val="6EB93430"/>
    <w:rsid w:val="6EC24A7A"/>
    <w:rsid w:val="6EC32CCC"/>
    <w:rsid w:val="6EC4452A"/>
    <w:rsid w:val="6EC67DFF"/>
    <w:rsid w:val="6EC9405A"/>
    <w:rsid w:val="6ECA36D3"/>
    <w:rsid w:val="6ECC76A7"/>
    <w:rsid w:val="6ECD2716"/>
    <w:rsid w:val="6ECE55DC"/>
    <w:rsid w:val="6ED053E9"/>
    <w:rsid w:val="6ED44ED9"/>
    <w:rsid w:val="6EE51CFE"/>
    <w:rsid w:val="6EE64C0C"/>
    <w:rsid w:val="6EE82E45"/>
    <w:rsid w:val="6EEB2223"/>
    <w:rsid w:val="6EEE586F"/>
    <w:rsid w:val="6EF00DC8"/>
    <w:rsid w:val="6EF56BFD"/>
    <w:rsid w:val="6EF8049C"/>
    <w:rsid w:val="6EFA4214"/>
    <w:rsid w:val="6EFD09F1"/>
    <w:rsid w:val="6EFE3D04"/>
    <w:rsid w:val="6EFF7A7C"/>
    <w:rsid w:val="6F0230C8"/>
    <w:rsid w:val="6F0357BE"/>
    <w:rsid w:val="6F0440B7"/>
    <w:rsid w:val="6F084B83"/>
    <w:rsid w:val="6F0A08FB"/>
    <w:rsid w:val="6F143527"/>
    <w:rsid w:val="6F16554D"/>
    <w:rsid w:val="6F190B3E"/>
    <w:rsid w:val="6F1928EC"/>
    <w:rsid w:val="6F1E43A6"/>
    <w:rsid w:val="6F213E96"/>
    <w:rsid w:val="6F215C44"/>
    <w:rsid w:val="6F255735"/>
    <w:rsid w:val="6F26325B"/>
    <w:rsid w:val="6F2861E7"/>
    <w:rsid w:val="6F2B261F"/>
    <w:rsid w:val="6F2B3057"/>
    <w:rsid w:val="6F2C5FF8"/>
    <w:rsid w:val="6F2D283B"/>
    <w:rsid w:val="6F2F210F"/>
    <w:rsid w:val="6F340B5E"/>
    <w:rsid w:val="6F345978"/>
    <w:rsid w:val="6F3C5AED"/>
    <w:rsid w:val="6F40431D"/>
    <w:rsid w:val="6F437969"/>
    <w:rsid w:val="6F441EB0"/>
    <w:rsid w:val="6F466764"/>
    <w:rsid w:val="6F481423"/>
    <w:rsid w:val="6F4B4A6F"/>
    <w:rsid w:val="6F4B7F29"/>
    <w:rsid w:val="6F51652A"/>
    <w:rsid w:val="6F547DC8"/>
    <w:rsid w:val="6F563B40"/>
    <w:rsid w:val="6F571666"/>
    <w:rsid w:val="6F5778B8"/>
    <w:rsid w:val="6F5C6C7D"/>
    <w:rsid w:val="6F5D12B3"/>
    <w:rsid w:val="6F5D1A70"/>
    <w:rsid w:val="6F6049BF"/>
    <w:rsid w:val="6F60676D"/>
    <w:rsid w:val="6F62223F"/>
    <w:rsid w:val="6F6618A9"/>
    <w:rsid w:val="6F683873"/>
    <w:rsid w:val="6F6840AB"/>
    <w:rsid w:val="6F6A1399"/>
    <w:rsid w:val="6F6A5F99"/>
    <w:rsid w:val="6F6D49E6"/>
    <w:rsid w:val="6F6E3364"/>
    <w:rsid w:val="6F6F075E"/>
    <w:rsid w:val="6F710E60"/>
    <w:rsid w:val="6F7264A0"/>
    <w:rsid w:val="6F742218"/>
    <w:rsid w:val="6F773AB6"/>
    <w:rsid w:val="6F7E3097"/>
    <w:rsid w:val="6F83245B"/>
    <w:rsid w:val="6F8C7562"/>
    <w:rsid w:val="6F8D27C3"/>
    <w:rsid w:val="6F8D3F04"/>
    <w:rsid w:val="6F8D6E36"/>
    <w:rsid w:val="6F9401C4"/>
    <w:rsid w:val="6F9603E0"/>
    <w:rsid w:val="6F966EFB"/>
    <w:rsid w:val="6F9C6257"/>
    <w:rsid w:val="6F9E54E7"/>
    <w:rsid w:val="6FA06B69"/>
    <w:rsid w:val="6FA128E1"/>
    <w:rsid w:val="6FA523D2"/>
    <w:rsid w:val="6FA7614A"/>
    <w:rsid w:val="6FA81A3C"/>
    <w:rsid w:val="6FAF14A2"/>
    <w:rsid w:val="6FB10D76"/>
    <w:rsid w:val="6FB16FC8"/>
    <w:rsid w:val="6FB22D40"/>
    <w:rsid w:val="6FB2689C"/>
    <w:rsid w:val="6FB35C1F"/>
    <w:rsid w:val="6FB67229"/>
    <w:rsid w:val="6FC14D32"/>
    <w:rsid w:val="6FC447D3"/>
    <w:rsid w:val="6FC84312"/>
    <w:rsid w:val="6FC9117A"/>
    <w:rsid w:val="6FCA008A"/>
    <w:rsid w:val="6FCD1928"/>
    <w:rsid w:val="6FCE7B7A"/>
    <w:rsid w:val="6FCF38F2"/>
    <w:rsid w:val="6FD40F09"/>
    <w:rsid w:val="6FD44A65"/>
    <w:rsid w:val="6FD736E6"/>
    <w:rsid w:val="6FDC1B6B"/>
    <w:rsid w:val="6FDD1EA3"/>
    <w:rsid w:val="6FE0165C"/>
    <w:rsid w:val="6FE4739E"/>
    <w:rsid w:val="6FE50A20"/>
    <w:rsid w:val="6FE54EC4"/>
    <w:rsid w:val="6FE74798"/>
    <w:rsid w:val="6FE80510"/>
    <w:rsid w:val="6FEA3A6A"/>
    <w:rsid w:val="6FEB7D36"/>
    <w:rsid w:val="6FED5B27"/>
    <w:rsid w:val="6FEF189F"/>
    <w:rsid w:val="6FF003F1"/>
    <w:rsid w:val="6FF173C5"/>
    <w:rsid w:val="6FF17956"/>
    <w:rsid w:val="6FF3138F"/>
    <w:rsid w:val="6FF46EB5"/>
    <w:rsid w:val="6FF70753"/>
    <w:rsid w:val="6FFA2E4B"/>
    <w:rsid w:val="6FFB46E7"/>
    <w:rsid w:val="7003534A"/>
    <w:rsid w:val="70061528"/>
    <w:rsid w:val="700C2451"/>
    <w:rsid w:val="700D682A"/>
    <w:rsid w:val="700E441B"/>
    <w:rsid w:val="70115CB9"/>
    <w:rsid w:val="70117A67"/>
    <w:rsid w:val="701337DF"/>
    <w:rsid w:val="701557A9"/>
    <w:rsid w:val="70230A50"/>
    <w:rsid w:val="702A6D7B"/>
    <w:rsid w:val="702C48A1"/>
    <w:rsid w:val="702F613F"/>
    <w:rsid w:val="70310109"/>
    <w:rsid w:val="70313C65"/>
    <w:rsid w:val="70390D6C"/>
    <w:rsid w:val="70390E66"/>
    <w:rsid w:val="70393D95"/>
    <w:rsid w:val="703C3572"/>
    <w:rsid w:val="703D6AAE"/>
    <w:rsid w:val="7040659E"/>
    <w:rsid w:val="704716DB"/>
    <w:rsid w:val="7047792D"/>
    <w:rsid w:val="70485CE6"/>
    <w:rsid w:val="704C0A9F"/>
    <w:rsid w:val="704C6CF1"/>
    <w:rsid w:val="704D78C3"/>
    <w:rsid w:val="7053007F"/>
    <w:rsid w:val="70562E59"/>
    <w:rsid w:val="705838E8"/>
    <w:rsid w:val="705878A5"/>
    <w:rsid w:val="705C54C7"/>
    <w:rsid w:val="705D0EFE"/>
    <w:rsid w:val="705D2CAC"/>
    <w:rsid w:val="70624A53"/>
    <w:rsid w:val="70657DB3"/>
    <w:rsid w:val="70695446"/>
    <w:rsid w:val="706F1805"/>
    <w:rsid w:val="70741DA4"/>
    <w:rsid w:val="70765B1C"/>
    <w:rsid w:val="707A560C"/>
    <w:rsid w:val="707D50FC"/>
    <w:rsid w:val="7080244B"/>
    <w:rsid w:val="7080699B"/>
    <w:rsid w:val="70814BED"/>
    <w:rsid w:val="708C533F"/>
    <w:rsid w:val="708D657F"/>
    <w:rsid w:val="70916390"/>
    <w:rsid w:val="70983692"/>
    <w:rsid w:val="70A07186"/>
    <w:rsid w:val="70A628A5"/>
    <w:rsid w:val="70A94143"/>
    <w:rsid w:val="70AF6D48"/>
    <w:rsid w:val="70B054D2"/>
    <w:rsid w:val="70BA01A5"/>
    <w:rsid w:val="70BB79D3"/>
    <w:rsid w:val="70BC134B"/>
    <w:rsid w:val="70C04FE9"/>
    <w:rsid w:val="70C1148D"/>
    <w:rsid w:val="70C152B0"/>
    <w:rsid w:val="70C42D2B"/>
    <w:rsid w:val="70C60851"/>
    <w:rsid w:val="70C64CF5"/>
    <w:rsid w:val="70C745CA"/>
    <w:rsid w:val="70C8271B"/>
    <w:rsid w:val="70C920F0"/>
    <w:rsid w:val="70D016D0"/>
    <w:rsid w:val="70D25448"/>
    <w:rsid w:val="70D31FDB"/>
    <w:rsid w:val="70DC7DEA"/>
    <w:rsid w:val="70DE203F"/>
    <w:rsid w:val="70DF7B65"/>
    <w:rsid w:val="70E138DD"/>
    <w:rsid w:val="70E64CAA"/>
    <w:rsid w:val="70E87D2E"/>
    <w:rsid w:val="70E92792"/>
    <w:rsid w:val="70EB650A"/>
    <w:rsid w:val="70ED2282"/>
    <w:rsid w:val="70EE0E01"/>
    <w:rsid w:val="70EF6AC6"/>
    <w:rsid w:val="70F25AEA"/>
    <w:rsid w:val="70F31F92"/>
    <w:rsid w:val="70F33611"/>
    <w:rsid w:val="70F520ED"/>
    <w:rsid w:val="70F52EE5"/>
    <w:rsid w:val="70F65EBA"/>
    <w:rsid w:val="70F73101"/>
    <w:rsid w:val="70F7672F"/>
    <w:rsid w:val="70FA674D"/>
    <w:rsid w:val="70FC0717"/>
    <w:rsid w:val="7101667B"/>
    <w:rsid w:val="71035221"/>
    <w:rsid w:val="710B2708"/>
    <w:rsid w:val="710D6480"/>
    <w:rsid w:val="711041C2"/>
    <w:rsid w:val="711200BC"/>
    <w:rsid w:val="7113780F"/>
    <w:rsid w:val="71152AE8"/>
    <w:rsid w:val="71153587"/>
    <w:rsid w:val="711D243B"/>
    <w:rsid w:val="7121200D"/>
    <w:rsid w:val="71213827"/>
    <w:rsid w:val="71245578"/>
    <w:rsid w:val="712573E8"/>
    <w:rsid w:val="712612F0"/>
    <w:rsid w:val="712832BA"/>
    <w:rsid w:val="712864D5"/>
    <w:rsid w:val="712A5284"/>
    <w:rsid w:val="71332BBF"/>
    <w:rsid w:val="713734FD"/>
    <w:rsid w:val="713752AB"/>
    <w:rsid w:val="713C0B14"/>
    <w:rsid w:val="713C53B2"/>
    <w:rsid w:val="71436346"/>
    <w:rsid w:val="71494FDF"/>
    <w:rsid w:val="714B51FB"/>
    <w:rsid w:val="714F0C57"/>
    <w:rsid w:val="714F6A99"/>
    <w:rsid w:val="71566079"/>
    <w:rsid w:val="715A543E"/>
    <w:rsid w:val="715E1BEB"/>
    <w:rsid w:val="7166007F"/>
    <w:rsid w:val="716770E4"/>
    <w:rsid w:val="716A5681"/>
    <w:rsid w:val="716D33C3"/>
    <w:rsid w:val="716E686F"/>
    <w:rsid w:val="716F0EE9"/>
    <w:rsid w:val="716F2C97"/>
    <w:rsid w:val="717007BD"/>
    <w:rsid w:val="71706A0F"/>
    <w:rsid w:val="71725BB0"/>
    <w:rsid w:val="71731C06"/>
    <w:rsid w:val="71771B4C"/>
    <w:rsid w:val="717804FA"/>
    <w:rsid w:val="717B788E"/>
    <w:rsid w:val="717C7162"/>
    <w:rsid w:val="718A5D23"/>
    <w:rsid w:val="71900E5F"/>
    <w:rsid w:val="71922E29"/>
    <w:rsid w:val="71940950"/>
    <w:rsid w:val="719646C8"/>
    <w:rsid w:val="71995F66"/>
    <w:rsid w:val="719C7804"/>
    <w:rsid w:val="71A072F4"/>
    <w:rsid w:val="71A2244A"/>
    <w:rsid w:val="71A41A51"/>
    <w:rsid w:val="71A42811"/>
    <w:rsid w:val="71A861A9"/>
    <w:rsid w:val="71AA0173"/>
    <w:rsid w:val="71AB5C99"/>
    <w:rsid w:val="71B047FB"/>
    <w:rsid w:val="71B15784"/>
    <w:rsid w:val="71B20DD6"/>
    <w:rsid w:val="71B21F4E"/>
    <w:rsid w:val="71B2527A"/>
    <w:rsid w:val="71B44B4E"/>
    <w:rsid w:val="71B72890"/>
    <w:rsid w:val="71BC7EA6"/>
    <w:rsid w:val="71C01745"/>
    <w:rsid w:val="71C07997"/>
    <w:rsid w:val="71C31235"/>
    <w:rsid w:val="71C72AD3"/>
    <w:rsid w:val="71C867F5"/>
    <w:rsid w:val="71CA376C"/>
    <w:rsid w:val="71CD3E62"/>
    <w:rsid w:val="71D13952"/>
    <w:rsid w:val="71D1444C"/>
    <w:rsid w:val="71D64AC4"/>
    <w:rsid w:val="71DC5E53"/>
    <w:rsid w:val="71DE0782"/>
    <w:rsid w:val="71DE1BCB"/>
    <w:rsid w:val="71E03B95"/>
    <w:rsid w:val="71E847F7"/>
    <w:rsid w:val="71EC253A"/>
    <w:rsid w:val="71F238C8"/>
    <w:rsid w:val="71F4319C"/>
    <w:rsid w:val="71F633B8"/>
    <w:rsid w:val="71F9130C"/>
    <w:rsid w:val="71FE226D"/>
    <w:rsid w:val="72007D93"/>
    <w:rsid w:val="720553A9"/>
    <w:rsid w:val="720C6738"/>
    <w:rsid w:val="7215759C"/>
    <w:rsid w:val="721B697B"/>
    <w:rsid w:val="7220374A"/>
    <w:rsid w:val="722241AD"/>
    <w:rsid w:val="72256230"/>
    <w:rsid w:val="72273572"/>
    <w:rsid w:val="722C0B88"/>
    <w:rsid w:val="722C6DDA"/>
    <w:rsid w:val="722E4900"/>
    <w:rsid w:val="722F2426"/>
    <w:rsid w:val="722F68CA"/>
    <w:rsid w:val="72304797"/>
    <w:rsid w:val="7231619E"/>
    <w:rsid w:val="72395053"/>
    <w:rsid w:val="723D0FE7"/>
    <w:rsid w:val="723F6274"/>
    <w:rsid w:val="72442376"/>
    <w:rsid w:val="7245773D"/>
    <w:rsid w:val="724834E8"/>
    <w:rsid w:val="7249040E"/>
    <w:rsid w:val="724C4D86"/>
    <w:rsid w:val="724E4FA2"/>
    <w:rsid w:val="72536115"/>
    <w:rsid w:val="72555F92"/>
    <w:rsid w:val="72565C05"/>
    <w:rsid w:val="72604CD6"/>
    <w:rsid w:val="726522EC"/>
    <w:rsid w:val="7265409A"/>
    <w:rsid w:val="726739D4"/>
    <w:rsid w:val="726E11A1"/>
    <w:rsid w:val="7270316B"/>
    <w:rsid w:val="727047CE"/>
    <w:rsid w:val="72712A3F"/>
    <w:rsid w:val="727367B7"/>
    <w:rsid w:val="72750781"/>
    <w:rsid w:val="7275252F"/>
    <w:rsid w:val="727A5D97"/>
    <w:rsid w:val="727B1B10"/>
    <w:rsid w:val="72824C4C"/>
    <w:rsid w:val="728409C4"/>
    <w:rsid w:val="7284346E"/>
    <w:rsid w:val="72850298"/>
    <w:rsid w:val="728564EA"/>
    <w:rsid w:val="728C6806"/>
    <w:rsid w:val="728C7879"/>
    <w:rsid w:val="728D72D4"/>
    <w:rsid w:val="728F1117"/>
    <w:rsid w:val="72936E59"/>
    <w:rsid w:val="7295118A"/>
    <w:rsid w:val="72955A66"/>
    <w:rsid w:val="7298446F"/>
    <w:rsid w:val="729B5D0E"/>
    <w:rsid w:val="729D1A86"/>
    <w:rsid w:val="729D3834"/>
    <w:rsid w:val="72A252EE"/>
    <w:rsid w:val="72A5093A"/>
    <w:rsid w:val="72A63904"/>
    <w:rsid w:val="72A66B8C"/>
    <w:rsid w:val="72A9042B"/>
    <w:rsid w:val="72AC1CC9"/>
    <w:rsid w:val="72AE2AAD"/>
    <w:rsid w:val="72B017B9"/>
    <w:rsid w:val="72B90194"/>
    <w:rsid w:val="72BA43E6"/>
    <w:rsid w:val="72BD7A32"/>
    <w:rsid w:val="72BF19FC"/>
    <w:rsid w:val="72C2329A"/>
    <w:rsid w:val="72CC4119"/>
    <w:rsid w:val="72CE5BB2"/>
    <w:rsid w:val="72CE60E3"/>
    <w:rsid w:val="72D6565A"/>
    <w:rsid w:val="72DB610A"/>
    <w:rsid w:val="72DC25AE"/>
    <w:rsid w:val="72DE2C3D"/>
    <w:rsid w:val="72DF5BFA"/>
    <w:rsid w:val="72E27499"/>
    <w:rsid w:val="72E70F53"/>
    <w:rsid w:val="72E927FF"/>
    <w:rsid w:val="72EB27F1"/>
    <w:rsid w:val="72EC0317"/>
    <w:rsid w:val="72EC65AF"/>
    <w:rsid w:val="72ED217D"/>
    <w:rsid w:val="72EE22E1"/>
    <w:rsid w:val="72F80E64"/>
    <w:rsid w:val="72F912A8"/>
    <w:rsid w:val="73012015"/>
    <w:rsid w:val="73043513"/>
    <w:rsid w:val="730613D9"/>
    <w:rsid w:val="7306587D"/>
    <w:rsid w:val="730B2E93"/>
    <w:rsid w:val="730B69EF"/>
    <w:rsid w:val="730C2768"/>
    <w:rsid w:val="730D09BA"/>
    <w:rsid w:val="730F1287"/>
    <w:rsid w:val="730F44AC"/>
    <w:rsid w:val="731358A4"/>
    <w:rsid w:val="73171838"/>
    <w:rsid w:val="731F249B"/>
    <w:rsid w:val="731F2D71"/>
    <w:rsid w:val="73201B9F"/>
    <w:rsid w:val="73217FC1"/>
    <w:rsid w:val="73231CF3"/>
    <w:rsid w:val="732D105C"/>
    <w:rsid w:val="733034AE"/>
    <w:rsid w:val="73306456"/>
    <w:rsid w:val="73335F46"/>
    <w:rsid w:val="7334649C"/>
    <w:rsid w:val="73351CBE"/>
    <w:rsid w:val="73396415"/>
    <w:rsid w:val="733C304D"/>
    <w:rsid w:val="733E17AF"/>
    <w:rsid w:val="733F48EB"/>
    <w:rsid w:val="734819F2"/>
    <w:rsid w:val="734939BC"/>
    <w:rsid w:val="734D525A"/>
    <w:rsid w:val="73506AF8"/>
    <w:rsid w:val="73530396"/>
    <w:rsid w:val="73566CAF"/>
    <w:rsid w:val="73571880"/>
    <w:rsid w:val="735760D9"/>
    <w:rsid w:val="735859AD"/>
    <w:rsid w:val="735C36EF"/>
    <w:rsid w:val="735C724B"/>
    <w:rsid w:val="735E1215"/>
    <w:rsid w:val="736425A4"/>
    <w:rsid w:val="736507F6"/>
    <w:rsid w:val="73661E78"/>
    <w:rsid w:val="736B3932"/>
    <w:rsid w:val="736B748E"/>
    <w:rsid w:val="736D3206"/>
    <w:rsid w:val="736E51D0"/>
    <w:rsid w:val="737067CE"/>
    <w:rsid w:val="7370719A"/>
    <w:rsid w:val="7375655F"/>
    <w:rsid w:val="73766299"/>
    <w:rsid w:val="73770529"/>
    <w:rsid w:val="737722D7"/>
    <w:rsid w:val="7379604F"/>
    <w:rsid w:val="73797DFD"/>
    <w:rsid w:val="737A3B75"/>
    <w:rsid w:val="737C1488"/>
    <w:rsid w:val="737C169B"/>
    <w:rsid w:val="737E6763"/>
    <w:rsid w:val="73842D8A"/>
    <w:rsid w:val="73856327"/>
    <w:rsid w:val="738644F9"/>
    <w:rsid w:val="73893DB8"/>
    <w:rsid w:val="738B18DE"/>
    <w:rsid w:val="738B7B30"/>
    <w:rsid w:val="73944C37"/>
    <w:rsid w:val="73A00CA7"/>
    <w:rsid w:val="73A3131E"/>
    <w:rsid w:val="73AB01D2"/>
    <w:rsid w:val="73AB1B34"/>
    <w:rsid w:val="73AC6367"/>
    <w:rsid w:val="73AF1A71"/>
    <w:rsid w:val="73AF515A"/>
    <w:rsid w:val="73B057E9"/>
    <w:rsid w:val="73B1065D"/>
    <w:rsid w:val="73B13A3B"/>
    <w:rsid w:val="73B250BD"/>
    <w:rsid w:val="73B452D9"/>
    <w:rsid w:val="73B47087"/>
    <w:rsid w:val="73BC418E"/>
    <w:rsid w:val="73BE1CB4"/>
    <w:rsid w:val="73C27AB3"/>
    <w:rsid w:val="73C33969"/>
    <w:rsid w:val="73C372CA"/>
    <w:rsid w:val="73C66DBA"/>
    <w:rsid w:val="73C84DFA"/>
    <w:rsid w:val="73CA0659"/>
    <w:rsid w:val="73CC5F32"/>
    <w:rsid w:val="73CD1EF7"/>
    <w:rsid w:val="73D03795"/>
    <w:rsid w:val="73D9089C"/>
    <w:rsid w:val="73D96AEE"/>
    <w:rsid w:val="73DA4614"/>
    <w:rsid w:val="73E00E2F"/>
    <w:rsid w:val="73E6120B"/>
    <w:rsid w:val="73EF4563"/>
    <w:rsid w:val="73EF6311"/>
    <w:rsid w:val="73F6144E"/>
    <w:rsid w:val="73F90F3E"/>
    <w:rsid w:val="740050F0"/>
    <w:rsid w:val="74014E45"/>
    <w:rsid w:val="74026044"/>
    <w:rsid w:val="74065409"/>
    <w:rsid w:val="7407365B"/>
    <w:rsid w:val="74081181"/>
    <w:rsid w:val="740873D3"/>
    <w:rsid w:val="740A4EF9"/>
    <w:rsid w:val="740D49E9"/>
    <w:rsid w:val="740D6797"/>
    <w:rsid w:val="74143FCA"/>
    <w:rsid w:val="74147B26"/>
    <w:rsid w:val="7416564C"/>
    <w:rsid w:val="74192A9B"/>
    <w:rsid w:val="74205599"/>
    <w:rsid w:val="74277859"/>
    <w:rsid w:val="742D385E"/>
    <w:rsid w:val="742F2BB2"/>
    <w:rsid w:val="74367A9C"/>
    <w:rsid w:val="743774E1"/>
    <w:rsid w:val="743A4358"/>
    <w:rsid w:val="743C5BB1"/>
    <w:rsid w:val="7442098B"/>
    <w:rsid w:val="74435A84"/>
    <w:rsid w:val="74471CA9"/>
    <w:rsid w:val="74477EFB"/>
    <w:rsid w:val="74485A21"/>
    <w:rsid w:val="744A1799"/>
    <w:rsid w:val="744C3764"/>
    <w:rsid w:val="744F5002"/>
    <w:rsid w:val="74534AF2"/>
    <w:rsid w:val="74546174"/>
    <w:rsid w:val="745C0AF6"/>
    <w:rsid w:val="745C662B"/>
    <w:rsid w:val="74654825"/>
    <w:rsid w:val="74674561"/>
    <w:rsid w:val="746A1E3C"/>
    <w:rsid w:val="746C5BB4"/>
    <w:rsid w:val="746D0255"/>
    <w:rsid w:val="746F26E3"/>
    <w:rsid w:val="74704AA1"/>
    <w:rsid w:val="747131CA"/>
    <w:rsid w:val="7480205F"/>
    <w:rsid w:val="7487654A"/>
    <w:rsid w:val="748A428C"/>
    <w:rsid w:val="748A7DE8"/>
    <w:rsid w:val="748C1DB2"/>
    <w:rsid w:val="748D0ADA"/>
    <w:rsid w:val="748F3650"/>
    <w:rsid w:val="7491561A"/>
    <w:rsid w:val="74934EEE"/>
    <w:rsid w:val="74943E9C"/>
    <w:rsid w:val="749D5D6D"/>
    <w:rsid w:val="749D7B1B"/>
    <w:rsid w:val="74A0585D"/>
    <w:rsid w:val="74A62C0B"/>
    <w:rsid w:val="74AC4D85"/>
    <w:rsid w:val="74AF784E"/>
    <w:rsid w:val="74B11819"/>
    <w:rsid w:val="74B35591"/>
    <w:rsid w:val="74B3733F"/>
    <w:rsid w:val="74B51309"/>
    <w:rsid w:val="74C14349"/>
    <w:rsid w:val="74C27582"/>
    <w:rsid w:val="74C3319E"/>
    <w:rsid w:val="74C4154C"/>
    <w:rsid w:val="74C5589B"/>
    <w:rsid w:val="74C72DEA"/>
    <w:rsid w:val="74CA4688"/>
    <w:rsid w:val="74CC5BBB"/>
    <w:rsid w:val="74D20D69"/>
    <w:rsid w:val="74D6127F"/>
    <w:rsid w:val="74D97F76"/>
    <w:rsid w:val="74DA0950"/>
    <w:rsid w:val="74DC4AE7"/>
    <w:rsid w:val="74DD0860"/>
    <w:rsid w:val="74E05C5A"/>
    <w:rsid w:val="74E219D2"/>
    <w:rsid w:val="74E25198"/>
    <w:rsid w:val="74E403D4"/>
    <w:rsid w:val="74E63744"/>
    <w:rsid w:val="74E92D60"/>
    <w:rsid w:val="74E97204"/>
    <w:rsid w:val="74F00593"/>
    <w:rsid w:val="74F23177"/>
    <w:rsid w:val="74F31E31"/>
    <w:rsid w:val="74F51B52"/>
    <w:rsid w:val="74F55BA9"/>
    <w:rsid w:val="74F6722B"/>
    <w:rsid w:val="74FA4F6E"/>
    <w:rsid w:val="74FD05BA"/>
    <w:rsid w:val="74FF2584"/>
    <w:rsid w:val="74FF4B63"/>
    <w:rsid w:val="75047B9A"/>
    <w:rsid w:val="750758DC"/>
    <w:rsid w:val="75091655"/>
    <w:rsid w:val="750D7D7F"/>
    <w:rsid w:val="751029E3"/>
    <w:rsid w:val="75127B90"/>
    <w:rsid w:val="7513273D"/>
    <w:rsid w:val="7513602F"/>
    <w:rsid w:val="75153B55"/>
    <w:rsid w:val="7519760D"/>
    <w:rsid w:val="751D21C1"/>
    <w:rsid w:val="75241FEA"/>
    <w:rsid w:val="752913AF"/>
    <w:rsid w:val="752D5343"/>
    <w:rsid w:val="753007A1"/>
    <w:rsid w:val="75327179"/>
    <w:rsid w:val="75373201"/>
    <w:rsid w:val="753871DF"/>
    <w:rsid w:val="753B196C"/>
    <w:rsid w:val="753C37D8"/>
    <w:rsid w:val="753F36F1"/>
    <w:rsid w:val="753F6E24"/>
    <w:rsid w:val="75502DDF"/>
    <w:rsid w:val="75510906"/>
    <w:rsid w:val="75530B22"/>
    <w:rsid w:val="75556648"/>
    <w:rsid w:val="755B49B2"/>
    <w:rsid w:val="755E5AEA"/>
    <w:rsid w:val="756578D8"/>
    <w:rsid w:val="75671015"/>
    <w:rsid w:val="75671ED7"/>
    <w:rsid w:val="7568637B"/>
    <w:rsid w:val="75695C4F"/>
    <w:rsid w:val="756B19C7"/>
    <w:rsid w:val="757132D1"/>
    <w:rsid w:val="75720FA8"/>
    <w:rsid w:val="7577036C"/>
    <w:rsid w:val="757765BE"/>
    <w:rsid w:val="75790588"/>
    <w:rsid w:val="757C1E26"/>
    <w:rsid w:val="758331B5"/>
    <w:rsid w:val="75856EB5"/>
    <w:rsid w:val="758B206A"/>
    <w:rsid w:val="758D193E"/>
    <w:rsid w:val="758D4498"/>
    <w:rsid w:val="759206C7"/>
    <w:rsid w:val="75931266"/>
    <w:rsid w:val="75954C96"/>
    <w:rsid w:val="75956A44"/>
    <w:rsid w:val="759B5BFF"/>
    <w:rsid w:val="759F5B15"/>
    <w:rsid w:val="75A44ED9"/>
    <w:rsid w:val="75A66E6C"/>
    <w:rsid w:val="75AB44BA"/>
    <w:rsid w:val="75B07D22"/>
    <w:rsid w:val="75B46F90"/>
    <w:rsid w:val="75B65E96"/>
    <w:rsid w:val="75B73ED4"/>
    <w:rsid w:val="75BC4A71"/>
    <w:rsid w:val="75BC5722"/>
    <w:rsid w:val="75C12BF5"/>
    <w:rsid w:val="75C17839"/>
    <w:rsid w:val="75C72748"/>
    <w:rsid w:val="75CE0FA0"/>
    <w:rsid w:val="75D21A46"/>
    <w:rsid w:val="75D752AF"/>
    <w:rsid w:val="75DE488F"/>
    <w:rsid w:val="75E4177A"/>
    <w:rsid w:val="75E672A0"/>
    <w:rsid w:val="75E91A34"/>
    <w:rsid w:val="75EB48B6"/>
    <w:rsid w:val="75F06371"/>
    <w:rsid w:val="75F32F93"/>
    <w:rsid w:val="75F73F89"/>
    <w:rsid w:val="75F75951"/>
    <w:rsid w:val="75F776FF"/>
    <w:rsid w:val="75FC2F67"/>
    <w:rsid w:val="75FE5C0C"/>
    <w:rsid w:val="76004806"/>
    <w:rsid w:val="76011BC9"/>
    <w:rsid w:val="760140DA"/>
    <w:rsid w:val="76052D17"/>
    <w:rsid w:val="76091264"/>
    <w:rsid w:val="760F0C13"/>
    <w:rsid w:val="7610256F"/>
    <w:rsid w:val="761262E7"/>
    <w:rsid w:val="7614205F"/>
    <w:rsid w:val="76157B85"/>
    <w:rsid w:val="76173158"/>
    <w:rsid w:val="761B163F"/>
    <w:rsid w:val="761D53B8"/>
    <w:rsid w:val="761E4C8C"/>
    <w:rsid w:val="76235D60"/>
    <w:rsid w:val="762A53DF"/>
    <w:rsid w:val="762A7AD4"/>
    <w:rsid w:val="762B1157"/>
    <w:rsid w:val="76326989"/>
    <w:rsid w:val="76366479"/>
    <w:rsid w:val="763B75EC"/>
    <w:rsid w:val="763E70DC"/>
    <w:rsid w:val="76404C02"/>
    <w:rsid w:val="76432944"/>
    <w:rsid w:val="764811BC"/>
    <w:rsid w:val="764A782F"/>
    <w:rsid w:val="76504CBE"/>
    <w:rsid w:val="76515061"/>
    <w:rsid w:val="765320E5"/>
    <w:rsid w:val="76544B51"/>
    <w:rsid w:val="765661D4"/>
    <w:rsid w:val="76592168"/>
    <w:rsid w:val="765A3553"/>
    <w:rsid w:val="765B5EE0"/>
    <w:rsid w:val="765C5EF1"/>
    <w:rsid w:val="765D7381"/>
    <w:rsid w:val="76607052"/>
    <w:rsid w:val="7662101C"/>
    <w:rsid w:val="76654669"/>
    <w:rsid w:val="766667E0"/>
    <w:rsid w:val="76676633"/>
    <w:rsid w:val="766823AB"/>
    <w:rsid w:val="766A6E7D"/>
    <w:rsid w:val="76740D50"/>
    <w:rsid w:val="76746FA2"/>
    <w:rsid w:val="7677439C"/>
    <w:rsid w:val="76790114"/>
    <w:rsid w:val="7681460D"/>
    <w:rsid w:val="768371E5"/>
    <w:rsid w:val="7688173A"/>
    <w:rsid w:val="7689645A"/>
    <w:rsid w:val="768F7938"/>
    <w:rsid w:val="76960CC6"/>
    <w:rsid w:val="76962A74"/>
    <w:rsid w:val="769709D0"/>
    <w:rsid w:val="76982C90"/>
    <w:rsid w:val="76992564"/>
    <w:rsid w:val="769942BD"/>
    <w:rsid w:val="76A333E3"/>
    <w:rsid w:val="76A72ED3"/>
    <w:rsid w:val="76AC04E9"/>
    <w:rsid w:val="76AF17F9"/>
    <w:rsid w:val="76AF3B36"/>
    <w:rsid w:val="76B13D52"/>
    <w:rsid w:val="76B15B00"/>
    <w:rsid w:val="76B178AE"/>
    <w:rsid w:val="76B26CEA"/>
    <w:rsid w:val="76B35133"/>
    <w:rsid w:val="76B4114C"/>
    <w:rsid w:val="76B850E0"/>
    <w:rsid w:val="76B86E8E"/>
    <w:rsid w:val="76B92C06"/>
    <w:rsid w:val="76B949B4"/>
    <w:rsid w:val="76BD26F7"/>
    <w:rsid w:val="76C42ACB"/>
    <w:rsid w:val="76C53359"/>
    <w:rsid w:val="76C577FD"/>
    <w:rsid w:val="76C70E7F"/>
    <w:rsid w:val="76C75323"/>
    <w:rsid w:val="76C9109B"/>
    <w:rsid w:val="76C96E16"/>
    <w:rsid w:val="76CC0B8C"/>
    <w:rsid w:val="76CC0D21"/>
    <w:rsid w:val="76CD220E"/>
    <w:rsid w:val="76D10663"/>
    <w:rsid w:val="76D55C89"/>
    <w:rsid w:val="76D66663"/>
    <w:rsid w:val="76DC0816"/>
    <w:rsid w:val="76DD5309"/>
    <w:rsid w:val="76DF3B1A"/>
    <w:rsid w:val="76E21799"/>
    <w:rsid w:val="76E62CF0"/>
    <w:rsid w:val="76ED481A"/>
    <w:rsid w:val="76EE5C21"/>
    <w:rsid w:val="76F22A3C"/>
    <w:rsid w:val="76F31C74"/>
    <w:rsid w:val="76F61765"/>
    <w:rsid w:val="76F8372F"/>
    <w:rsid w:val="76FC05B4"/>
    <w:rsid w:val="770164D0"/>
    <w:rsid w:val="77057BFA"/>
    <w:rsid w:val="77071BC4"/>
    <w:rsid w:val="77075720"/>
    <w:rsid w:val="770D60E9"/>
    <w:rsid w:val="770E2F52"/>
    <w:rsid w:val="77101B8D"/>
    <w:rsid w:val="771542E1"/>
    <w:rsid w:val="7715608F"/>
    <w:rsid w:val="77170059"/>
    <w:rsid w:val="771A36A5"/>
    <w:rsid w:val="771C566F"/>
    <w:rsid w:val="771F673E"/>
    <w:rsid w:val="771F6F0D"/>
    <w:rsid w:val="7722255A"/>
    <w:rsid w:val="77297D8C"/>
    <w:rsid w:val="772A140E"/>
    <w:rsid w:val="772C64B4"/>
    <w:rsid w:val="7730111A"/>
    <w:rsid w:val="77356731"/>
    <w:rsid w:val="7737771B"/>
    <w:rsid w:val="77383B2B"/>
    <w:rsid w:val="773D3837"/>
    <w:rsid w:val="77420E4E"/>
    <w:rsid w:val="77422BFC"/>
    <w:rsid w:val="77433F56"/>
    <w:rsid w:val="77440722"/>
    <w:rsid w:val="7746169E"/>
    <w:rsid w:val="77476464"/>
    <w:rsid w:val="774A4354"/>
    <w:rsid w:val="774B1AB0"/>
    <w:rsid w:val="774C5829"/>
    <w:rsid w:val="77505319"/>
    <w:rsid w:val="77513458"/>
    <w:rsid w:val="775C313C"/>
    <w:rsid w:val="775D3592"/>
    <w:rsid w:val="776143DD"/>
    <w:rsid w:val="7762504C"/>
    <w:rsid w:val="77626DFA"/>
    <w:rsid w:val="7767181A"/>
    <w:rsid w:val="77691D85"/>
    <w:rsid w:val="776963DA"/>
    <w:rsid w:val="776B5CAF"/>
    <w:rsid w:val="776E49BD"/>
    <w:rsid w:val="77701517"/>
    <w:rsid w:val="77754D7F"/>
    <w:rsid w:val="777A05E8"/>
    <w:rsid w:val="777C4360"/>
    <w:rsid w:val="777F364F"/>
    <w:rsid w:val="777F5BFE"/>
    <w:rsid w:val="777F79AC"/>
    <w:rsid w:val="7783749C"/>
    <w:rsid w:val="77843214"/>
    <w:rsid w:val="77876861"/>
    <w:rsid w:val="778C10EB"/>
    <w:rsid w:val="778D20C9"/>
    <w:rsid w:val="77925931"/>
    <w:rsid w:val="7794726C"/>
    <w:rsid w:val="7795357A"/>
    <w:rsid w:val="77955421"/>
    <w:rsid w:val="7798554B"/>
    <w:rsid w:val="779A30DE"/>
    <w:rsid w:val="779A44A7"/>
    <w:rsid w:val="779A47E6"/>
    <w:rsid w:val="779D6084"/>
    <w:rsid w:val="779D7E32"/>
    <w:rsid w:val="779F1DFC"/>
    <w:rsid w:val="779F6E07"/>
    <w:rsid w:val="77A15B74"/>
    <w:rsid w:val="77A45665"/>
    <w:rsid w:val="77A6318B"/>
    <w:rsid w:val="77A86F03"/>
    <w:rsid w:val="77A93E46"/>
    <w:rsid w:val="77A967D7"/>
    <w:rsid w:val="77AF64E3"/>
    <w:rsid w:val="77B070F5"/>
    <w:rsid w:val="77B227F5"/>
    <w:rsid w:val="77B27D81"/>
    <w:rsid w:val="77B37656"/>
    <w:rsid w:val="77B5517C"/>
    <w:rsid w:val="77B74817"/>
    <w:rsid w:val="77B84C6C"/>
    <w:rsid w:val="77BA09E4"/>
    <w:rsid w:val="77BD2282"/>
    <w:rsid w:val="77C35AEB"/>
    <w:rsid w:val="77C45C0E"/>
    <w:rsid w:val="77C6655A"/>
    <w:rsid w:val="77C70EBD"/>
    <w:rsid w:val="77CB0E43"/>
    <w:rsid w:val="77D01FB6"/>
    <w:rsid w:val="77D1684F"/>
    <w:rsid w:val="77D575CC"/>
    <w:rsid w:val="77D71596"/>
    <w:rsid w:val="77DA1086"/>
    <w:rsid w:val="77DE1622"/>
    <w:rsid w:val="77E441F4"/>
    <w:rsid w:val="77E73A77"/>
    <w:rsid w:val="77EA683A"/>
    <w:rsid w:val="77EB0615"/>
    <w:rsid w:val="77EB7A4D"/>
    <w:rsid w:val="77ED2B68"/>
    <w:rsid w:val="77F162D0"/>
    <w:rsid w:val="77F17064"/>
    <w:rsid w:val="77F42148"/>
    <w:rsid w:val="77F51A1C"/>
    <w:rsid w:val="77F9775E"/>
    <w:rsid w:val="780350F4"/>
    <w:rsid w:val="7805128C"/>
    <w:rsid w:val="78061E7B"/>
    <w:rsid w:val="780649BD"/>
    <w:rsid w:val="780835EF"/>
    <w:rsid w:val="78085BF3"/>
    <w:rsid w:val="780F06C0"/>
    <w:rsid w:val="780F6F82"/>
    <w:rsid w:val="781379F5"/>
    <w:rsid w:val="781400F4"/>
    <w:rsid w:val="78174088"/>
    <w:rsid w:val="781E371F"/>
    <w:rsid w:val="781F63BA"/>
    <w:rsid w:val="7820118F"/>
    <w:rsid w:val="7820259C"/>
    <w:rsid w:val="78212811"/>
    <w:rsid w:val="78216CB5"/>
    <w:rsid w:val="78224195"/>
    <w:rsid w:val="782642CC"/>
    <w:rsid w:val="78270007"/>
    <w:rsid w:val="782765AD"/>
    <w:rsid w:val="782A0E50"/>
    <w:rsid w:val="782A2DB5"/>
    <w:rsid w:val="7836450F"/>
    <w:rsid w:val="78372035"/>
    <w:rsid w:val="783764D9"/>
    <w:rsid w:val="78393FFF"/>
    <w:rsid w:val="783B7D77"/>
    <w:rsid w:val="783E33C3"/>
    <w:rsid w:val="78454752"/>
    <w:rsid w:val="78465777"/>
    <w:rsid w:val="78482494"/>
    <w:rsid w:val="78490394"/>
    <w:rsid w:val="784A5D07"/>
    <w:rsid w:val="784F55D0"/>
    <w:rsid w:val="78511348"/>
    <w:rsid w:val="78535B94"/>
    <w:rsid w:val="78536178"/>
    <w:rsid w:val="785726D7"/>
    <w:rsid w:val="78572CA3"/>
    <w:rsid w:val="785B5D23"/>
    <w:rsid w:val="785D5F3F"/>
    <w:rsid w:val="785E4C0A"/>
    <w:rsid w:val="786064CE"/>
    <w:rsid w:val="78615304"/>
    <w:rsid w:val="78632E2A"/>
    <w:rsid w:val="78650950"/>
    <w:rsid w:val="78670B6C"/>
    <w:rsid w:val="7868692A"/>
    <w:rsid w:val="78727511"/>
    <w:rsid w:val="787B63C5"/>
    <w:rsid w:val="787D5FEB"/>
    <w:rsid w:val="78801C2E"/>
    <w:rsid w:val="78845416"/>
    <w:rsid w:val="788648E1"/>
    <w:rsid w:val="788650FD"/>
    <w:rsid w:val="78874D6A"/>
    <w:rsid w:val="788A6608"/>
    <w:rsid w:val="78967146"/>
    <w:rsid w:val="78986F77"/>
    <w:rsid w:val="789B6A68"/>
    <w:rsid w:val="78A05E2C"/>
    <w:rsid w:val="78B35B5F"/>
    <w:rsid w:val="78B673FD"/>
    <w:rsid w:val="78B83176"/>
    <w:rsid w:val="78BC253A"/>
    <w:rsid w:val="78BD69DE"/>
    <w:rsid w:val="78C22246"/>
    <w:rsid w:val="78C65643"/>
    <w:rsid w:val="78CF6711"/>
    <w:rsid w:val="78D12489"/>
    <w:rsid w:val="78D43D28"/>
    <w:rsid w:val="78DB58DC"/>
    <w:rsid w:val="78DC699B"/>
    <w:rsid w:val="78DE0702"/>
    <w:rsid w:val="78E421BD"/>
    <w:rsid w:val="78EC1071"/>
    <w:rsid w:val="78F47F26"/>
    <w:rsid w:val="78FA1EA3"/>
    <w:rsid w:val="78FB7506"/>
    <w:rsid w:val="78FD2652"/>
    <w:rsid w:val="78FD327E"/>
    <w:rsid w:val="79002D6F"/>
    <w:rsid w:val="79022643"/>
    <w:rsid w:val="790463BB"/>
    <w:rsid w:val="790740FD"/>
    <w:rsid w:val="790E2D96"/>
    <w:rsid w:val="790E7239"/>
    <w:rsid w:val="790F4D60"/>
    <w:rsid w:val="79110AD8"/>
    <w:rsid w:val="79134850"/>
    <w:rsid w:val="79181E66"/>
    <w:rsid w:val="79183C14"/>
    <w:rsid w:val="791D3F2D"/>
    <w:rsid w:val="79200D1B"/>
    <w:rsid w:val="79202AC9"/>
    <w:rsid w:val="79231957"/>
    <w:rsid w:val="7923254F"/>
    <w:rsid w:val="79240BAB"/>
    <w:rsid w:val="79273E57"/>
    <w:rsid w:val="792A1003"/>
    <w:rsid w:val="792C76C0"/>
    <w:rsid w:val="792D7857"/>
    <w:rsid w:val="79330A4E"/>
    <w:rsid w:val="79334EF2"/>
    <w:rsid w:val="79346574"/>
    <w:rsid w:val="793A002E"/>
    <w:rsid w:val="793E2FB5"/>
    <w:rsid w:val="79462067"/>
    <w:rsid w:val="7947274B"/>
    <w:rsid w:val="794830FC"/>
    <w:rsid w:val="794E14FB"/>
    <w:rsid w:val="794E5888"/>
    <w:rsid w:val="794F33AE"/>
    <w:rsid w:val="7950014D"/>
    <w:rsid w:val="795135CA"/>
    <w:rsid w:val="7956298E"/>
    <w:rsid w:val="79570BE0"/>
    <w:rsid w:val="795804B5"/>
    <w:rsid w:val="79592461"/>
    <w:rsid w:val="795B1D53"/>
    <w:rsid w:val="795B7FA5"/>
    <w:rsid w:val="795E27B4"/>
    <w:rsid w:val="795F38C7"/>
    <w:rsid w:val="796055BB"/>
    <w:rsid w:val="79610FB7"/>
    <w:rsid w:val="796432FD"/>
    <w:rsid w:val="796450AB"/>
    <w:rsid w:val="79646E59"/>
    <w:rsid w:val="796926C2"/>
    <w:rsid w:val="796C5D0E"/>
    <w:rsid w:val="796E1A86"/>
    <w:rsid w:val="79701CA2"/>
    <w:rsid w:val="797057FE"/>
    <w:rsid w:val="79773031"/>
    <w:rsid w:val="797846B3"/>
    <w:rsid w:val="797A48CF"/>
    <w:rsid w:val="797A667D"/>
    <w:rsid w:val="797D43BF"/>
    <w:rsid w:val="79807AE3"/>
    <w:rsid w:val="798205F9"/>
    <w:rsid w:val="79865022"/>
    <w:rsid w:val="79870D9A"/>
    <w:rsid w:val="798A5143"/>
    <w:rsid w:val="798F5890"/>
    <w:rsid w:val="799040F2"/>
    <w:rsid w:val="79954710"/>
    <w:rsid w:val="799F60E4"/>
    <w:rsid w:val="79A656C4"/>
    <w:rsid w:val="79A66F05"/>
    <w:rsid w:val="79AC0800"/>
    <w:rsid w:val="79AD6A52"/>
    <w:rsid w:val="79B274E9"/>
    <w:rsid w:val="79B3354A"/>
    <w:rsid w:val="79B3393D"/>
    <w:rsid w:val="79B50A3B"/>
    <w:rsid w:val="79BF6786"/>
    <w:rsid w:val="79C36276"/>
    <w:rsid w:val="79C478F8"/>
    <w:rsid w:val="79C6083B"/>
    <w:rsid w:val="79C618C2"/>
    <w:rsid w:val="79C773E8"/>
    <w:rsid w:val="79C85CD9"/>
    <w:rsid w:val="79C913B2"/>
    <w:rsid w:val="79CA0341"/>
    <w:rsid w:val="79D42567"/>
    <w:rsid w:val="79D54FEF"/>
    <w:rsid w:val="79D833A4"/>
    <w:rsid w:val="79DA536E"/>
    <w:rsid w:val="79E166FC"/>
    <w:rsid w:val="79E306C6"/>
    <w:rsid w:val="79E3753B"/>
    <w:rsid w:val="79E47F9A"/>
    <w:rsid w:val="79E81839"/>
    <w:rsid w:val="79EB108E"/>
    <w:rsid w:val="79EB1329"/>
    <w:rsid w:val="79EE3136"/>
    <w:rsid w:val="79F20909"/>
    <w:rsid w:val="79F503F9"/>
    <w:rsid w:val="79F75F20"/>
    <w:rsid w:val="79F91C98"/>
    <w:rsid w:val="79FC7092"/>
    <w:rsid w:val="79FE105C"/>
    <w:rsid w:val="79FF4DD4"/>
    <w:rsid w:val="7A025901"/>
    <w:rsid w:val="7A04063C"/>
    <w:rsid w:val="7A0423EA"/>
    <w:rsid w:val="7A067F11"/>
    <w:rsid w:val="7A070125"/>
    <w:rsid w:val="7A080AFF"/>
    <w:rsid w:val="7A083C89"/>
    <w:rsid w:val="7A0A5C53"/>
    <w:rsid w:val="7A0C6902"/>
    <w:rsid w:val="7A0E5017"/>
    <w:rsid w:val="7A1B7E60"/>
    <w:rsid w:val="7A2025CB"/>
    <w:rsid w:val="7A230AC3"/>
    <w:rsid w:val="7A2455EA"/>
    <w:rsid w:val="7A2465E9"/>
    <w:rsid w:val="7A2921ED"/>
    <w:rsid w:val="7A293BFF"/>
    <w:rsid w:val="7A3525A4"/>
    <w:rsid w:val="7A3A5E0C"/>
    <w:rsid w:val="7A3D7DFA"/>
    <w:rsid w:val="7A3E3B4E"/>
    <w:rsid w:val="7A41363F"/>
    <w:rsid w:val="7A432F13"/>
    <w:rsid w:val="7A456C8B"/>
    <w:rsid w:val="7A4A24F3"/>
    <w:rsid w:val="7A4A42A1"/>
    <w:rsid w:val="7A4F70AE"/>
    <w:rsid w:val="7A505630"/>
    <w:rsid w:val="7A5213A8"/>
    <w:rsid w:val="7A523156"/>
    <w:rsid w:val="7A546ECE"/>
    <w:rsid w:val="7A5549F4"/>
    <w:rsid w:val="7A601D17"/>
    <w:rsid w:val="7A611EC9"/>
    <w:rsid w:val="7A6443AD"/>
    <w:rsid w:val="7A652E89"/>
    <w:rsid w:val="7A6B15C4"/>
    <w:rsid w:val="7A6B4218"/>
    <w:rsid w:val="7A74131E"/>
    <w:rsid w:val="7A772BBC"/>
    <w:rsid w:val="7A772DBA"/>
    <w:rsid w:val="7A7C6425"/>
    <w:rsid w:val="7A7F2DCF"/>
    <w:rsid w:val="7A810FFC"/>
    <w:rsid w:val="7A8552D9"/>
    <w:rsid w:val="7A8772A3"/>
    <w:rsid w:val="7A8A0B42"/>
    <w:rsid w:val="7A8A28F0"/>
    <w:rsid w:val="7A9674E6"/>
    <w:rsid w:val="7A9719D9"/>
    <w:rsid w:val="7A980FBD"/>
    <w:rsid w:val="7A993CB5"/>
    <w:rsid w:val="7A9B2D4F"/>
    <w:rsid w:val="7A9B68AB"/>
    <w:rsid w:val="7AA339B1"/>
    <w:rsid w:val="7AA36941"/>
    <w:rsid w:val="7AA80FC8"/>
    <w:rsid w:val="7AA8546C"/>
    <w:rsid w:val="7AAD4830"/>
    <w:rsid w:val="7AB12572"/>
    <w:rsid w:val="7ABB6F4D"/>
    <w:rsid w:val="7AC04563"/>
    <w:rsid w:val="7AC06311"/>
    <w:rsid w:val="7AC3005A"/>
    <w:rsid w:val="7ACF29F8"/>
    <w:rsid w:val="7AD07CBE"/>
    <w:rsid w:val="7AD1051F"/>
    <w:rsid w:val="7AD3663F"/>
    <w:rsid w:val="7AD36F66"/>
    <w:rsid w:val="7AD5178A"/>
    <w:rsid w:val="7AD5360C"/>
    <w:rsid w:val="7ADD5115"/>
    <w:rsid w:val="7ADF4BE2"/>
    <w:rsid w:val="7AE21CA9"/>
    <w:rsid w:val="7AEC5D56"/>
    <w:rsid w:val="7AEC7106"/>
    <w:rsid w:val="7AEE2205"/>
    <w:rsid w:val="7AF4420D"/>
    <w:rsid w:val="7AF81F4F"/>
    <w:rsid w:val="7AFD57B8"/>
    <w:rsid w:val="7B000E04"/>
    <w:rsid w:val="7B024B7C"/>
    <w:rsid w:val="7B043FDD"/>
    <w:rsid w:val="7B05641A"/>
    <w:rsid w:val="7B0C1557"/>
    <w:rsid w:val="7B160627"/>
    <w:rsid w:val="7B1623D5"/>
    <w:rsid w:val="7B174702"/>
    <w:rsid w:val="7B1E74DC"/>
    <w:rsid w:val="7B1F572E"/>
    <w:rsid w:val="7B1F767D"/>
    <w:rsid w:val="7B252618"/>
    <w:rsid w:val="7B256ABC"/>
    <w:rsid w:val="7B265853"/>
    <w:rsid w:val="7B2C1BF9"/>
    <w:rsid w:val="7B312C81"/>
    <w:rsid w:val="7B326164"/>
    <w:rsid w:val="7B3459C8"/>
    <w:rsid w:val="7B38059E"/>
    <w:rsid w:val="7B395539"/>
    <w:rsid w:val="7B396001"/>
    <w:rsid w:val="7B4038F6"/>
    <w:rsid w:val="7B424F78"/>
    <w:rsid w:val="7B430CF1"/>
    <w:rsid w:val="7B4E7DC1"/>
    <w:rsid w:val="7B4F58E7"/>
    <w:rsid w:val="7B51340D"/>
    <w:rsid w:val="7B564EC8"/>
    <w:rsid w:val="7B5A2BED"/>
    <w:rsid w:val="7B5B428C"/>
    <w:rsid w:val="7B6018A2"/>
    <w:rsid w:val="7B656EB9"/>
    <w:rsid w:val="7B6969A9"/>
    <w:rsid w:val="7B6E3FBF"/>
    <w:rsid w:val="7B6F1AE6"/>
    <w:rsid w:val="7B6F4892"/>
    <w:rsid w:val="7B71246B"/>
    <w:rsid w:val="7B7F481D"/>
    <w:rsid w:val="7B7F61CD"/>
    <w:rsid w:val="7B826C46"/>
    <w:rsid w:val="7B861AB8"/>
    <w:rsid w:val="7B871525"/>
    <w:rsid w:val="7B8749B6"/>
    <w:rsid w:val="7B893F18"/>
    <w:rsid w:val="7B8B2DC3"/>
    <w:rsid w:val="7B8B4B71"/>
    <w:rsid w:val="7B8F3F36"/>
    <w:rsid w:val="7B9003DA"/>
    <w:rsid w:val="7B900EAA"/>
    <w:rsid w:val="7B902188"/>
    <w:rsid w:val="7B95779E"/>
    <w:rsid w:val="7B98728E"/>
    <w:rsid w:val="7B9A21F0"/>
    <w:rsid w:val="7B9F061D"/>
    <w:rsid w:val="7B9F23CB"/>
    <w:rsid w:val="7BA2010D"/>
    <w:rsid w:val="7BA7127F"/>
    <w:rsid w:val="7BAB6FC2"/>
    <w:rsid w:val="7BAE55A6"/>
    <w:rsid w:val="7BAE67AF"/>
    <w:rsid w:val="7BB10350"/>
    <w:rsid w:val="7BB309E9"/>
    <w:rsid w:val="7BB31FE0"/>
    <w:rsid w:val="7BB514DD"/>
    <w:rsid w:val="7BBA3565"/>
    <w:rsid w:val="7BBC11CF"/>
    <w:rsid w:val="7BC260B9"/>
    <w:rsid w:val="7BC27D34"/>
    <w:rsid w:val="7BC50C8F"/>
    <w:rsid w:val="7BCB31C0"/>
    <w:rsid w:val="7BCC6F38"/>
    <w:rsid w:val="7BCD518A"/>
    <w:rsid w:val="7BCF5287"/>
    <w:rsid w:val="7BD1454E"/>
    <w:rsid w:val="7BD16399"/>
    <w:rsid w:val="7BD227A0"/>
    <w:rsid w:val="7BD323FA"/>
    <w:rsid w:val="7BD4388A"/>
    <w:rsid w:val="7BD57E03"/>
    <w:rsid w:val="7BD61B65"/>
    <w:rsid w:val="7BDC361F"/>
    <w:rsid w:val="7BDC53CD"/>
    <w:rsid w:val="7BDD1145"/>
    <w:rsid w:val="7BDF338E"/>
    <w:rsid w:val="7BE20509"/>
    <w:rsid w:val="7BE527D1"/>
    <w:rsid w:val="7BE91898"/>
    <w:rsid w:val="7BE92EDF"/>
    <w:rsid w:val="7BE94A5A"/>
    <w:rsid w:val="7BEB5B24"/>
    <w:rsid w:val="7BEC3136"/>
    <w:rsid w:val="7BF2699E"/>
    <w:rsid w:val="7BF86B05"/>
    <w:rsid w:val="7BFC3D4D"/>
    <w:rsid w:val="7BFD3595"/>
    <w:rsid w:val="7C02295A"/>
    <w:rsid w:val="7C084414"/>
    <w:rsid w:val="7C0C570E"/>
    <w:rsid w:val="7C0E12FE"/>
    <w:rsid w:val="7C1032C9"/>
    <w:rsid w:val="7C134B67"/>
    <w:rsid w:val="7C183F2B"/>
    <w:rsid w:val="7C1C7EBF"/>
    <w:rsid w:val="7C262AEC"/>
    <w:rsid w:val="7C26489A"/>
    <w:rsid w:val="7C2B0102"/>
    <w:rsid w:val="7C2B1EB0"/>
    <w:rsid w:val="7C2E5873"/>
    <w:rsid w:val="7C321491"/>
    <w:rsid w:val="7C336FB7"/>
    <w:rsid w:val="7C352C27"/>
    <w:rsid w:val="7C3859AC"/>
    <w:rsid w:val="7C3C5E6C"/>
    <w:rsid w:val="7C4116D4"/>
    <w:rsid w:val="7C414BA4"/>
    <w:rsid w:val="7C43369E"/>
    <w:rsid w:val="7C466CEA"/>
    <w:rsid w:val="7C484810"/>
    <w:rsid w:val="7C4D62CB"/>
    <w:rsid w:val="7C532BE5"/>
    <w:rsid w:val="7C5331B5"/>
    <w:rsid w:val="7C5533D1"/>
    <w:rsid w:val="7C55517F"/>
    <w:rsid w:val="7C5D4691"/>
    <w:rsid w:val="7C5E077A"/>
    <w:rsid w:val="7C5E4034"/>
    <w:rsid w:val="7C5F566E"/>
    <w:rsid w:val="7C624DBC"/>
    <w:rsid w:val="7C63789C"/>
    <w:rsid w:val="7C655D5E"/>
    <w:rsid w:val="7C6B04FF"/>
    <w:rsid w:val="7C6F7FEF"/>
    <w:rsid w:val="7C716A88"/>
    <w:rsid w:val="7C7216E7"/>
    <w:rsid w:val="7C745605"/>
    <w:rsid w:val="7C75137E"/>
    <w:rsid w:val="7C7575D0"/>
    <w:rsid w:val="7C7E6484"/>
    <w:rsid w:val="7C80044E"/>
    <w:rsid w:val="7C86358B"/>
    <w:rsid w:val="7C887303"/>
    <w:rsid w:val="7C8B7BB3"/>
    <w:rsid w:val="7C9020F0"/>
    <w:rsid w:val="7C943EFA"/>
    <w:rsid w:val="7C9B7036"/>
    <w:rsid w:val="7C9B7203"/>
    <w:rsid w:val="7C9C3264"/>
    <w:rsid w:val="7CA0289E"/>
    <w:rsid w:val="7CA22801"/>
    <w:rsid w:val="7CA3339F"/>
    <w:rsid w:val="7CAE47CA"/>
    <w:rsid w:val="7CB50753"/>
    <w:rsid w:val="7CBE2D25"/>
    <w:rsid w:val="7CBE4AD3"/>
    <w:rsid w:val="7CBF48B5"/>
    <w:rsid w:val="7CC84A54"/>
    <w:rsid w:val="7CCA791B"/>
    <w:rsid w:val="7CCC5441"/>
    <w:rsid w:val="7CCD4D16"/>
    <w:rsid w:val="7CCD740C"/>
    <w:rsid w:val="7CD12A58"/>
    <w:rsid w:val="7CD47820"/>
    <w:rsid w:val="7CD561F5"/>
    <w:rsid w:val="7CD67752"/>
    <w:rsid w:val="7CD67C72"/>
    <w:rsid w:val="7CD824D6"/>
    <w:rsid w:val="7CDB7433"/>
    <w:rsid w:val="7CE22E28"/>
    <w:rsid w:val="7CE24C65"/>
    <w:rsid w:val="7CE315D5"/>
    <w:rsid w:val="7CE46E89"/>
    <w:rsid w:val="7CEC1640"/>
    <w:rsid w:val="7CED360A"/>
    <w:rsid w:val="7CEF2EDE"/>
    <w:rsid w:val="7CF7272E"/>
    <w:rsid w:val="7CF77FE5"/>
    <w:rsid w:val="7D050953"/>
    <w:rsid w:val="7D0C7F34"/>
    <w:rsid w:val="7D0D7525"/>
    <w:rsid w:val="7D11554A"/>
    <w:rsid w:val="7D1172F8"/>
    <w:rsid w:val="7D142945"/>
    <w:rsid w:val="7D197F5B"/>
    <w:rsid w:val="7D1A586A"/>
    <w:rsid w:val="7D23702C"/>
    <w:rsid w:val="7D252DA4"/>
    <w:rsid w:val="7D2A2168"/>
    <w:rsid w:val="7D2C4132"/>
    <w:rsid w:val="7D341239"/>
    <w:rsid w:val="7D366C7B"/>
    <w:rsid w:val="7D3923AB"/>
    <w:rsid w:val="7D39684F"/>
    <w:rsid w:val="7D3E3E65"/>
    <w:rsid w:val="7D484972"/>
    <w:rsid w:val="7D4D20CE"/>
    <w:rsid w:val="7D4D5E56"/>
    <w:rsid w:val="7D5471E5"/>
    <w:rsid w:val="7D567401"/>
    <w:rsid w:val="7D625F21"/>
    <w:rsid w:val="7D63567A"/>
    <w:rsid w:val="7D675200"/>
    <w:rsid w:val="7D676FBC"/>
    <w:rsid w:val="7D6A07B6"/>
    <w:rsid w:val="7D717D97"/>
    <w:rsid w:val="7D7243AD"/>
    <w:rsid w:val="7D733B0F"/>
    <w:rsid w:val="7D7653AD"/>
    <w:rsid w:val="7D777879"/>
    <w:rsid w:val="7D7F0706"/>
    <w:rsid w:val="7D821FA4"/>
    <w:rsid w:val="7D822167"/>
    <w:rsid w:val="7D8C4BD1"/>
    <w:rsid w:val="7D8E0949"/>
    <w:rsid w:val="7D9121E7"/>
    <w:rsid w:val="7D9237C6"/>
    <w:rsid w:val="7D9615AC"/>
    <w:rsid w:val="7D985324"/>
    <w:rsid w:val="7D9A5540"/>
    <w:rsid w:val="7D9D0B8C"/>
    <w:rsid w:val="7D9D293A"/>
    <w:rsid w:val="7D9F168F"/>
    <w:rsid w:val="7D9F2B56"/>
    <w:rsid w:val="7DA16BFB"/>
    <w:rsid w:val="7DA43CC8"/>
    <w:rsid w:val="7DA57A41"/>
    <w:rsid w:val="7DA912DF"/>
    <w:rsid w:val="7DA95783"/>
    <w:rsid w:val="7DAD1B95"/>
    <w:rsid w:val="7DAE0FEB"/>
    <w:rsid w:val="7DAF3A78"/>
    <w:rsid w:val="7DB14637"/>
    <w:rsid w:val="7DB303AF"/>
    <w:rsid w:val="7DC1794C"/>
    <w:rsid w:val="7DC26844"/>
    <w:rsid w:val="7DC336BA"/>
    <w:rsid w:val="7DC4436B"/>
    <w:rsid w:val="7DC477E3"/>
    <w:rsid w:val="7DC538DA"/>
    <w:rsid w:val="7DD33150"/>
    <w:rsid w:val="7DDA1DE0"/>
    <w:rsid w:val="7DDB020A"/>
    <w:rsid w:val="7DDC1631"/>
    <w:rsid w:val="7DE1316F"/>
    <w:rsid w:val="7DE44A0D"/>
    <w:rsid w:val="7DE74A45"/>
    <w:rsid w:val="7DE84635"/>
    <w:rsid w:val="7DEA4547"/>
    <w:rsid w:val="7DEE6EE1"/>
    <w:rsid w:val="7DF52776"/>
    <w:rsid w:val="7DF804B8"/>
    <w:rsid w:val="7DF82266"/>
    <w:rsid w:val="7DF84EB1"/>
    <w:rsid w:val="7DFA4230"/>
    <w:rsid w:val="7DFB58B2"/>
    <w:rsid w:val="7E00216C"/>
    <w:rsid w:val="7E01736D"/>
    <w:rsid w:val="7E096221"/>
    <w:rsid w:val="7E0B01EB"/>
    <w:rsid w:val="7E0D3F64"/>
    <w:rsid w:val="7E124581"/>
    <w:rsid w:val="7E1621A7"/>
    <w:rsid w:val="7E1C7D03"/>
    <w:rsid w:val="7E266DD3"/>
    <w:rsid w:val="7E287508"/>
    <w:rsid w:val="7E292420"/>
    <w:rsid w:val="7E2A06FB"/>
    <w:rsid w:val="7E2D0162"/>
    <w:rsid w:val="7E2D1F10"/>
    <w:rsid w:val="7E327526"/>
    <w:rsid w:val="7E357016"/>
    <w:rsid w:val="7E3F2791"/>
    <w:rsid w:val="7E3F60E7"/>
    <w:rsid w:val="7E4B05E8"/>
    <w:rsid w:val="7E4B4A8C"/>
    <w:rsid w:val="7E4B683A"/>
    <w:rsid w:val="7E4C610E"/>
    <w:rsid w:val="7E4D4360"/>
    <w:rsid w:val="7E4F49A7"/>
    <w:rsid w:val="7E527BC8"/>
    <w:rsid w:val="7E532EA4"/>
    <w:rsid w:val="7E535DCD"/>
    <w:rsid w:val="7E5576B9"/>
    <w:rsid w:val="7E5C0A47"/>
    <w:rsid w:val="7E633B84"/>
    <w:rsid w:val="7E6478FC"/>
    <w:rsid w:val="7E6A7C63"/>
    <w:rsid w:val="7E6B23A3"/>
    <w:rsid w:val="7E6B47E6"/>
    <w:rsid w:val="7E6D4A02"/>
    <w:rsid w:val="7E725B75"/>
    <w:rsid w:val="7E7318ED"/>
    <w:rsid w:val="7E77762F"/>
    <w:rsid w:val="7E81400A"/>
    <w:rsid w:val="7E891110"/>
    <w:rsid w:val="7E8B30DA"/>
    <w:rsid w:val="7E8D29AE"/>
    <w:rsid w:val="7E9006F1"/>
    <w:rsid w:val="7E90249F"/>
    <w:rsid w:val="7E927FC5"/>
    <w:rsid w:val="7E941F8F"/>
    <w:rsid w:val="7E991353"/>
    <w:rsid w:val="7E9C0E44"/>
    <w:rsid w:val="7E9C2A65"/>
    <w:rsid w:val="7E9F624D"/>
    <w:rsid w:val="7EA146AC"/>
    <w:rsid w:val="7EA62CDF"/>
    <w:rsid w:val="7EA67F14"/>
    <w:rsid w:val="7EA72608"/>
    <w:rsid w:val="7EA83C8C"/>
    <w:rsid w:val="7EAA3560"/>
    <w:rsid w:val="7EAD3051"/>
    <w:rsid w:val="7EB10D93"/>
    <w:rsid w:val="7EB22415"/>
    <w:rsid w:val="7EB42631"/>
    <w:rsid w:val="7EB517AA"/>
    <w:rsid w:val="7EB64B61"/>
    <w:rsid w:val="7EB81876"/>
    <w:rsid w:val="7EBA751C"/>
    <w:rsid w:val="7EBC7738"/>
    <w:rsid w:val="7EC34622"/>
    <w:rsid w:val="7EC35CD5"/>
    <w:rsid w:val="7EC42148"/>
    <w:rsid w:val="7EC55299"/>
    <w:rsid w:val="7ECA3C03"/>
    <w:rsid w:val="7ECB1729"/>
    <w:rsid w:val="7ECF0F9A"/>
    <w:rsid w:val="7ECF7888"/>
    <w:rsid w:val="7ED625A7"/>
    <w:rsid w:val="7ED92098"/>
    <w:rsid w:val="7EDA196C"/>
    <w:rsid w:val="7EE30820"/>
    <w:rsid w:val="7EF24F07"/>
    <w:rsid w:val="7EF742CC"/>
    <w:rsid w:val="7EF96296"/>
    <w:rsid w:val="7EFB3DBC"/>
    <w:rsid w:val="7EFC5948"/>
    <w:rsid w:val="7EFC5D86"/>
    <w:rsid w:val="7EFE1AFE"/>
    <w:rsid w:val="7F0013D2"/>
    <w:rsid w:val="7F037115"/>
    <w:rsid w:val="7F0B394B"/>
    <w:rsid w:val="7F0E027B"/>
    <w:rsid w:val="7F0F5AB9"/>
    <w:rsid w:val="7F0F7867"/>
    <w:rsid w:val="7F1135E0"/>
    <w:rsid w:val="7F141322"/>
    <w:rsid w:val="7F1906E6"/>
    <w:rsid w:val="7F192494"/>
    <w:rsid w:val="7F207CC7"/>
    <w:rsid w:val="7F233313"/>
    <w:rsid w:val="7F2D4191"/>
    <w:rsid w:val="7F30482A"/>
    <w:rsid w:val="7F3177DE"/>
    <w:rsid w:val="7F343772"/>
    <w:rsid w:val="7F361298"/>
    <w:rsid w:val="7F385010"/>
    <w:rsid w:val="7F3B240A"/>
    <w:rsid w:val="7F3D15CE"/>
    <w:rsid w:val="7F402117"/>
    <w:rsid w:val="7F460DAF"/>
    <w:rsid w:val="7F482D79"/>
    <w:rsid w:val="7F4D0390"/>
    <w:rsid w:val="7F4F4108"/>
    <w:rsid w:val="7F596D35"/>
    <w:rsid w:val="7F5B3A4C"/>
    <w:rsid w:val="7F5B485B"/>
    <w:rsid w:val="7F5E259D"/>
    <w:rsid w:val="7F604567"/>
    <w:rsid w:val="7F6573DA"/>
    <w:rsid w:val="7F6A37A6"/>
    <w:rsid w:val="7F6B7807"/>
    <w:rsid w:val="7F6C7FA9"/>
    <w:rsid w:val="7F7160D4"/>
    <w:rsid w:val="7F765B38"/>
    <w:rsid w:val="7F840255"/>
    <w:rsid w:val="7F8B5460"/>
    <w:rsid w:val="7F8C7F60"/>
    <w:rsid w:val="7F8D69DE"/>
    <w:rsid w:val="7F8E0DA1"/>
    <w:rsid w:val="7F8E2E82"/>
    <w:rsid w:val="7F911521"/>
    <w:rsid w:val="7F923FF5"/>
    <w:rsid w:val="7F930498"/>
    <w:rsid w:val="7F932E5A"/>
    <w:rsid w:val="7F9562A7"/>
    <w:rsid w:val="7F956761"/>
    <w:rsid w:val="7F9A2B41"/>
    <w:rsid w:val="7F9B10FB"/>
    <w:rsid w:val="7F9B559F"/>
    <w:rsid w:val="7F9B734D"/>
    <w:rsid w:val="7F9F5B66"/>
    <w:rsid w:val="7FA2248A"/>
    <w:rsid w:val="7FA93818"/>
    <w:rsid w:val="7FAA7590"/>
    <w:rsid w:val="7FAB3A34"/>
    <w:rsid w:val="7FB1091F"/>
    <w:rsid w:val="7FBA072D"/>
    <w:rsid w:val="7FBA3C77"/>
    <w:rsid w:val="7FBC2E67"/>
    <w:rsid w:val="7FC40652"/>
    <w:rsid w:val="7FC543CA"/>
    <w:rsid w:val="7FC56178"/>
    <w:rsid w:val="7FC76394"/>
    <w:rsid w:val="7FCA0AE5"/>
    <w:rsid w:val="7FD13DE3"/>
    <w:rsid w:val="7FD178C3"/>
    <w:rsid w:val="7FD55335"/>
    <w:rsid w:val="7FDA65D6"/>
    <w:rsid w:val="7FDC7EA8"/>
    <w:rsid w:val="7FDD5BB8"/>
    <w:rsid w:val="7FE231CE"/>
    <w:rsid w:val="7FE505C8"/>
    <w:rsid w:val="7FE83B07"/>
    <w:rsid w:val="7FEC6AD2"/>
    <w:rsid w:val="7FF151BF"/>
    <w:rsid w:val="7FF30F37"/>
    <w:rsid w:val="7FF35CED"/>
    <w:rsid w:val="7FF56A5D"/>
    <w:rsid w:val="7FFE4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unhideWhenUsed/>
    <w:qFormat/>
    <w:uiPriority w:val="0"/>
    <w:pPr>
      <w:ind w:firstLine="420"/>
    </w:pPr>
    <w:rPr>
      <w:szCs w:val="20"/>
    </w:rPr>
  </w:style>
  <w:style w:type="paragraph" w:styleId="7">
    <w:name w:val="annotation text"/>
    <w:basedOn w:val="1"/>
    <w:link w:val="55"/>
    <w:qFormat/>
    <w:uiPriority w:val="0"/>
    <w:pPr>
      <w:jc w:val="left"/>
    </w:pPr>
  </w:style>
  <w:style w:type="paragraph" w:styleId="8">
    <w:name w:val="Body Text"/>
    <w:basedOn w:val="1"/>
    <w:next w:val="9"/>
    <w:autoRedefine/>
    <w:qFormat/>
    <w:uiPriority w:val="0"/>
    <w:pPr>
      <w:widowControl/>
      <w:snapToGrid w:val="0"/>
      <w:spacing w:before="60" w:after="160" w:line="259" w:lineRule="auto"/>
      <w:ind w:right="113"/>
    </w:pPr>
    <w:rPr>
      <w:kern w:val="0"/>
      <w:sz w:val="18"/>
      <w:szCs w:val="20"/>
    </w:rPr>
  </w:style>
  <w:style w:type="paragraph" w:styleId="9">
    <w:name w:val="Date"/>
    <w:basedOn w:val="1"/>
    <w:next w:val="1"/>
    <w:qFormat/>
    <w:uiPriority w:val="0"/>
    <w:rPr>
      <w:sz w:val="28"/>
    </w:rPr>
  </w:style>
  <w:style w:type="paragraph" w:styleId="10">
    <w:name w:val="Body Text Indent"/>
    <w:basedOn w:val="1"/>
    <w:next w:val="11"/>
    <w:autoRedefine/>
    <w:qFormat/>
    <w:uiPriority w:val="0"/>
    <w:pPr>
      <w:spacing w:after="120"/>
      <w:ind w:left="420" w:leftChars="200"/>
    </w:pPr>
    <w:rPr>
      <w:kern w:val="0"/>
      <w:sz w:val="24"/>
      <w:szCs w:val="20"/>
    </w:rPr>
  </w:style>
  <w:style w:type="paragraph" w:styleId="11">
    <w:name w:val="envelope return"/>
    <w:basedOn w:val="1"/>
    <w:qFormat/>
    <w:uiPriority w:val="0"/>
    <w:pPr>
      <w:snapToGrid w:val="0"/>
      <w:spacing w:line="480" w:lineRule="exact"/>
    </w:pPr>
    <w:rPr>
      <w:rFonts w:ascii="Arial" w:hAnsi="Arial" w:cs="Arial"/>
    </w:rPr>
  </w:style>
  <w:style w:type="paragraph" w:styleId="12">
    <w:name w:val="toc 3"/>
    <w:basedOn w:val="1"/>
    <w:next w:val="1"/>
    <w:qFormat/>
    <w:uiPriority w:val="39"/>
    <w:pPr>
      <w:ind w:left="840" w:leftChars="400"/>
    </w:pPr>
  </w:style>
  <w:style w:type="paragraph" w:styleId="13">
    <w:name w:val="Plain Text"/>
    <w:basedOn w:val="1"/>
    <w:autoRedefine/>
    <w:unhideWhenUsed/>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14">
    <w:name w:val="footer"/>
    <w:basedOn w:val="1"/>
    <w:autoRedefine/>
    <w:qFormat/>
    <w:uiPriority w:val="99"/>
    <w:pPr>
      <w:tabs>
        <w:tab w:val="center" w:pos="4153"/>
        <w:tab w:val="right" w:pos="8306"/>
      </w:tabs>
      <w:snapToGrid w:val="0"/>
      <w:jc w:val="left"/>
    </w:pPr>
    <w:rPr>
      <w:kern w:val="0"/>
      <w:sz w:val="18"/>
      <w:szCs w:val="20"/>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39"/>
  </w:style>
  <w:style w:type="paragraph" w:styleId="17">
    <w:name w:val="List"/>
    <w:basedOn w:val="1"/>
    <w:unhideWhenUsed/>
    <w:qFormat/>
    <w:uiPriority w:val="99"/>
    <w:pPr>
      <w:ind w:left="200" w:hanging="200" w:hangingChars="200"/>
      <w:contextualSpacing/>
    </w:pPr>
  </w:style>
  <w:style w:type="paragraph" w:styleId="18">
    <w:name w:val="toc 2"/>
    <w:basedOn w:val="1"/>
    <w:next w:val="1"/>
    <w:qFormat/>
    <w:uiPriority w:val="39"/>
    <w:pPr>
      <w:ind w:left="420" w:leftChars="200"/>
    </w:pPr>
  </w:style>
  <w:style w:type="paragraph" w:styleId="19">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0">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7"/>
    <w:next w:val="7"/>
    <w:link w:val="56"/>
    <w:qFormat/>
    <w:uiPriority w:val="0"/>
    <w:rPr>
      <w:b/>
      <w:bCs/>
    </w:rPr>
  </w:style>
  <w:style w:type="paragraph" w:styleId="22">
    <w:name w:val="Body Text First Indent 2"/>
    <w:basedOn w:val="10"/>
    <w:next w:val="1"/>
    <w:autoRedefine/>
    <w:unhideWhenUsed/>
    <w:qFormat/>
    <w:uiPriority w:val="0"/>
    <w:pPr>
      <w:ind w:firstLine="420" w:firstLineChars="200"/>
    </w:pPr>
    <w:rPr>
      <w:kern w:val="2"/>
      <w:sz w:val="21"/>
      <w:szCs w:val="24"/>
    </w:rPr>
  </w:style>
  <w:style w:type="table" w:styleId="24">
    <w:name w:val="Table Grid"/>
    <w:basedOn w:val="2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autoRedefine/>
    <w:qFormat/>
    <w:uiPriority w:val="0"/>
  </w:style>
  <w:style w:type="character" w:styleId="28">
    <w:name w:val="Emphasis"/>
    <w:basedOn w:val="25"/>
    <w:autoRedefine/>
    <w:qFormat/>
    <w:uiPriority w:val="20"/>
    <w:rPr>
      <w:i/>
      <w:iCs/>
    </w:rPr>
  </w:style>
  <w:style w:type="character" w:styleId="29">
    <w:name w:val="Hyperlink"/>
    <w:basedOn w:val="25"/>
    <w:autoRedefine/>
    <w:unhideWhenUsed/>
    <w:qFormat/>
    <w:uiPriority w:val="99"/>
    <w:rPr>
      <w:color w:val="0000FF"/>
      <w:u w:val="single"/>
    </w:rPr>
  </w:style>
  <w:style w:type="character" w:styleId="30">
    <w:name w:val="annotation reference"/>
    <w:basedOn w:val="25"/>
    <w:qFormat/>
    <w:uiPriority w:val="0"/>
    <w:rPr>
      <w:sz w:val="21"/>
      <w:szCs w:val="21"/>
    </w:rPr>
  </w:style>
  <w:style w:type="character" w:customStyle="1" w:styleId="31">
    <w:name w:val="fontstyle01"/>
    <w:basedOn w:val="25"/>
    <w:autoRedefine/>
    <w:qFormat/>
    <w:uiPriority w:val="0"/>
    <w:rPr>
      <w:rFonts w:hint="eastAsia" w:ascii="宋体" w:hAnsi="宋体" w:eastAsia="宋体"/>
      <w:color w:val="000000"/>
      <w:sz w:val="24"/>
      <w:szCs w:val="24"/>
    </w:rPr>
  </w:style>
  <w:style w:type="character" w:customStyle="1" w:styleId="32">
    <w:name w:val="fontstyle11"/>
    <w:basedOn w:val="25"/>
    <w:autoRedefine/>
    <w:qFormat/>
    <w:uiPriority w:val="0"/>
    <w:rPr>
      <w:rFonts w:hint="default" w:ascii="TimesNewRoman" w:hAnsi="TimesNewRoman"/>
      <w:color w:val="000000"/>
      <w:sz w:val="24"/>
      <w:szCs w:val="24"/>
    </w:rPr>
  </w:style>
  <w:style w:type="character" w:customStyle="1" w:styleId="33">
    <w:name w:val="fontstyle21"/>
    <w:basedOn w:val="25"/>
    <w:autoRedefine/>
    <w:qFormat/>
    <w:uiPriority w:val="0"/>
    <w:rPr>
      <w:rFonts w:hint="default" w:ascii="TimesNewRoman" w:hAnsi="TimesNewRoman"/>
      <w:color w:val="000000"/>
      <w:sz w:val="24"/>
      <w:szCs w:val="24"/>
    </w:rPr>
  </w:style>
  <w:style w:type="character" w:customStyle="1" w:styleId="34">
    <w:name w:val="font11"/>
    <w:basedOn w:val="25"/>
    <w:autoRedefine/>
    <w:qFormat/>
    <w:uiPriority w:val="0"/>
    <w:rPr>
      <w:rFonts w:hint="eastAsia" w:ascii="宋体" w:hAnsi="宋体" w:eastAsia="宋体" w:cs="宋体"/>
      <w:color w:val="000000"/>
      <w:sz w:val="21"/>
      <w:szCs w:val="21"/>
      <w:u w:val="none"/>
    </w:rPr>
  </w:style>
  <w:style w:type="character" w:customStyle="1" w:styleId="35">
    <w:name w:val="font41"/>
    <w:basedOn w:val="25"/>
    <w:autoRedefine/>
    <w:qFormat/>
    <w:uiPriority w:val="0"/>
    <w:rPr>
      <w:rFonts w:hint="default" w:ascii="Times New Roman" w:hAnsi="Times New Roman" w:cs="Times New Roman"/>
      <w:color w:val="000000"/>
      <w:sz w:val="21"/>
      <w:szCs w:val="21"/>
      <w:u w:val="none"/>
    </w:rPr>
  </w:style>
  <w:style w:type="character" w:customStyle="1" w:styleId="36">
    <w:name w:val="font21"/>
    <w:basedOn w:val="25"/>
    <w:autoRedefine/>
    <w:qFormat/>
    <w:uiPriority w:val="0"/>
    <w:rPr>
      <w:rFonts w:hint="eastAsia" w:ascii="宋体" w:hAnsi="宋体" w:eastAsia="宋体" w:cs="宋体"/>
      <w:color w:val="000000"/>
      <w:sz w:val="21"/>
      <w:szCs w:val="21"/>
      <w:u w:val="none"/>
    </w:rPr>
  </w:style>
  <w:style w:type="paragraph" w:customStyle="1" w:styleId="37">
    <w:name w:val="表文"/>
    <w:basedOn w:val="1"/>
    <w:autoRedefine/>
    <w:qFormat/>
    <w:uiPriority w:val="0"/>
    <w:pPr>
      <w:jc w:val="center"/>
    </w:pPr>
    <w:rPr>
      <w:rFonts w:ascii="仿宋" w:hAnsi="仿宋" w:eastAsia="仿宋"/>
      <w:szCs w:val="21"/>
    </w:rPr>
  </w:style>
  <w:style w:type="paragraph" w:customStyle="1" w:styleId="38">
    <w:name w:val="正文东铝"/>
    <w:basedOn w:val="1"/>
    <w:autoRedefine/>
    <w:qFormat/>
    <w:uiPriority w:val="0"/>
    <w:pPr>
      <w:spacing w:line="520" w:lineRule="exact"/>
      <w:ind w:firstLine="200" w:firstLineChars="200"/>
      <w:jc w:val="left"/>
    </w:pPr>
    <w:rPr>
      <w:color w:val="000000"/>
      <w:sz w:val="24"/>
    </w:rPr>
  </w:style>
  <w:style w:type="paragraph" w:styleId="39">
    <w:name w:val="List Paragraph"/>
    <w:basedOn w:val="1"/>
    <w:autoRedefine/>
    <w:qFormat/>
    <w:uiPriority w:val="34"/>
    <w:pPr>
      <w:widowControl/>
      <w:adjustRightInd w:val="0"/>
      <w:snapToGrid w:val="0"/>
      <w:spacing w:after="200"/>
      <w:ind w:firstLine="420" w:firstLineChars="200"/>
      <w:jc w:val="left"/>
    </w:pPr>
    <w:rPr>
      <w:rFonts w:ascii="Tahoma" w:hAnsi="Tahoma"/>
      <w:kern w:val="0"/>
      <w:sz w:val="22"/>
      <w:szCs w:val="22"/>
    </w:rPr>
  </w:style>
  <w:style w:type="paragraph" w:customStyle="1" w:styleId="40">
    <w:name w:val="其他标题"/>
    <w:basedOn w:val="1"/>
    <w:autoRedefine/>
    <w:qFormat/>
    <w:uiPriority w:val="0"/>
    <w:pPr>
      <w:tabs>
        <w:tab w:val="left" w:pos="2757"/>
      </w:tabs>
      <w:spacing w:beforeLines="50" w:line="360" w:lineRule="auto"/>
      <w:jc w:val="left"/>
    </w:pPr>
    <w:rPr>
      <w:rFonts w:ascii="宋体" w:hAnsi="宋体"/>
      <w:b/>
      <w:sz w:val="28"/>
    </w:rPr>
  </w:style>
  <w:style w:type="paragraph" w:customStyle="1" w:styleId="41">
    <w:name w:val="表格文字"/>
    <w:basedOn w:val="1"/>
    <w:autoRedefine/>
    <w:qFormat/>
    <w:uiPriority w:val="0"/>
    <w:pPr>
      <w:spacing w:line="280" w:lineRule="exact"/>
    </w:pPr>
    <w:rPr>
      <w:rFonts w:ascii="宋体" w:hAnsi="宋体" w:eastAsiaTheme="minorEastAsia" w:cstheme="minorBidi"/>
      <w:sz w:val="18"/>
      <w:szCs w:val="18"/>
    </w:rPr>
  </w:style>
  <w:style w:type="paragraph" w:customStyle="1" w:styleId="42">
    <w:name w:val="正文文本 21"/>
    <w:basedOn w:val="1"/>
    <w:autoRedefine/>
    <w:qFormat/>
    <w:uiPriority w:val="0"/>
    <w:pPr>
      <w:overflowPunct w:val="0"/>
      <w:autoSpaceDE w:val="0"/>
      <w:autoSpaceDN w:val="0"/>
      <w:adjustRightInd w:val="0"/>
      <w:spacing w:line="360" w:lineRule="auto"/>
      <w:ind w:firstLine="425"/>
    </w:pPr>
    <w:rPr>
      <w:sz w:val="24"/>
      <w:szCs w:val="20"/>
    </w:rPr>
  </w:style>
  <w:style w:type="character" w:customStyle="1" w:styleId="43">
    <w:name w:val="标题 1 字符"/>
    <w:basedOn w:val="25"/>
    <w:link w:val="2"/>
    <w:autoRedefine/>
    <w:qFormat/>
    <w:uiPriority w:val="99"/>
    <w:rPr>
      <w:rFonts w:eastAsia="黑体"/>
      <w:b/>
      <w:bCs/>
      <w:color w:val="000000"/>
      <w:kern w:val="44"/>
      <w:sz w:val="30"/>
      <w:szCs w:val="30"/>
    </w:rPr>
  </w:style>
  <w:style w:type="paragraph" w:customStyle="1" w:styleId="44">
    <w:name w:val="表格"/>
    <w:basedOn w:val="1"/>
    <w:autoRedefine/>
    <w:qFormat/>
    <w:uiPriority w:val="0"/>
    <w:pPr>
      <w:adjustRightInd w:val="0"/>
      <w:snapToGrid w:val="0"/>
      <w:spacing w:beforeLines="10" w:afterLines="10" w:line="259" w:lineRule="auto"/>
      <w:jc w:val="center"/>
    </w:pPr>
    <w:rPr>
      <w:rFonts w:ascii="宋体" w:hAnsiTheme="minorHAnsi" w:eastAsiaTheme="minorEastAsia" w:cstheme="minorBidi"/>
      <w:szCs w:val="22"/>
    </w:rPr>
  </w:style>
  <w:style w:type="paragraph" w:customStyle="1" w:styleId="45">
    <w:name w:val="Other|1"/>
    <w:basedOn w:val="1"/>
    <w:autoRedefine/>
    <w:qFormat/>
    <w:uiPriority w:val="0"/>
    <w:pPr>
      <w:jc w:val="center"/>
    </w:pPr>
    <w:rPr>
      <w:rFonts w:ascii="宋体" w:hAnsi="宋体" w:cs="宋体"/>
      <w:sz w:val="20"/>
      <w:szCs w:val="20"/>
      <w:lang w:val="zh-TW" w:eastAsia="zh-TW" w:bidi="zh-TW"/>
    </w:rPr>
  </w:style>
  <w:style w:type="character" w:customStyle="1" w:styleId="46">
    <w:name w:val="font01"/>
    <w:basedOn w:val="25"/>
    <w:autoRedefine/>
    <w:qFormat/>
    <w:uiPriority w:val="0"/>
    <w:rPr>
      <w:rFonts w:hint="eastAsia" w:ascii="宋体" w:hAnsi="宋体" w:eastAsia="宋体" w:cs="宋体"/>
      <w:color w:val="000000"/>
      <w:sz w:val="22"/>
      <w:szCs w:val="22"/>
      <w:u w:val="none"/>
    </w:rPr>
  </w:style>
  <w:style w:type="paragraph" w:customStyle="1" w:styleId="47">
    <w:name w:val="Default"/>
    <w:autoRedefine/>
    <w:qFormat/>
    <w:uiPriority w:val="0"/>
    <w:pPr>
      <w:widowControl w:val="0"/>
      <w:autoSpaceDE w:val="0"/>
      <w:autoSpaceDN w:val="0"/>
      <w:adjustRightInd w:val="0"/>
    </w:pPr>
    <w:rPr>
      <w:rFonts w:ascii="宋体" w:hAnsi="宋体" w:eastAsia="宋体" w:cs="Times New Roman"/>
      <w:color w:val="000000"/>
      <w:sz w:val="24"/>
      <w:szCs w:val="24"/>
      <w:lang w:val="en-US" w:eastAsia="zh-CN" w:bidi="ar-SA"/>
    </w:rPr>
  </w:style>
  <w:style w:type="paragraph" w:customStyle="1" w:styleId="48">
    <w:name w:val="Table Paragraph"/>
    <w:basedOn w:val="1"/>
    <w:autoRedefine/>
    <w:qFormat/>
    <w:uiPriority w:val="1"/>
    <w:pPr>
      <w:spacing w:before="22"/>
      <w:jc w:val="center"/>
    </w:pPr>
    <w:rPr>
      <w:rFonts w:ascii="宋体" w:hAnsi="宋体" w:cs="宋体"/>
      <w:lang w:val="zh-CN" w:bidi="zh-CN"/>
    </w:rPr>
  </w:style>
  <w:style w:type="paragraph" w:customStyle="1" w:styleId="49">
    <w:name w:val="Table Text"/>
    <w:basedOn w:val="1"/>
    <w:semiHidden/>
    <w:qFormat/>
    <w:uiPriority w:val="0"/>
    <w:rPr>
      <w:rFonts w:ascii="宋体" w:hAnsi="宋体" w:cs="宋体"/>
      <w:sz w:val="20"/>
      <w:szCs w:val="20"/>
      <w:lang w:eastAsia="en-US"/>
    </w:rPr>
  </w:style>
  <w:style w:type="table" w:customStyle="1" w:styleId="50">
    <w:name w:val="Table Normal"/>
    <w:semiHidden/>
    <w:unhideWhenUsed/>
    <w:qFormat/>
    <w:uiPriority w:val="0"/>
    <w:tblPr>
      <w:tblCellMar>
        <w:top w:w="0" w:type="dxa"/>
        <w:left w:w="0" w:type="dxa"/>
        <w:bottom w:w="0" w:type="dxa"/>
        <w:right w:w="0" w:type="dxa"/>
      </w:tblCellMar>
    </w:tblPr>
  </w:style>
  <w:style w:type="character" w:customStyle="1" w:styleId="51">
    <w:name w:val="font31"/>
    <w:basedOn w:val="25"/>
    <w:qFormat/>
    <w:uiPriority w:val="0"/>
    <w:rPr>
      <w:rFonts w:hint="eastAsia" w:ascii="宋体" w:hAnsi="宋体" w:eastAsia="宋体" w:cs="宋体"/>
      <w:color w:val="000000"/>
      <w:sz w:val="21"/>
      <w:szCs w:val="21"/>
      <w:u w:val="none"/>
    </w:rPr>
  </w:style>
  <w:style w:type="character" w:customStyle="1" w:styleId="52">
    <w:name w:val="font81"/>
    <w:basedOn w:val="25"/>
    <w:qFormat/>
    <w:uiPriority w:val="0"/>
    <w:rPr>
      <w:rFonts w:hint="eastAsia" w:ascii="宋体" w:hAnsi="宋体" w:eastAsia="宋体" w:cs="宋体"/>
      <w:color w:val="000000"/>
      <w:sz w:val="20"/>
      <w:szCs w:val="20"/>
      <w:u w:val="none"/>
    </w:rPr>
  </w:style>
  <w:style w:type="character" w:customStyle="1" w:styleId="53">
    <w:name w:val="font61"/>
    <w:basedOn w:val="25"/>
    <w:qFormat/>
    <w:uiPriority w:val="0"/>
    <w:rPr>
      <w:rFonts w:hint="eastAsia" w:ascii="宋体" w:hAnsi="宋体" w:eastAsia="宋体" w:cs="宋体"/>
      <w:b/>
      <w:bCs/>
      <w:color w:val="000000"/>
      <w:sz w:val="20"/>
      <w:szCs w:val="20"/>
      <w:u w:val="none"/>
    </w:rPr>
  </w:style>
  <w:style w:type="character" w:customStyle="1" w:styleId="54">
    <w:name w:val="font71"/>
    <w:basedOn w:val="25"/>
    <w:qFormat/>
    <w:uiPriority w:val="0"/>
    <w:rPr>
      <w:rFonts w:hint="default" w:ascii="Times New Roman" w:hAnsi="Times New Roman" w:cs="Times New Roman"/>
      <w:b/>
      <w:bCs/>
      <w:color w:val="000000"/>
      <w:sz w:val="20"/>
      <w:szCs w:val="20"/>
      <w:u w:val="none"/>
      <w:vertAlign w:val="superscript"/>
    </w:rPr>
  </w:style>
  <w:style w:type="character" w:customStyle="1" w:styleId="55">
    <w:name w:val="批注文字 字符"/>
    <w:basedOn w:val="25"/>
    <w:link w:val="7"/>
    <w:qFormat/>
    <w:uiPriority w:val="0"/>
    <w:rPr>
      <w:kern w:val="2"/>
      <w:sz w:val="21"/>
      <w:szCs w:val="24"/>
    </w:rPr>
  </w:style>
  <w:style w:type="character" w:customStyle="1" w:styleId="56">
    <w:name w:val="批注主题 字符"/>
    <w:basedOn w:val="55"/>
    <w:link w:val="21"/>
    <w:qFormat/>
    <w:uiPriority w:val="0"/>
    <w:rPr>
      <w:b/>
      <w:bCs/>
      <w:kern w:val="2"/>
      <w:sz w:val="21"/>
      <w:szCs w:val="24"/>
    </w:rPr>
  </w:style>
  <w:style w:type="character" w:customStyle="1" w:styleId="57">
    <w:name w:val="font51"/>
    <w:basedOn w:val="25"/>
    <w:qFormat/>
    <w:uiPriority w:val="0"/>
    <w:rPr>
      <w:rFonts w:hint="eastAsia" w:ascii="宋体" w:hAnsi="宋体" w:eastAsia="宋体" w:cs="宋体"/>
      <w:b/>
      <w:bCs/>
      <w:color w:val="000000"/>
      <w:sz w:val="21"/>
      <w:szCs w:val="21"/>
      <w:u w:val="none"/>
    </w:rPr>
  </w:style>
  <w:style w:type="paragraph" w:customStyle="1" w:styleId="58">
    <w:name w:val="表格文本"/>
    <w:basedOn w:val="1"/>
    <w:next w:val="1"/>
    <w:qFormat/>
    <w:uiPriority w:val="0"/>
    <w:pPr>
      <w:spacing w:line="288" w:lineRule="auto"/>
      <w:ind w:firstLine="0" w:firstLineChars="0"/>
      <w:jc w:val="center"/>
    </w:pPr>
    <w:rPr>
      <w:rFonts w:ascii="Times New Roman" w:hAnsi="Times New Roman" w:eastAsia="宋体"/>
      <w:sz w:val="21"/>
    </w:rPr>
  </w:style>
  <w:style w:type="paragraph" w:customStyle="1" w:styleId="59">
    <w:name w:val="表注图注"/>
    <w:basedOn w:val="1"/>
    <w:qFormat/>
    <w:uiPriority w:val="0"/>
    <w:pPr>
      <w:ind w:firstLine="0" w:firstLineChars="0"/>
      <w:jc w:val="center"/>
    </w:pPr>
    <w:rPr>
      <w:b/>
      <w:bCs/>
      <w:sz w:val="21"/>
      <w:szCs w:val="21"/>
    </w:rPr>
  </w:style>
  <w:style w:type="paragraph" w:customStyle="1" w:styleId="60">
    <w:name w:val="ENN正文0"/>
    <w:basedOn w:val="1"/>
    <w:autoRedefine/>
    <w:qFormat/>
    <w:uiPriority w:val="0"/>
    <w:pPr>
      <w:autoSpaceDE w:val="0"/>
      <w:autoSpaceDN w:val="0"/>
      <w:spacing w:line="360" w:lineRule="auto"/>
      <w:ind w:firstLine="200" w:firstLineChars="200"/>
    </w:pPr>
    <w:rPr>
      <w:rFonts w:eastAsia="仿宋_GB2312"/>
      <w:kern w:val="0"/>
      <w:sz w:val="24"/>
      <w:szCs w:val="26"/>
      <w:lang w:val="zh-CN"/>
    </w:rPr>
  </w:style>
  <w:style w:type="paragraph" w:customStyle="1" w:styleId="61">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2">
    <w:name w:val="a表内格式zzzzzzz"/>
    <w:basedOn w:val="1"/>
    <w:next w:val="1"/>
    <w:qFormat/>
    <w:uiPriority w:val="0"/>
    <w:pPr>
      <w:spacing w:line="300" w:lineRule="exact"/>
      <w:jc w:val="center"/>
    </w:pPr>
    <w:rPr>
      <w:kern w:val="0"/>
      <w:szCs w:val="20"/>
    </w:rPr>
  </w:style>
  <w:style w:type="paragraph" w:customStyle="1" w:styleId="63">
    <w:name w:val="表格内容"/>
    <w:basedOn w:val="17"/>
    <w:next w:val="64"/>
    <w:qFormat/>
    <w:uiPriority w:val="0"/>
    <w:pPr>
      <w:autoSpaceDE w:val="0"/>
      <w:autoSpaceDN w:val="0"/>
      <w:adjustRightInd w:val="0"/>
      <w:jc w:val="center"/>
      <w:textAlignment w:val="center"/>
    </w:pPr>
    <w:rPr>
      <w:kern w:val="0"/>
      <w:szCs w:val="21"/>
    </w:rPr>
  </w:style>
  <w:style w:type="paragraph" w:customStyle="1" w:styleId="64">
    <w:name w:val="A-z正文"/>
    <w:basedOn w:val="1"/>
    <w:qFormat/>
    <w:uiPriority w:val="0"/>
    <w:pPr>
      <w:ind w:firstLine="200" w:firstLineChars="2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Administrator/AppData/Roaming/Tencent/Users/106562794/QQ/WinTemp/RichOle/3%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5bHA_)5@93(CJOQJQ(ZBZ59.png" TargetMode="External"/><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wmf"/><Relationship Id="rId27" Type="http://schemas.openxmlformats.org/officeDocument/2006/relationships/oleObject" Target="embeddings/oleObject3.bin"/><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emf"/><Relationship Id="rId14" Type="http://schemas.openxmlformats.org/officeDocument/2006/relationships/oleObject" Target="embeddings/oleObject2.bin"/><Relationship Id="rId13" Type="http://schemas.openxmlformats.org/officeDocument/2006/relationships/image" Target="media/image7.emf"/><Relationship Id="rId12" Type="http://schemas.openxmlformats.org/officeDocument/2006/relationships/oleObject" Target="embeddings/oleObject1.bin"/><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49"/>
    <customShpInfo spid="_x0000_s1026" textRotate="1"/>
  </customShpExts>
  <extobjs>
    <extobj name="ECB019B1-382A-4266-B25C-5B523AA43C14-1">
      <extobjdata type="ECB019B1-382A-4266-B25C-5B523AA43C14" data="ewoJIkZpbGVJZCIgOiAiMzUwNDU1OTQ1NjA5IiwKCSJHcm91cElkIiA6ICIzMzYxMzI3MzkiLAoJIkltYWdlIiA6ICJpVkJPUncwS0dnb0FBQUFOU1VoRVVnQUFBMGNBQUFFUkNBWUFBQUN3OHR4QUFBQUFBWE5TUjBJQXJzNGM2UUFBSUFCSlJFRlVlSnpzM1hsOEZQWDlQL0RYZTJhVGJFSUNoRXZVV0tPR2drdU9uVTI5cW1pMTNrcTFvclZGV3crODhTZW9yVlZyYTYwSDBnSWVwZDZpRmtWcnJiYlVBeFcxQ2xZOHNyTTVES0RSUm9rZ0VrRWhrRTJ5TysvZkg5bk5kNU5za2czazJ1VDFmRHg4c0puNXpHZmVpMHgyM3pPZnovc0RF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OZmYvV1orUTA2WG5hbDhBQUFBQVNVVk9SSzVDWUlJ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94</Pages>
  <Words>11905</Words>
  <Characters>12448</Characters>
  <Lines>526</Lines>
  <Paragraphs>148</Paragraphs>
  <TotalTime>15</TotalTime>
  <ScaleCrop>false</ScaleCrop>
  <LinksUpToDate>false</LinksUpToDate>
  <CharactersWithSpaces>12449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2023-02-22T05:08:00Z</dcterms:created>
  <dc:creator>Administrator</dc:creator>
  <cp:lastModifiedBy>碧水蓝天</cp:lastModifiedBy>
  <cp:lastPrinted>2025-10-23T09:31:00Z</cp:lastPrinted>
  <dcterms:modified xsi:type="dcterms:W3CDTF">2025-12-09T05:30:24Z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2AB71BF38B5B47E99DC82C18539D25CE_13</vt:lpwstr>
  </property>
  <property fmtid="{D5CDD505-2E9C-101B-9397-08002B2CF9AE}" pid="4" name="KSOTemplateDocerSaveRecord">
    <vt:lpwstr>eyJoZGlkIjoiMTZjYzBmYjFhNTNhOWU5YWExOGQxZWIyY2JkMzU0ZGQiLCJ1c2VySWQiOiI1OTQ0Nzk4OTIifQ==</vt:lpwstr>
  </property>
  <property fmtid="{D5CDD505-2E9C-101B-9397-08002B2CF9AE}" pid="5" name="_IPGFID">
    <vt:lpwstr>[DocID]=9CD1F02A-9F42-4C76-A2E7-6B19E35009CD</vt:lpwstr>
  </property>
</Properties>
</file>